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bookmarkStart w:id="0" w:name="_GoBack"/>
      <w:bookmarkEnd w:id="0"/>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understand the fundamental architecture and workflow of Istio service mesh.This includes gaining insight into the overall structure of Istio, particularly the interaction between the control plane and the data plane, as well as how sidecar proxies enable transparent communication between services.</w:t>
      </w:r>
    </w:p>
    <w:p w14:paraId="7C11E26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learn the installation and configuration process of Istio in a Kubernetes cluster.This involves performing a complete deployment of Istio using standard tools such as istioctl, and configuring the cluster environment to support service mesh functionalities.</w:t>
      </w:r>
    </w:p>
    <w:p w14:paraId="3200333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explore automatic sidecar injection and its role in traffic interception.This step focuses on understanding how Istio automatically injects Envoy sidecar proxies into application pods, and how these proxies intercept all inbound and outbound traffic.</w:t>
      </w:r>
    </w:p>
    <w:p w14:paraId="3A07B8F8">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verify internal service communication within a microservices architecture.The experiment examines how services communicate with each other inside the Kubernetes cluster under the control of Istio.</w:t>
      </w:r>
    </w:p>
    <w:p w14:paraId="2E30B4EA">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implement external access using Kubernetes Gateway API. This part aims to configure and deploy a Gateway resource to expose internal services to external clients.</w:t>
      </w:r>
    </w:p>
    <w:p w14:paraId="32FCB86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eastAsia" w:ascii="Times New Roman" w:hAnsi="Times New Roman" w:cs="Times New Roman"/>
          <w:sz w:val="24"/>
          <w:szCs w:val="24"/>
          <w:lang w:val="en-US" w:eastAsia="zh-CN"/>
        </w:rPr>
        <w:t>To observe and analyze service interactions using visualization tools such as Kiali. By generating traffic and inspecting the resulting service graph, this step focuses on analyzing real-time interactions between services.</w:t>
      </w:r>
    </w:p>
    <w:p w14:paraId="04BF4CAF">
      <w:pPr>
        <w:pStyle w:val="17"/>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Environment preparation and Kubernetes cluster verification</w:t>
      </w:r>
    </w:p>
    <w:p w14:paraId="613331F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experiment began with preparing the runtime environment and ensuring that a functional Kubernetes cluster was available. Basic commands such as kubectl cluster-info and kubectl get nodes were executed to verify cluster status, node availability, and network connectivity, providing a stable foundation for subsequent deployment.</w:t>
      </w:r>
    </w:p>
    <w:p w14:paraId="1C75708F">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Istio installation and initial configuration</w:t>
      </w:r>
    </w:p>
    <w:p w14:paraId="44F01A0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Istio was installed using the istioctl tool with a predefined demo configuration profile. The installation process included setting up the control plane components and verifying their operational status. In addition, the system PATH was configured to ensure that Istio command-line tools could be accessed globally.</w:t>
      </w:r>
    </w:p>
    <w:p w14:paraId="00F23658">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Namespace configuration and sidecar injection setup</w:t>
      </w:r>
    </w:p>
    <w:p w14:paraId="3568D88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default namespace was labeled to enable automatic sidecar injection. This step ensured that all subsequently deployed application pods would automatically include Envoy proxies, allowing Istio to intercept and manage traffic without requiring manual modification of application code.</w:t>
      </w:r>
    </w:p>
    <w:p w14:paraId="12F92BBD">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Deployment of the Bookinfo microservices application</w:t>
      </w:r>
    </w:p>
    <w:p w14:paraId="56D24D8F">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Bookinfo sample application was deployed to simulate a typical microservices architecture. Multiple services such as productpage, reviews, ratings, and details were created, forming a multi-tier service structure. Pod and service statuses were monitored to ensure successful deployment and proper integration with Istio.</w:t>
      </w:r>
    </w:p>
    <w:p w14:paraId="4EABB800">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Internal service communication verification</w:t>
      </w:r>
    </w:p>
    <w:p w14:paraId="6350826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Service connectivity within the cluster was tested by issuing requests from one service pod to another. The response results were examined to confirm that service discovery and routing mechanisms were functioning correctly under the Istio service mesh environment.</w:t>
      </w:r>
    </w:p>
    <w:p w14:paraId="01FA93E3">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Installation of Gateway API CRDs and external access configuration</w:t>
      </w:r>
    </w:p>
    <w:p w14:paraId="01EEE20C">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Gateway API custom resource definitions were installed to support modern ingress management. A Gateway resource was then configured to expose the Bookinfo application, enabling external access through a unified entry point and demonstrating how traffic is routed into the cluster.</w:t>
      </w:r>
    </w:p>
    <w:p w14:paraId="678A5B24">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Access validation through port forwarding</w:t>
      </w:r>
    </w:p>
    <w:p w14:paraId="3F1EB1F4">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Port forwarding was used to map the gateway service to a local port, allowing the application to be accessed via a browser. The successful rendering of the Bookinfo interface confirmed that external traffic could reach internal services correctly through the configured gateway.</w:t>
      </w:r>
    </w:p>
    <w:p w14:paraId="71B0437E">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Visualization and traffic analysis using Kiali</w:t>
      </w:r>
    </w:p>
    <w:p w14:paraId="27125E7E">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Kiali dashboard was deployed and accessed to visualize service interactions. By generating multiple requests to the application, traffic flow and service dependencies were observed in real time, providing an intuitive understanding of how requests propagate within the service mesh.</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6863EFBC">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Minikube is started to create a local Kubernetes cluster on the machine, which sets up the control plane and necessary system components inside a Docker container. Although there is a warning about failing to access the external image registry, the cluster still starts successfully using available resources.</w:t>
      </w:r>
    </w:p>
    <w:p w14:paraId="1F11DD32">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8"/>
          <w:szCs w:val="28"/>
        </w:rPr>
      </w:pPr>
      <w:r>
        <w:rPr>
          <w:rFonts w:hint="default" w:ascii="Times New Roman" w:hAnsi="Times New Roman" w:eastAsia="黑体" w:cs="Times New Roman"/>
          <w:b w:val="0"/>
          <w:bCs/>
          <w:kern w:val="0"/>
          <w:sz w:val="24"/>
          <w:szCs w:val="24"/>
          <w:lang w:val="en-US" w:eastAsia="zh-CN" w:bidi="ar-SA"/>
        </w:rPr>
        <w:t>Then, the cluster status is checked, showing that the Kubernetes control plane and CoreDNS service are running normally. This means the environment is ready for deploying applications or continuing with Istio installation.</w:t>
      </w:r>
    </w:p>
    <w:p w14:paraId="03EA2F78">
      <w:pPr>
        <w:widowControl w:val="0"/>
        <w:numPr>
          <w:ilvl w:val="0"/>
          <w:numId w:val="0"/>
        </w:numPr>
        <w:autoSpaceDE w:val="0"/>
        <w:autoSpaceDN w:val="0"/>
        <w:adjustRightInd w:val="0"/>
        <w:spacing w:line="300" w:lineRule="auto"/>
        <w:jc w:val="left"/>
      </w:pPr>
      <w:r>
        <w:drawing>
          <wp:inline distT="0" distB="0" distL="114300" distR="114300">
            <wp:extent cx="5269865" cy="2087880"/>
            <wp:effectExtent l="0" t="0" r="63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865" cy="2087880"/>
                    </a:xfrm>
                    <a:prstGeom prst="rect">
                      <a:avLst/>
                    </a:prstGeom>
                    <a:noFill/>
                    <a:ln>
                      <a:noFill/>
                    </a:ln>
                  </pic:spPr>
                </pic:pic>
              </a:graphicData>
            </a:graphic>
          </wp:inline>
        </w:drawing>
      </w:r>
      <w:r>
        <w:drawing>
          <wp:inline distT="0" distB="0" distL="114300" distR="114300">
            <wp:extent cx="5266690" cy="514985"/>
            <wp:effectExtent l="0" t="0" r="381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6690" cy="514985"/>
                    </a:xfrm>
                    <a:prstGeom prst="rect">
                      <a:avLst/>
                    </a:prstGeom>
                    <a:noFill/>
                    <a:ln>
                      <a:noFill/>
                    </a:ln>
                  </pic:spPr>
                </pic:pic>
              </a:graphicData>
            </a:graphic>
          </wp:inline>
        </w:drawing>
      </w:r>
    </w:p>
    <w:p w14:paraId="18428FEF">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Istio has been successfully downloaded and extracted from the official repository. The system also indicates the location of the installed files and reminds you to add the bin directory to the environment path so that the istioctl tool can be used globally.</w:t>
      </w:r>
    </w:p>
    <w:p w14:paraId="584ECCAA">
      <w:pPr>
        <w:widowControl w:val="0"/>
        <w:numPr>
          <w:ilvl w:val="0"/>
          <w:numId w:val="0"/>
        </w:numPr>
        <w:autoSpaceDE w:val="0"/>
        <w:autoSpaceDN w:val="0"/>
        <w:adjustRightInd w:val="0"/>
        <w:spacing w:line="300" w:lineRule="auto"/>
        <w:jc w:val="left"/>
      </w:pPr>
      <w:r>
        <w:drawing>
          <wp:inline distT="0" distB="0" distL="114300" distR="114300">
            <wp:extent cx="5272405" cy="1977390"/>
            <wp:effectExtent l="0" t="0" r="1079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2405" cy="1977390"/>
                    </a:xfrm>
                    <a:prstGeom prst="rect">
                      <a:avLst/>
                    </a:prstGeom>
                    <a:noFill/>
                    <a:ln>
                      <a:noFill/>
                    </a:ln>
                  </pic:spPr>
                </pic:pic>
              </a:graphicData>
            </a:graphic>
          </wp:inline>
        </w:drawing>
      </w:r>
    </w:p>
    <w:p w14:paraId="0DBAF531">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istioctl tool is working correctly, but Istio has not been installed in the Kubernetes cluster yet. The message indicates that there are no running Istio components in the istio-system namespace.</w:t>
      </w:r>
    </w:p>
    <w:p w14:paraId="75FF46F8">
      <w:pPr>
        <w:widowControl w:val="0"/>
        <w:numPr>
          <w:ilvl w:val="0"/>
          <w:numId w:val="0"/>
        </w:numPr>
        <w:autoSpaceDE w:val="0"/>
        <w:autoSpaceDN w:val="0"/>
        <w:adjustRightInd w:val="0"/>
        <w:spacing w:line="300" w:lineRule="auto"/>
        <w:jc w:val="left"/>
      </w:pPr>
      <w:r>
        <w:drawing>
          <wp:inline distT="0" distB="0" distL="114300" distR="114300">
            <wp:extent cx="5268595" cy="404495"/>
            <wp:effectExtent l="0" t="0" r="1905"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8595" cy="404495"/>
                    </a:xfrm>
                    <a:prstGeom prst="rect">
                      <a:avLst/>
                    </a:prstGeom>
                    <a:noFill/>
                    <a:ln>
                      <a:noFill/>
                    </a:ln>
                  </pic:spPr>
                </pic:pic>
              </a:graphicData>
            </a:graphic>
          </wp:inline>
        </w:drawing>
      </w:r>
    </w:p>
    <w:p w14:paraId="7D200466">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Istio has been successfully installed into the Kubernetes cluster using the demo configuration. Core components such as the control plane and ingress/egress gateways are now running, which means the service mesh environment is ready for use. The warning only indicates that the version may be outdated, but it does not affect the current setup.</w:t>
      </w:r>
    </w:p>
    <w:p w14:paraId="701ECB01">
      <w:pPr>
        <w:widowControl w:val="0"/>
        <w:numPr>
          <w:ilvl w:val="0"/>
          <w:numId w:val="0"/>
        </w:numPr>
        <w:autoSpaceDE w:val="0"/>
        <w:autoSpaceDN w:val="0"/>
        <w:adjustRightInd w:val="0"/>
        <w:spacing w:line="300" w:lineRule="auto"/>
        <w:jc w:val="left"/>
      </w:pPr>
      <w:r>
        <w:drawing>
          <wp:inline distT="0" distB="0" distL="114300" distR="114300">
            <wp:extent cx="5269865" cy="1256030"/>
            <wp:effectExtent l="0" t="0" r="63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9865" cy="1256030"/>
                    </a:xfrm>
                    <a:prstGeom prst="rect">
                      <a:avLst/>
                    </a:prstGeom>
                    <a:noFill/>
                    <a:ln>
                      <a:noFill/>
                    </a:ln>
                  </pic:spPr>
                </pic:pic>
              </a:graphicData>
            </a:graphic>
          </wp:inline>
        </w:drawing>
      </w:r>
    </w:p>
    <w:p w14:paraId="7FE99177">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Gateway API has been successfully installed into the Kubernetes cluster. The output shows that multiple Custom Resource Definitions, such as gateways and routes, have been created, which are required for managing traffic routing in Istio.</w:t>
      </w:r>
    </w:p>
    <w:p w14:paraId="39A941E4">
      <w:pPr>
        <w:widowControl w:val="0"/>
        <w:numPr>
          <w:ilvl w:val="0"/>
          <w:numId w:val="0"/>
        </w:numPr>
        <w:autoSpaceDE w:val="0"/>
        <w:autoSpaceDN w:val="0"/>
        <w:adjustRightInd w:val="0"/>
        <w:spacing w:line="300" w:lineRule="auto"/>
        <w:jc w:val="left"/>
      </w:pPr>
      <w:r>
        <w:drawing>
          <wp:inline distT="0" distB="0" distL="114300" distR="114300">
            <wp:extent cx="5270500" cy="23749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0500" cy="2374900"/>
                    </a:xfrm>
                    <a:prstGeom prst="rect">
                      <a:avLst/>
                    </a:prstGeom>
                    <a:noFill/>
                    <a:ln>
                      <a:noFill/>
                    </a:ln>
                  </pic:spPr>
                </pic:pic>
              </a:graphicData>
            </a:graphic>
          </wp:inline>
        </w:drawing>
      </w:r>
    </w:p>
    <w:p w14:paraId="7B474C8B">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Bookinfo microservices application has been successfully deployed into the Kubernetes cluster. Multiple services, deployments, and service accounts are created, indicating that all components of the application are now running and ready for further testing and access.</w:t>
      </w:r>
    </w:p>
    <w:p w14:paraId="329C77A4">
      <w:pPr>
        <w:widowControl w:val="0"/>
        <w:numPr>
          <w:ilvl w:val="0"/>
          <w:numId w:val="0"/>
        </w:numPr>
        <w:autoSpaceDE w:val="0"/>
        <w:autoSpaceDN w:val="0"/>
        <w:adjustRightInd w:val="0"/>
        <w:spacing w:line="300" w:lineRule="auto"/>
        <w:jc w:val="left"/>
      </w:pPr>
      <w:r>
        <w:drawing>
          <wp:inline distT="0" distB="0" distL="114300" distR="114300">
            <wp:extent cx="5269230" cy="2135505"/>
            <wp:effectExtent l="0" t="0" r="1270" b="1079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69230" cy="2135505"/>
                    </a:xfrm>
                    <a:prstGeom prst="rect">
                      <a:avLst/>
                    </a:prstGeom>
                    <a:noFill/>
                    <a:ln>
                      <a:noFill/>
                    </a:ln>
                  </pic:spPr>
                </pic:pic>
              </a:graphicData>
            </a:graphic>
          </wp:inline>
        </w:drawing>
      </w:r>
    </w:p>
    <w:p w14:paraId="293FDB5A">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services have been created successfully, but most pods are still in the “ContainerCreating” state, which means they are starting up and pulling images. Only one pod is already running, indicating the deployment is in progress.</w:t>
      </w:r>
    </w:p>
    <w:p w14:paraId="4A7C8D0A">
      <w:pPr>
        <w:widowControl w:val="0"/>
        <w:numPr>
          <w:ilvl w:val="0"/>
          <w:numId w:val="0"/>
        </w:numPr>
        <w:autoSpaceDE w:val="0"/>
        <w:autoSpaceDN w:val="0"/>
        <w:adjustRightInd w:val="0"/>
        <w:spacing w:line="300" w:lineRule="auto"/>
        <w:jc w:val="left"/>
      </w:pPr>
      <w:r>
        <w:drawing>
          <wp:inline distT="0" distB="0" distL="114300" distR="114300">
            <wp:extent cx="5271135" cy="2139315"/>
            <wp:effectExtent l="0" t="0" r="1206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1135" cy="2139315"/>
                    </a:xfrm>
                    <a:prstGeom prst="rect">
                      <a:avLst/>
                    </a:prstGeom>
                    <a:noFill/>
                    <a:ln>
                      <a:noFill/>
                    </a:ln>
                  </pic:spPr>
                </pic:pic>
              </a:graphicData>
            </a:graphic>
          </wp:inline>
        </w:drawing>
      </w:r>
    </w:p>
    <w:p w14:paraId="660A9B50">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request to the Bookinfo application is successful, and the returned page title confirms that the service is working correctly. This indicates that the microservices can communicate with each other and the application is running as expected.</w:t>
      </w:r>
    </w:p>
    <w:p w14:paraId="281CE1C5">
      <w:pPr>
        <w:widowControl w:val="0"/>
        <w:numPr>
          <w:ilvl w:val="0"/>
          <w:numId w:val="0"/>
        </w:numPr>
        <w:autoSpaceDE w:val="0"/>
        <w:autoSpaceDN w:val="0"/>
        <w:adjustRightInd w:val="0"/>
        <w:spacing w:line="300" w:lineRule="auto"/>
        <w:jc w:val="left"/>
      </w:pPr>
      <w:r>
        <w:drawing>
          <wp:inline distT="0" distB="0" distL="114300" distR="114300">
            <wp:extent cx="5270500" cy="903605"/>
            <wp:effectExtent l="0" t="0" r="0" b="1079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0500" cy="903605"/>
                    </a:xfrm>
                    <a:prstGeom prst="rect">
                      <a:avLst/>
                    </a:prstGeom>
                    <a:noFill/>
                    <a:ln>
                      <a:noFill/>
                    </a:ln>
                  </pic:spPr>
                </pic:pic>
              </a:graphicData>
            </a:graphic>
          </wp:inline>
        </w:drawing>
      </w:r>
    </w:p>
    <w:p w14:paraId="34AA1B35">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gateway configuration has been successfully applied, enabling external access to the Bookinfo application. The analysis output shows only informational warnings, mainly indicating that the namespace has not enabled automatic sidecar injection and that a service port naming convention is not fully compliant. These do not affect basic functionality but may impact advanced Istio features.</w:t>
      </w:r>
    </w:p>
    <w:p w14:paraId="618E32DF">
      <w:pPr>
        <w:widowControl w:val="0"/>
        <w:numPr>
          <w:ilvl w:val="0"/>
          <w:numId w:val="0"/>
        </w:numPr>
        <w:autoSpaceDE w:val="0"/>
        <w:autoSpaceDN w:val="0"/>
        <w:adjustRightInd w:val="0"/>
        <w:spacing w:line="300" w:lineRule="auto"/>
        <w:jc w:val="left"/>
      </w:pPr>
      <w:r>
        <w:drawing>
          <wp:inline distT="0" distB="0" distL="114300" distR="114300">
            <wp:extent cx="5266690" cy="1230630"/>
            <wp:effectExtent l="0" t="0" r="381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66690" cy="1230630"/>
                    </a:xfrm>
                    <a:prstGeom prst="rect">
                      <a:avLst/>
                    </a:prstGeom>
                    <a:noFill/>
                    <a:ln>
                      <a:noFill/>
                    </a:ln>
                  </pic:spPr>
                </pic:pic>
              </a:graphicData>
            </a:graphic>
          </wp:inline>
        </w:drawing>
      </w:r>
    </w:p>
    <w:p w14:paraId="148B23F4">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Bookinfo application is successfully accessed through the browser, and the product page is displayed correctly. This confirms that the service deployment, networking configuration, and external access are all functioning as expected.</w:t>
      </w:r>
    </w:p>
    <w:p w14:paraId="6852841C">
      <w:pPr>
        <w:widowControl w:val="0"/>
        <w:numPr>
          <w:ilvl w:val="0"/>
          <w:numId w:val="0"/>
        </w:numPr>
        <w:autoSpaceDE w:val="0"/>
        <w:autoSpaceDN w:val="0"/>
        <w:adjustRightInd w:val="0"/>
        <w:spacing w:line="300" w:lineRule="auto"/>
        <w:jc w:val="left"/>
        <w:rPr>
          <w:rFonts w:hint="default"/>
        </w:rPr>
      </w:pPr>
      <w:r>
        <w:drawing>
          <wp:inline distT="0" distB="0" distL="114300" distR="114300">
            <wp:extent cx="5268595" cy="1475740"/>
            <wp:effectExtent l="0" t="0" r="1905" b="1016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8595" cy="1475740"/>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This experiment provides a clear and practical understanding of how a service mesh operates in a Kubernetes environment. Compared with traditional microservices communication, Istio introduces an additional abstraction layer through sidecar proxies, which significantly enhances traffic control and observability. The overall workflow becomes more structured, and complex functionalities can be implemented without modifying application code.</w:t>
      </w:r>
    </w:p>
    <w:p w14:paraId="71332DE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2. The installation and configuration process highlights the importance of environment consistency and dependency management. Small issues such as missing namespace labels or incorrect configurations can directly affect the behavior of the system. This reinforces the need for careful verification at each step, especially when deploying distributed systems where errors are often not immediately visible.</w:t>
      </w:r>
    </w:p>
    <w:p w14:paraId="0A9B8F1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3. The concept of sidecar injection is particularly insightful. It demonstrates how infrastructure-level capabilities can be decoupled from application logic, allowing developers to focus on business functionality while delegating concerns such as routing, monitoring, and security to the service mesh. This design reflects a more scalable and maintainable approach to modern system architecture.</w:t>
      </w:r>
    </w:p>
    <w:p w14:paraId="1B0DD8FD">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4. The use of Gateway API for external access reveals a more standardized and flexible method for managing ingress traffic. Compared with traditional ingress configurations, it provides clearer abstraction and better extensibility. At the same time, it also introduces additional configuration complexity, which requires a deeper understanding of Kubernetes networking concepts.</w:t>
      </w:r>
    </w:p>
    <w:p w14:paraId="438AEC90">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5. The visualization through Kiali offers an intuitive perspective on service interactions, making abstract traffic flows easier to understand. Observing real-time request paths and dependencies helps identify potential bottlenecks and improves system transparency. This part of the experiment emphasizes the value of observability tools in managing and optimizing microservices systems.</w:t>
      </w:r>
    </w:p>
    <w:p w14:paraId="3C245062">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p w14:paraId="4809967E">
      <w:pPr>
        <w:numPr>
          <w:ilvl w:val="0"/>
          <w:numId w:val="0"/>
        </w:numPr>
        <w:autoSpaceDE w:val="0"/>
        <w:autoSpaceDN w:val="0"/>
        <w:adjustRightInd w:val="0"/>
        <w:spacing w:line="300" w:lineRule="auto"/>
        <w:jc w:val="center"/>
        <w:rPr>
          <w:rFonts w:hint="eastAsia" w:ascii="Times New Roman" w:eastAsia="宋体"/>
          <w:b/>
          <w:bCs/>
          <w:sz w:val="28"/>
          <w:lang w:val="en-US" w:eastAsia="zh-CN"/>
        </w:rPr>
      </w:pPr>
      <w:r>
        <w:rPr>
          <w:rFonts w:hint="eastAsia"/>
          <w:b/>
          <w:bCs/>
          <w:sz w:val="28"/>
        </w:rPr>
        <w:t>附录</w:t>
      </w:r>
      <w:r>
        <w:rPr>
          <w:rFonts w:hint="eastAsia" w:ascii="Times New Roman" w:eastAsia="宋体"/>
          <w:b/>
          <w:bCs/>
          <w:sz w:val="28"/>
          <w:lang w:val="en-US" w:eastAsia="zh-CN"/>
        </w:rPr>
        <w:t xml:space="preserve"> 程序命令代码</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D3113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8DEC49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1：启动Minikube和Kubernetes集群</w:t>
            </w:r>
          </w:p>
        </w:tc>
      </w:tr>
      <w:tr w14:paraId="23F245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04B18F5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minikube start</w:t>
            </w:r>
          </w:p>
          <w:p w14:paraId="1934A74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cluster-info</w:t>
            </w:r>
          </w:p>
          <w:p w14:paraId="3FDB742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cluster-info dump</w:t>
            </w:r>
          </w:p>
        </w:tc>
      </w:tr>
    </w:tbl>
    <w:p w14:paraId="00DC61DA">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626DCA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077E49D">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2：查看kubectl版本和下载Istio</w:t>
            </w:r>
          </w:p>
        </w:tc>
      </w:tr>
      <w:tr w14:paraId="3A31050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9C0880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kubectl version</w:t>
            </w:r>
          </w:p>
          <w:p w14:paraId="1A6299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curl -L https://istio.io/downloadIstio | sh</w:t>
            </w:r>
          </w:p>
          <w:p w14:paraId="6AFB2A4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export PATH="$PATH:/home/ubuntu/cloud_lab/gitea-lab/lab04/istio-1.29.2/bin"</w:t>
            </w:r>
          </w:p>
          <w:p w14:paraId="4ACD3B6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version</w:t>
            </w:r>
          </w:p>
          <w:p w14:paraId="76C281B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install --set profile=demo -y</w:t>
            </w:r>
          </w:p>
          <w:p w14:paraId="416B975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--server-side -f "https://github.com/kubernetes-sigs/gateway-api/releases/download/v1.4.0/experimental-install.yaml"</w:t>
            </w:r>
          </w:p>
        </w:tc>
      </w:tr>
    </w:tbl>
    <w:p w14:paraId="51F7EF5B">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8F9559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46C70967">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3：部署Bookinfo示例应用</w:t>
            </w:r>
          </w:p>
        </w:tc>
      </w:tr>
      <w:tr w14:paraId="006FBA2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5ADF51E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samples/bookinfo/platform/kube/bookinfo.yaml</w:t>
            </w:r>
          </w:p>
          <w:p w14:paraId="2A87009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w:t>
            </w:r>
          </w:p>
          <w:p w14:paraId="45B90A7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services</w:t>
            </w:r>
          </w:p>
          <w:p w14:paraId="59DACA0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eastAsia="宋体"/>
                <w:sz w:val="28"/>
                <w:vertAlign w:val="baseline"/>
                <w:lang w:val="en-US" w:eastAsia="zh-CN"/>
              </w:rPr>
            </w:pPr>
            <w:r>
              <w:rPr>
                <w:rFonts w:hint="eastAsia"/>
                <w:sz w:val="28"/>
                <w:vertAlign w:val="baseline"/>
                <w:lang w:val="en-US" w:eastAsia="zh-CN"/>
              </w:rPr>
              <w:t>// 从PowerShell中先获取 ratings Pod 名称</w:t>
            </w:r>
          </w:p>
          <w:p w14:paraId="1B350E2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$pod = (kubectl get pod -n default -l app=ratings --field-selector=status.phase=Running -o jsonpath="{.items[0].metadata.name}").Trim()</w:t>
            </w:r>
          </w:p>
          <w:p w14:paraId="585F380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lang w:val="en-US" w:eastAsia="zh-CN"/>
              </w:rPr>
            </w:pPr>
            <w:r>
              <w:rPr>
                <w:rFonts w:hint="eastAsia"/>
                <w:sz w:val="28"/>
                <w:vertAlign w:val="baseline"/>
                <w:lang w:val="en-US" w:eastAsia="zh-CN"/>
              </w:rPr>
              <w:t>// 从该 Pod 内访问productpage服务</w:t>
            </w:r>
          </w:p>
          <w:p w14:paraId="3C5141D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$html = kubectl exec -n default $pod -- curl -sS productpage:9080/</w:t>
            </w:r>
          </w:p>
          <w:p w14:paraId="2E42ACE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eastAsia="宋体"/>
                <w:sz w:val="28"/>
                <w:vertAlign w:val="baseline"/>
                <w:lang w:val="en-US" w:eastAsia="zh-CN"/>
              </w:rPr>
            </w:pPr>
            <w:r>
              <w:rPr>
                <w:rFonts w:hint="eastAsia"/>
                <w:sz w:val="28"/>
                <w:vertAlign w:val="baseline"/>
                <w:lang w:val="en-US" w:eastAsia="zh-CN"/>
              </w:rPr>
              <w:t>// 用正则提取 HTML 标题</w:t>
            </w:r>
          </w:p>
          <w:p w14:paraId="63B1309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 = [regex]::Match($html, '&lt;title&gt;\s*(.*?)\s*&lt;/title&gt;', 'IgnoreCase,Singleline')</w:t>
            </w:r>
          </w:p>
          <w:p w14:paraId="609BF67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$m.Groups[1].Value</w:t>
            </w:r>
          </w:p>
        </w:tc>
      </w:tr>
    </w:tbl>
    <w:p w14:paraId="3ED63CAE">
      <w:pPr>
        <w:numPr>
          <w:ilvl w:val="0"/>
          <w:numId w:val="0"/>
        </w:numPr>
        <w:autoSpaceDE w:val="0"/>
        <w:autoSpaceDN w:val="0"/>
        <w:adjustRightInd w:val="0"/>
        <w:spacing w:line="300" w:lineRule="auto"/>
        <w:jc w:val="left"/>
        <w:rPr>
          <w:rFonts w:hint="default" w:ascii="Times New Roman" w:eastAsia="宋体"/>
          <w:b/>
          <w:bCs/>
          <w:sz w:val="28"/>
          <w:lang w:val="en-US" w:eastAsia="zh-CN"/>
        </w:rPr>
      </w:pPr>
    </w:p>
    <w:p w14:paraId="167A440B">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888387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C77CB20">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4：应用Bookinfo Gateway配置</w:t>
            </w:r>
          </w:p>
        </w:tc>
      </w:tr>
      <w:tr w14:paraId="3D6744D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5F3D845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samples/bookinfo/networking/bookinfo-gateway.yaml</w:t>
            </w:r>
          </w:p>
          <w:p w14:paraId="4E3512A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analyze</w:t>
            </w:r>
          </w:p>
          <w:p w14:paraId="1A98C70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label namespace default istio-injection=enabled</w:t>
            </w:r>
          </w:p>
        </w:tc>
      </w:tr>
    </w:tbl>
    <w:p w14:paraId="21A5FD70">
      <w:pPr>
        <w:numPr>
          <w:ilvl w:val="0"/>
          <w:numId w:val="0"/>
        </w:numPr>
        <w:autoSpaceDE w:val="0"/>
        <w:autoSpaceDN w:val="0"/>
        <w:adjustRightInd w:val="0"/>
        <w:spacing w:line="300" w:lineRule="auto"/>
        <w:jc w:val="left"/>
        <w:rPr>
          <w:rFonts w:hint="default" w:ascii="Times New Roman" w:eastAsia="宋体"/>
          <w:b/>
          <w:bCs/>
          <w:sz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73477C5"/>
    <w:rsid w:val="0F5600DD"/>
    <w:rsid w:val="10C52736"/>
    <w:rsid w:val="145C66D9"/>
    <w:rsid w:val="17A565E8"/>
    <w:rsid w:val="1AB16453"/>
    <w:rsid w:val="1B0E083C"/>
    <w:rsid w:val="20B93F92"/>
    <w:rsid w:val="28A056CD"/>
    <w:rsid w:val="30CA37A4"/>
    <w:rsid w:val="311F619F"/>
    <w:rsid w:val="33684F28"/>
    <w:rsid w:val="35FC1D42"/>
    <w:rsid w:val="36E0137F"/>
    <w:rsid w:val="3DCA3D01"/>
    <w:rsid w:val="3FE66657"/>
    <w:rsid w:val="4069476C"/>
    <w:rsid w:val="40921320"/>
    <w:rsid w:val="45BF4DF6"/>
    <w:rsid w:val="45D45A3F"/>
    <w:rsid w:val="51BC6BCC"/>
    <w:rsid w:val="55000F39"/>
    <w:rsid w:val="5B8F292E"/>
    <w:rsid w:val="65124163"/>
    <w:rsid w:val="67490067"/>
    <w:rsid w:val="74EA1EF7"/>
    <w:rsid w:val="77F38ABC"/>
    <w:rsid w:val="79013A79"/>
    <w:rsid w:val="79AC0634"/>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20"/>
    <w:qFormat/>
    <w:uiPriority w:val="0"/>
    <w:rPr>
      <w:sz w:val="18"/>
      <w:szCs w:val="18"/>
    </w:rPr>
  </w:style>
  <w:style w:type="paragraph" w:styleId="3">
    <w:name w:val="footer"/>
    <w:basedOn w:val="1"/>
    <w:link w:val="16"/>
    <w:qFormat/>
    <w:uiPriority w:val="0"/>
    <w:pPr>
      <w:tabs>
        <w:tab w:val="center" w:pos="4153"/>
        <w:tab w:val="right" w:pos="8306"/>
      </w:tabs>
      <w:snapToGrid w:val="0"/>
      <w:jc w:val="left"/>
    </w:pPr>
    <w:rPr>
      <w:sz w:val="18"/>
      <w:szCs w:val="18"/>
    </w:rPr>
  </w:style>
  <w:style w:type="paragraph" w:styleId="4">
    <w:name w:val="header"/>
    <w:basedOn w:val="1"/>
    <w:link w:val="15"/>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FollowedHyperlink"/>
    <w:basedOn w:val="9"/>
    <w:qFormat/>
    <w:uiPriority w:val="0"/>
    <w:rPr>
      <w:color w:val="954F72" w:themeColor="followedHyperlink"/>
      <w:u w:val="single"/>
      <w14:textFill>
        <w14:solidFill>
          <w14:schemeClr w14:val="folHlink"/>
        </w14:solidFill>
      </w14:textFill>
    </w:rPr>
  </w:style>
  <w:style w:type="character" w:styleId="12">
    <w:name w:val="Emphasis"/>
    <w:basedOn w:val="9"/>
    <w:qFormat/>
    <w:uiPriority w:val="0"/>
    <w:rPr>
      <w:i/>
    </w:rPr>
  </w:style>
  <w:style w:type="character" w:styleId="13">
    <w:name w:val="Hyperlink"/>
    <w:basedOn w:val="9"/>
    <w:qFormat/>
    <w:uiPriority w:val="0"/>
    <w:rPr>
      <w:color w:val="0563C1" w:themeColor="hyperlink"/>
      <w:u w:val="single"/>
      <w14:textFill>
        <w14:solidFill>
          <w14:schemeClr w14:val="hlink"/>
        </w14:solidFill>
      </w14:textFill>
    </w:rPr>
  </w:style>
  <w:style w:type="character" w:styleId="14">
    <w:name w:val="HTML Code"/>
    <w:basedOn w:val="9"/>
    <w:qFormat/>
    <w:uiPriority w:val="0"/>
    <w:rPr>
      <w:rFonts w:ascii="Courier New" w:hAnsi="Courier New"/>
      <w:sz w:val="20"/>
    </w:rPr>
  </w:style>
  <w:style w:type="character" w:customStyle="1" w:styleId="15">
    <w:name w:val="页眉 字符"/>
    <w:basedOn w:val="9"/>
    <w:link w:val="4"/>
    <w:qFormat/>
    <w:uiPriority w:val="0"/>
    <w:rPr>
      <w:kern w:val="2"/>
      <w:sz w:val="18"/>
      <w:szCs w:val="18"/>
    </w:rPr>
  </w:style>
  <w:style w:type="character" w:customStyle="1" w:styleId="16">
    <w:name w:val="页脚 字符"/>
    <w:basedOn w:val="9"/>
    <w:link w:val="3"/>
    <w:qFormat/>
    <w:uiPriority w:val="0"/>
    <w:rPr>
      <w:kern w:val="2"/>
      <w:sz w:val="18"/>
      <w:szCs w:val="18"/>
    </w:rPr>
  </w:style>
  <w:style w:type="paragraph" w:customStyle="1" w:styleId="17">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8">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9">
    <w:name w:val="List Paragraph"/>
    <w:basedOn w:val="1"/>
    <w:qFormat/>
    <w:uiPriority w:val="99"/>
    <w:pPr>
      <w:ind w:firstLine="420" w:firstLineChars="200"/>
    </w:pPr>
  </w:style>
  <w:style w:type="character" w:customStyle="1" w:styleId="20">
    <w:name w:val="批注框文本 字符"/>
    <w:basedOn w:val="9"/>
    <w:link w:val="2"/>
    <w:qFormat/>
    <w:uiPriority w:val="0"/>
    <w:rPr>
      <w:kern w:val="2"/>
      <w:sz w:val="18"/>
      <w:szCs w:val="18"/>
    </w:rPr>
  </w:style>
  <w:style w:type="character" w:customStyle="1" w:styleId="21">
    <w:name w:val="Unresolved Mention"/>
    <w:basedOn w:val="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1478</Words>
  <Characters>9128</Characters>
  <Lines>11</Lines>
  <Paragraphs>3</Paragraphs>
  <TotalTime>17</TotalTime>
  <ScaleCrop>false</ScaleCrop>
  <LinksUpToDate>false</LinksUpToDate>
  <CharactersWithSpaces>10543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2026-04-25T12:25:10Z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