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04919" w:rsidRDefault="00E30665">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404919" w:rsidRDefault="00E30665">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required ) and Charts &amp; tables (wherever required))</w:t>
      </w:r>
      <w:r>
        <w:rPr>
          <w:sz w:val="38"/>
          <w:szCs w:val="38"/>
        </w:rPr>
        <w:t xml:space="preserve"> of the solution </w:t>
      </w:r>
    </w:p>
    <w:p w14:paraId="00000003" w14:textId="77777777" w:rsidR="00404919" w:rsidRDefault="00E30665">
      <w:pPr>
        <w:numPr>
          <w:ilvl w:val="0"/>
          <w:numId w:val="1"/>
        </w:numPr>
        <w:rPr>
          <w:sz w:val="38"/>
          <w:szCs w:val="38"/>
        </w:rPr>
      </w:pPr>
      <w:r>
        <w:rPr>
          <w:sz w:val="38"/>
          <w:szCs w:val="38"/>
        </w:rPr>
        <w:t xml:space="preserve">Link to </w:t>
      </w:r>
      <w:hyperlink r:id="rId5">
        <w:r>
          <w:rPr>
            <w:color w:val="1155CC"/>
            <w:sz w:val="38"/>
            <w:szCs w:val="38"/>
            <w:u w:val="single"/>
          </w:rPr>
          <w:t>submission guidelines</w:t>
        </w:r>
      </w:hyperlink>
      <w:r>
        <w:rPr>
          <w:sz w:val="38"/>
          <w:szCs w:val="38"/>
        </w:rPr>
        <w:t xml:space="preserve"> </w:t>
      </w:r>
    </w:p>
    <w:p w14:paraId="00000004" w14:textId="77777777" w:rsidR="00404919" w:rsidRDefault="00E30665">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404919" w:rsidRDefault="00404919">
      <w:pPr>
        <w:ind w:left="720"/>
        <w:rPr>
          <w:b/>
          <w:bCs/>
          <w:shd w:val="clear" w:color="auto" w:fill="F9CB9C"/>
        </w:rPr>
      </w:pPr>
    </w:p>
    <w:p w14:paraId="00000006" w14:textId="77777777" w:rsidR="00404919" w:rsidRDefault="00404919">
      <w:pPr>
        <w:rPr>
          <w:b/>
          <w:bCs/>
          <w:u w:val="single"/>
          <w:shd w:val="clear" w:color="auto" w:fill="F9CB9C"/>
        </w:rPr>
      </w:pPr>
    </w:p>
    <w:p w14:paraId="00000007" w14:textId="77777777" w:rsidR="00404919" w:rsidRDefault="00404919">
      <w:pPr>
        <w:rPr>
          <w:b/>
          <w:bCs/>
          <w:u w:val="single"/>
          <w:shd w:val="clear" w:color="auto" w:fill="F9CB9C"/>
        </w:rPr>
      </w:pPr>
    </w:p>
    <w:p w14:paraId="00000008" w14:textId="77777777" w:rsidR="00404919" w:rsidRDefault="00404919">
      <w:pPr>
        <w:rPr>
          <w:b/>
          <w:bCs/>
          <w:u w:val="single"/>
          <w:shd w:val="clear" w:color="auto" w:fill="F9CB9C"/>
        </w:rPr>
      </w:pPr>
    </w:p>
    <w:p w14:paraId="00000009" w14:textId="77777777" w:rsidR="00404919" w:rsidRDefault="00404919">
      <w:pPr>
        <w:rPr>
          <w:b/>
          <w:bCs/>
          <w:u w:val="single"/>
          <w:shd w:val="clear" w:color="auto" w:fill="F9CB9C"/>
        </w:rPr>
      </w:pPr>
    </w:p>
    <w:p w14:paraId="0000000A" w14:textId="77777777" w:rsidR="00404919" w:rsidRDefault="00404919">
      <w:pPr>
        <w:rPr>
          <w:b/>
          <w:bCs/>
          <w:u w:val="single"/>
          <w:shd w:val="clear" w:color="auto" w:fill="F9CB9C"/>
        </w:rPr>
      </w:pPr>
    </w:p>
    <w:p w14:paraId="0000000B" w14:textId="77777777" w:rsidR="00404919" w:rsidRDefault="00404919">
      <w:pPr>
        <w:rPr>
          <w:b/>
          <w:bCs/>
          <w:u w:val="single"/>
          <w:shd w:val="clear" w:color="auto" w:fill="F9CB9C"/>
        </w:rPr>
      </w:pPr>
    </w:p>
    <w:p w14:paraId="0000000C" w14:textId="77777777" w:rsidR="00404919" w:rsidRDefault="00404919">
      <w:pPr>
        <w:rPr>
          <w:b/>
          <w:bCs/>
          <w:u w:val="single"/>
          <w:shd w:val="clear" w:color="auto" w:fill="F9CB9C"/>
        </w:rPr>
      </w:pPr>
    </w:p>
    <w:p w14:paraId="0000000D" w14:textId="77777777" w:rsidR="00404919" w:rsidRDefault="00404919">
      <w:pPr>
        <w:rPr>
          <w:b/>
          <w:bCs/>
          <w:u w:val="single"/>
          <w:shd w:val="clear" w:color="auto" w:fill="F9CB9C"/>
        </w:rPr>
      </w:pPr>
    </w:p>
    <w:p w14:paraId="0000000E" w14:textId="77777777" w:rsidR="00404919" w:rsidRDefault="00404919">
      <w:pPr>
        <w:rPr>
          <w:b/>
          <w:bCs/>
          <w:u w:val="single"/>
          <w:shd w:val="clear" w:color="auto" w:fill="F9CB9C"/>
        </w:rPr>
      </w:pPr>
    </w:p>
    <w:p w14:paraId="0000000F" w14:textId="77777777" w:rsidR="00404919" w:rsidRDefault="00404919">
      <w:pPr>
        <w:rPr>
          <w:b/>
          <w:bCs/>
          <w:u w:val="single"/>
          <w:shd w:val="clear" w:color="auto" w:fill="F9CB9C"/>
        </w:rPr>
      </w:pPr>
    </w:p>
    <w:p w14:paraId="00000010" w14:textId="77777777" w:rsidR="00404919" w:rsidRDefault="00404919">
      <w:pPr>
        <w:rPr>
          <w:b/>
          <w:bCs/>
          <w:u w:val="single"/>
          <w:shd w:val="clear" w:color="auto" w:fill="F9CB9C"/>
        </w:rPr>
      </w:pPr>
    </w:p>
    <w:p w14:paraId="00000011" w14:textId="77777777" w:rsidR="00404919" w:rsidRDefault="00404919">
      <w:pPr>
        <w:rPr>
          <w:b/>
          <w:bCs/>
          <w:u w:val="single"/>
          <w:shd w:val="clear" w:color="auto" w:fill="F9CB9C"/>
        </w:rPr>
      </w:pPr>
    </w:p>
    <w:p w14:paraId="00000012" w14:textId="77777777" w:rsidR="00404919" w:rsidRDefault="00404919">
      <w:pPr>
        <w:rPr>
          <w:b/>
          <w:bCs/>
          <w:u w:val="single"/>
          <w:shd w:val="clear" w:color="auto" w:fill="F9CB9C"/>
        </w:rPr>
      </w:pPr>
    </w:p>
    <w:p w14:paraId="00000013" w14:textId="77777777" w:rsidR="00404919" w:rsidRDefault="00404919">
      <w:pPr>
        <w:rPr>
          <w:b/>
          <w:bCs/>
          <w:u w:val="single"/>
          <w:shd w:val="clear" w:color="auto" w:fill="F9CB9C"/>
        </w:rPr>
      </w:pPr>
    </w:p>
    <w:p w14:paraId="00000014" w14:textId="77777777" w:rsidR="00404919" w:rsidRDefault="00404919">
      <w:pPr>
        <w:rPr>
          <w:b/>
          <w:bCs/>
          <w:u w:val="single"/>
          <w:shd w:val="clear" w:color="auto" w:fill="F9CB9C"/>
        </w:rPr>
      </w:pPr>
    </w:p>
    <w:p w14:paraId="00000015" w14:textId="77777777" w:rsidR="00404919" w:rsidRDefault="00404919">
      <w:pPr>
        <w:rPr>
          <w:b/>
          <w:bCs/>
          <w:u w:val="single"/>
          <w:shd w:val="clear" w:color="auto" w:fill="F9CB9C"/>
        </w:rPr>
      </w:pPr>
    </w:p>
    <w:p w14:paraId="00000016" w14:textId="77777777" w:rsidR="00404919" w:rsidRDefault="00404919">
      <w:pPr>
        <w:rPr>
          <w:b/>
          <w:bCs/>
          <w:u w:val="single"/>
          <w:shd w:val="clear" w:color="auto" w:fill="F9CB9C"/>
        </w:rPr>
      </w:pPr>
    </w:p>
    <w:p w14:paraId="00000017" w14:textId="77777777" w:rsidR="00404919" w:rsidRDefault="00404919">
      <w:pPr>
        <w:rPr>
          <w:b/>
          <w:bCs/>
          <w:u w:val="single"/>
          <w:shd w:val="clear" w:color="auto" w:fill="F9CB9C"/>
        </w:rPr>
      </w:pPr>
    </w:p>
    <w:p w14:paraId="00000018" w14:textId="77777777" w:rsidR="00404919" w:rsidRDefault="00404919">
      <w:pPr>
        <w:rPr>
          <w:b/>
          <w:bCs/>
          <w:u w:val="single"/>
          <w:shd w:val="clear" w:color="auto" w:fill="F9CB9C"/>
        </w:rPr>
      </w:pPr>
    </w:p>
    <w:p w14:paraId="00000019" w14:textId="77777777" w:rsidR="00404919" w:rsidRDefault="00404919">
      <w:pPr>
        <w:rPr>
          <w:b/>
          <w:bCs/>
          <w:u w:val="single"/>
          <w:shd w:val="clear" w:color="auto" w:fill="F9CB9C"/>
        </w:rPr>
      </w:pPr>
    </w:p>
    <w:p w14:paraId="0000001A" w14:textId="77777777" w:rsidR="00404919" w:rsidRDefault="00404919">
      <w:pPr>
        <w:rPr>
          <w:b/>
          <w:bCs/>
          <w:u w:val="single"/>
          <w:shd w:val="clear" w:color="auto" w:fill="F9CB9C"/>
        </w:rPr>
      </w:pPr>
    </w:p>
    <w:p w14:paraId="0000001B" w14:textId="77777777" w:rsidR="00404919" w:rsidRDefault="00404919">
      <w:pPr>
        <w:rPr>
          <w:b/>
          <w:bCs/>
          <w:u w:val="single"/>
          <w:shd w:val="clear" w:color="auto" w:fill="F9CB9C"/>
        </w:rPr>
      </w:pPr>
    </w:p>
    <w:p w14:paraId="0000001C" w14:textId="77777777" w:rsidR="00404919" w:rsidRDefault="00404919">
      <w:pPr>
        <w:rPr>
          <w:b/>
          <w:bCs/>
          <w:u w:val="single"/>
          <w:shd w:val="clear" w:color="auto" w:fill="F9CB9C"/>
        </w:rPr>
      </w:pPr>
    </w:p>
    <w:p w14:paraId="0000001D" w14:textId="77777777" w:rsidR="00404919" w:rsidRDefault="00404919">
      <w:pPr>
        <w:rPr>
          <w:b/>
          <w:bCs/>
          <w:u w:val="single"/>
          <w:shd w:val="clear" w:color="auto" w:fill="F9CB9C"/>
        </w:rPr>
      </w:pPr>
    </w:p>
    <w:p w14:paraId="0000001E" w14:textId="77777777" w:rsidR="00404919" w:rsidRDefault="00404919">
      <w:pPr>
        <w:rPr>
          <w:b/>
          <w:bCs/>
          <w:u w:val="single"/>
          <w:shd w:val="clear" w:color="auto" w:fill="F9CB9C"/>
        </w:rPr>
      </w:pPr>
    </w:p>
    <w:p w14:paraId="0000001F" w14:textId="77777777" w:rsidR="00404919" w:rsidRDefault="00404919">
      <w:pPr>
        <w:rPr>
          <w:b/>
          <w:bCs/>
          <w:u w:val="single"/>
          <w:shd w:val="clear" w:color="auto" w:fill="F9CB9C"/>
        </w:rPr>
      </w:pPr>
    </w:p>
    <w:p w14:paraId="00000020" w14:textId="77777777" w:rsidR="00404919" w:rsidRDefault="00404919">
      <w:pPr>
        <w:rPr>
          <w:b/>
          <w:bCs/>
          <w:u w:val="single"/>
          <w:shd w:val="clear" w:color="auto" w:fill="F9CB9C"/>
        </w:rPr>
      </w:pPr>
    </w:p>
    <w:p w14:paraId="00000021" w14:textId="77777777" w:rsidR="00404919" w:rsidRDefault="00E30665">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2" w14:textId="77777777" w:rsidR="00404919" w:rsidRDefault="00404919"/>
    <w:p w14:paraId="00000023" w14:textId="77777777" w:rsidR="00404919" w:rsidRDefault="00E30665">
      <w:pPr>
        <w:pStyle w:val="Heading2"/>
      </w:pPr>
      <w:bookmarkStart w:id="1" w:name="_kw5bjfsx419y" w:colFirst="0" w:colLast="0"/>
      <w:bookmarkEnd w:id="1"/>
      <w:r>
        <w:rPr>
          <w:b/>
          <w:bCs/>
          <w:color w:val="FF0000"/>
        </w:rPr>
        <w:t>Question 1: What is the total no. of tables present in the data?</w:t>
      </w:r>
    </w:p>
    <w:p w14:paraId="00000024" w14:textId="77777777" w:rsidR="00404919" w:rsidRDefault="00E30665">
      <w:pPr>
        <w:pStyle w:val="Heading2"/>
        <w:rPr>
          <w:b/>
          <w:bCs/>
        </w:rPr>
      </w:pPr>
      <w:bookmarkStart w:id="2" w:name="_2shfhwb43asa" w:colFirst="0" w:colLast="0"/>
      <w:bookmarkEnd w:id="2"/>
      <w:r>
        <w:rPr>
          <w:b/>
          <w:bCs/>
          <w:color w:val="000000"/>
        </w:rPr>
        <w:t>Solution</w:t>
      </w:r>
      <w:r>
        <w:rPr>
          <w:b/>
          <w:bCs/>
        </w:rPr>
        <w:t>:</w:t>
      </w:r>
    </w:p>
    <w:p w14:paraId="00000025" w14:textId="77777777" w:rsidR="00404919" w:rsidRDefault="00404919"/>
    <w:p w14:paraId="00000026" w14:textId="225BC0C9" w:rsidR="00404919" w:rsidRDefault="00E30665">
      <w:pPr>
        <w:ind w:left="720"/>
        <w:rPr>
          <w:b/>
          <w:bCs/>
          <w:color w:val="FF0000"/>
        </w:rPr>
      </w:pPr>
      <w:r>
        <w:rPr>
          <w:b/>
          <w:bCs/>
          <w:color w:val="FF0000"/>
        </w:rPr>
        <w:t>Final Answer (if any):</w:t>
      </w:r>
    </w:p>
    <w:p w14:paraId="00000028" w14:textId="79E6EBA0" w:rsidR="00404919" w:rsidRDefault="00305C87">
      <w:pPr>
        <w:ind w:left="720"/>
      </w:pPr>
      <w:r>
        <w:t>1 primary data table</w:t>
      </w:r>
      <w:r>
        <w:br/>
      </w:r>
    </w:p>
    <w:p w14:paraId="00000029" w14:textId="359EA63A" w:rsidR="00404919" w:rsidRDefault="00E30665">
      <w:pPr>
        <w:ind w:left="720"/>
        <w:rPr>
          <w:b/>
          <w:bCs/>
          <w:color w:val="FF0000"/>
        </w:rPr>
      </w:pPr>
      <w:r>
        <w:rPr>
          <w:b/>
          <w:bCs/>
          <w:color w:val="FF0000"/>
        </w:rPr>
        <w:t>Approach (if any):</w:t>
      </w:r>
    </w:p>
    <w:p w14:paraId="0000002A" w14:textId="64C8610F" w:rsidR="00404919" w:rsidRDefault="00305C87">
      <w:pPr>
        <w:ind w:left="720"/>
      </w:pPr>
      <w:r>
        <w:t>The provided dataset is consolidated into 1 primary table named "Cleaned data" containing all 28,028 rows, which serves as the source for all analysis. (The workbook itself contains 19 sheets total).</w:t>
      </w:r>
    </w:p>
    <w:p w14:paraId="0000002B" w14:textId="77777777" w:rsidR="00404919" w:rsidRDefault="00404919">
      <w:pPr>
        <w:ind w:left="720"/>
      </w:pPr>
    </w:p>
    <w:p w14:paraId="0000002C" w14:textId="793E569B" w:rsidR="00404919" w:rsidRDefault="00E30665">
      <w:pPr>
        <w:ind w:left="720"/>
        <w:rPr>
          <w:b/>
          <w:bCs/>
          <w:color w:val="FF0000"/>
        </w:rPr>
      </w:pPr>
      <w:r>
        <w:rPr>
          <w:b/>
          <w:bCs/>
          <w:color w:val="FF0000"/>
        </w:rPr>
        <w:t>Charts &amp; Tables (if any):</w:t>
      </w:r>
      <w:r w:rsidR="00305C87">
        <w:rPr>
          <w:b/>
          <w:bCs/>
          <w:color w:val="FF0000"/>
        </w:rPr>
        <w:br/>
      </w:r>
    </w:p>
    <w:p w14:paraId="00000030" w14:textId="6F03A53C" w:rsidR="00404919" w:rsidRDefault="00305C87">
      <w:pPr>
        <w:ind w:left="720"/>
      </w:pPr>
      <w:r>
        <w:t>N/A</w:t>
      </w:r>
    </w:p>
    <w:p w14:paraId="00000031" w14:textId="77777777" w:rsidR="00404919" w:rsidRDefault="00404919">
      <w:pPr>
        <w:pStyle w:val="Heading2"/>
        <w:ind w:left="720"/>
      </w:pPr>
      <w:bookmarkStart w:id="3" w:name="_5nnd01tkel7c" w:colFirst="0" w:colLast="0"/>
      <w:bookmarkEnd w:id="3"/>
    </w:p>
    <w:p w14:paraId="00000032" w14:textId="77777777" w:rsidR="00404919" w:rsidRDefault="00E30665">
      <w:pPr>
        <w:pStyle w:val="Heading2"/>
      </w:pPr>
      <w:bookmarkStart w:id="4" w:name="_8uq9pplk64i" w:colFirst="0" w:colLast="0"/>
      <w:bookmarkEnd w:id="4"/>
      <w:r>
        <w:rPr>
          <w:b/>
          <w:bCs/>
          <w:color w:val="FF0000"/>
        </w:rPr>
        <w:t>Question 2: What is the total no. of attributes present in the data?</w:t>
      </w:r>
    </w:p>
    <w:p w14:paraId="00000033" w14:textId="77777777" w:rsidR="00404919" w:rsidRDefault="00E30665">
      <w:pPr>
        <w:pStyle w:val="Heading2"/>
        <w:rPr>
          <w:b/>
          <w:bCs/>
        </w:rPr>
      </w:pPr>
      <w:bookmarkStart w:id="5" w:name="_gx6f5wj01bim" w:colFirst="0" w:colLast="0"/>
      <w:bookmarkEnd w:id="5"/>
      <w:r>
        <w:rPr>
          <w:b/>
          <w:bCs/>
        </w:rPr>
        <w:t>Solution:</w:t>
      </w:r>
    </w:p>
    <w:p w14:paraId="00000034" w14:textId="77777777" w:rsidR="00404919" w:rsidRDefault="00404919"/>
    <w:p w14:paraId="00000035" w14:textId="77777777" w:rsidR="00404919" w:rsidRDefault="00E30665">
      <w:pPr>
        <w:ind w:left="720"/>
        <w:rPr>
          <w:b/>
          <w:bCs/>
          <w:color w:val="FF0000"/>
          <w:highlight w:val="white"/>
        </w:rPr>
      </w:pPr>
      <w:r>
        <w:rPr>
          <w:b/>
          <w:bCs/>
          <w:color w:val="FF0000"/>
          <w:highlight w:val="white"/>
        </w:rPr>
        <w:t>Final Answer (if any):</w:t>
      </w:r>
    </w:p>
    <w:p w14:paraId="4549CE65" w14:textId="1DDC5640" w:rsidR="00305C87" w:rsidRDefault="00305C87">
      <w:pPr>
        <w:ind w:left="720"/>
      </w:pPr>
      <w:r>
        <w:t>36 attributes.</w:t>
      </w:r>
    </w:p>
    <w:p w14:paraId="28E59D7C" w14:textId="77777777" w:rsidR="00305C87" w:rsidRDefault="00305C87">
      <w:pPr>
        <w:ind w:left="720"/>
      </w:pPr>
    </w:p>
    <w:p w14:paraId="00000038" w14:textId="77777777" w:rsidR="00404919" w:rsidRDefault="00E30665">
      <w:pPr>
        <w:ind w:left="720"/>
        <w:rPr>
          <w:b/>
          <w:bCs/>
          <w:color w:val="FF0000"/>
        </w:rPr>
      </w:pPr>
      <w:r>
        <w:rPr>
          <w:b/>
          <w:bCs/>
          <w:color w:val="FF0000"/>
        </w:rPr>
        <w:t>Approach (if any):</w:t>
      </w:r>
    </w:p>
    <w:p w14:paraId="0000003A" w14:textId="639D1FDD" w:rsidR="00404919" w:rsidRDefault="00305C87">
      <w:pPr>
        <w:ind w:left="720"/>
      </w:pPr>
      <w:r>
        <w:t>Counted the total number of columns in the "Cleaned data" table, yielding 36 distinct attributes (which includes original columns and newly derived date/user groupings).</w:t>
      </w:r>
    </w:p>
    <w:p w14:paraId="45179AE9" w14:textId="77777777" w:rsidR="00305C87" w:rsidRDefault="00305C87">
      <w:pPr>
        <w:ind w:left="720"/>
      </w:pPr>
    </w:p>
    <w:p w14:paraId="0000003B" w14:textId="49568649" w:rsidR="00404919" w:rsidRDefault="00E30665">
      <w:pPr>
        <w:ind w:left="720"/>
        <w:rPr>
          <w:b/>
          <w:bCs/>
          <w:color w:val="FF0000"/>
        </w:rPr>
      </w:pPr>
      <w:r>
        <w:rPr>
          <w:b/>
          <w:bCs/>
          <w:color w:val="FF0000"/>
        </w:rPr>
        <w:t>Charts &amp; Tables (if any):</w:t>
      </w:r>
    </w:p>
    <w:p w14:paraId="176A6D46" w14:textId="77777777" w:rsidR="00305C87" w:rsidRDefault="00305C87">
      <w:pPr>
        <w:ind w:left="720"/>
        <w:rPr>
          <w:b/>
          <w:bCs/>
          <w:color w:val="FF0000"/>
        </w:rPr>
      </w:pPr>
    </w:p>
    <w:p w14:paraId="0000003F" w14:textId="6E04CDC2" w:rsidR="00404919" w:rsidRDefault="00305C87">
      <w:pPr>
        <w:ind w:left="720"/>
      </w:pPr>
      <w:r>
        <w:t>N/A</w:t>
      </w:r>
    </w:p>
    <w:p w14:paraId="00000040" w14:textId="77777777" w:rsidR="00404919" w:rsidRDefault="00404919">
      <w:pPr>
        <w:ind w:left="720"/>
      </w:pPr>
    </w:p>
    <w:p w14:paraId="00000041" w14:textId="77777777" w:rsidR="00404919" w:rsidRDefault="00E30665">
      <w:pPr>
        <w:pStyle w:val="Heading2"/>
      </w:pPr>
      <w:bookmarkStart w:id="6" w:name="_3ewdtmuzy1e6" w:colFirst="0" w:colLast="0"/>
      <w:bookmarkEnd w:id="6"/>
      <w:r>
        <w:rPr>
          <w:b/>
          <w:bCs/>
          <w:color w:val="FF0000"/>
        </w:rPr>
        <w:lastRenderedPageBreak/>
        <w:t>Question 3: The data consists of some inconsistent and missing values so ensure that the data used for further analysis is cleaned.</w:t>
      </w:r>
    </w:p>
    <w:p w14:paraId="00000042" w14:textId="77777777" w:rsidR="00404919" w:rsidRDefault="00E30665">
      <w:pPr>
        <w:pStyle w:val="Heading2"/>
        <w:rPr>
          <w:b/>
          <w:bCs/>
        </w:rPr>
      </w:pPr>
      <w:bookmarkStart w:id="7" w:name="_ivw2g1iere9h" w:colFirst="0" w:colLast="0"/>
      <w:bookmarkEnd w:id="7"/>
      <w:r>
        <w:rPr>
          <w:b/>
          <w:bCs/>
        </w:rPr>
        <w:t>Solution:</w:t>
      </w:r>
    </w:p>
    <w:p w14:paraId="00000043" w14:textId="77777777" w:rsidR="00404919" w:rsidRDefault="00404919"/>
    <w:p w14:paraId="00000044" w14:textId="77777777" w:rsidR="00404919" w:rsidRDefault="00E30665">
      <w:pPr>
        <w:ind w:left="720"/>
        <w:rPr>
          <w:b/>
          <w:bCs/>
          <w:color w:val="FF0000"/>
          <w:highlight w:val="white"/>
        </w:rPr>
      </w:pPr>
      <w:r>
        <w:rPr>
          <w:b/>
          <w:bCs/>
          <w:color w:val="FF0000"/>
          <w:highlight w:val="white"/>
        </w:rPr>
        <w:t>Final Answer (if any):</w:t>
      </w:r>
    </w:p>
    <w:p w14:paraId="00000046" w14:textId="63D53C34" w:rsidR="00404919" w:rsidRDefault="00305C87">
      <w:pPr>
        <w:ind w:left="720"/>
      </w:pPr>
      <w:r>
        <w:t>Data has been thoroughly cleaned and structured within the "Cleaned data" sheet.</w:t>
      </w:r>
    </w:p>
    <w:p w14:paraId="0673833E" w14:textId="77777777" w:rsidR="00305C87" w:rsidRDefault="00305C87">
      <w:pPr>
        <w:ind w:left="720"/>
      </w:pPr>
    </w:p>
    <w:p w14:paraId="00000047" w14:textId="2DC3FA36" w:rsidR="00404919" w:rsidRDefault="00E30665">
      <w:pPr>
        <w:ind w:left="720"/>
        <w:rPr>
          <w:b/>
          <w:bCs/>
          <w:color w:val="FF0000"/>
        </w:rPr>
      </w:pPr>
      <w:r>
        <w:rPr>
          <w:b/>
          <w:bCs/>
          <w:color w:val="FF0000"/>
        </w:rPr>
        <w:t>Approach (if any):</w:t>
      </w:r>
    </w:p>
    <w:p w14:paraId="5262BE36" w14:textId="77777777" w:rsidR="008016F1" w:rsidRDefault="008016F1">
      <w:pPr>
        <w:ind w:left="720"/>
        <w:rPr>
          <w:b/>
          <w:bCs/>
          <w:color w:val="FF0000"/>
        </w:rPr>
      </w:pPr>
    </w:p>
    <w:p w14:paraId="121AA2B3" w14:textId="3C531333" w:rsidR="002A18A7" w:rsidRDefault="002A18A7" w:rsidP="008016F1">
      <w:pPr>
        <w:pStyle w:val="ListParagraph"/>
        <w:numPr>
          <w:ilvl w:val="1"/>
          <w:numId w:val="12"/>
        </w:numPr>
      </w:pPr>
      <w:r>
        <w:t>Checked for data duplicate values using “Remove Duplicate” function. No duplicate values found</w:t>
      </w:r>
    </w:p>
    <w:p w14:paraId="5A1470D4" w14:textId="74DA9575" w:rsidR="002A18A7" w:rsidRDefault="002A18A7" w:rsidP="002A18A7">
      <w:pPr>
        <w:ind w:left="720"/>
      </w:pPr>
    </w:p>
    <w:p w14:paraId="7495522D" w14:textId="1F7E7047" w:rsidR="005755D0" w:rsidRDefault="005755D0" w:rsidP="008016F1">
      <w:pPr>
        <w:pStyle w:val="ListParagraph"/>
        <w:numPr>
          <w:ilvl w:val="1"/>
          <w:numId w:val="12"/>
        </w:numPr>
      </w:pPr>
      <w:r>
        <w:t xml:space="preserve">Cleaned </w:t>
      </w:r>
      <w:r w:rsidRPr="00F912B5">
        <w:t>“</w:t>
      </w:r>
      <w:proofErr w:type="spellStart"/>
      <w:r w:rsidRPr="00F912B5">
        <w:t>guruName</w:t>
      </w:r>
      <w:proofErr w:type="spellEnd"/>
      <w:r w:rsidRPr="00F912B5">
        <w:t>” column using “Find &amp; Replace” function as it had inconsistent spacing between guru names.</w:t>
      </w:r>
    </w:p>
    <w:p w14:paraId="50A604DF" w14:textId="77777777" w:rsidR="005755D0" w:rsidRDefault="005755D0" w:rsidP="005755D0">
      <w:pPr>
        <w:ind w:left="720"/>
      </w:pPr>
    </w:p>
    <w:p w14:paraId="3B7B9892" w14:textId="77777777" w:rsidR="002A18A7" w:rsidRDefault="002A18A7" w:rsidP="008016F1">
      <w:pPr>
        <w:pStyle w:val="ListParagraph"/>
        <w:numPr>
          <w:ilvl w:val="1"/>
          <w:numId w:val="12"/>
        </w:numPr>
      </w:pPr>
      <w:r>
        <w:t>Filled “N/A” for the missing values in the Categorical Columns:</w:t>
      </w:r>
    </w:p>
    <w:p w14:paraId="6E7A9B3D" w14:textId="09128742" w:rsidR="002A18A7" w:rsidRDefault="002A18A7" w:rsidP="008016F1">
      <w:pPr>
        <w:pStyle w:val="ListParagraph"/>
        <w:numPr>
          <w:ilvl w:val="2"/>
          <w:numId w:val="14"/>
        </w:numPr>
      </w:pPr>
      <w:proofErr w:type="spellStart"/>
      <w:r>
        <w:t>chatStatus</w:t>
      </w:r>
      <w:proofErr w:type="spellEnd"/>
    </w:p>
    <w:p w14:paraId="2344A7B4" w14:textId="4768585B" w:rsidR="002A18A7" w:rsidRDefault="002A18A7" w:rsidP="008016F1">
      <w:pPr>
        <w:pStyle w:val="ListParagraph"/>
        <w:numPr>
          <w:ilvl w:val="2"/>
          <w:numId w:val="14"/>
        </w:numPr>
      </w:pPr>
      <w:proofErr w:type="spellStart"/>
      <w:r>
        <w:t>callStatus</w:t>
      </w:r>
      <w:proofErr w:type="spellEnd"/>
    </w:p>
    <w:p w14:paraId="58C7097D" w14:textId="0DCB32CB" w:rsidR="002A18A7" w:rsidRDefault="002A18A7" w:rsidP="008016F1">
      <w:pPr>
        <w:pStyle w:val="ListParagraph"/>
        <w:numPr>
          <w:ilvl w:val="2"/>
          <w:numId w:val="14"/>
        </w:numPr>
      </w:pPr>
      <w:proofErr w:type="spellStart"/>
      <w:r>
        <w:t>callSID</w:t>
      </w:r>
      <w:proofErr w:type="spellEnd"/>
    </w:p>
    <w:p w14:paraId="7DE5D2F2" w14:textId="4B4AA19C" w:rsidR="002A18A7" w:rsidRDefault="002A18A7" w:rsidP="008016F1">
      <w:pPr>
        <w:pStyle w:val="ListParagraph"/>
        <w:numPr>
          <w:ilvl w:val="2"/>
          <w:numId w:val="14"/>
        </w:numPr>
      </w:pPr>
      <w:proofErr w:type="spellStart"/>
      <w:r w:rsidRPr="002A18A7">
        <w:t>astrologerCallStatus</w:t>
      </w:r>
      <w:proofErr w:type="spellEnd"/>
    </w:p>
    <w:p w14:paraId="0926BF3B" w14:textId="26DBAD8B" w:rsidR="002A18A7" w:rsidRDefault="002A18A7" w:rsidP="008016F1">
      <w:pPr>
        <w:pStyle w:val="ListParagraph"/>
        <w:numPr>
          <w:ilvl w:val="2"/>
          <w:numId w:val="14"/>
        </w:numPr>
      </w:pPr>
      <w:proofErr w:type="spellStart"/>
      <w:r w:rsidRPr="002A18A7">
        <w:t>userCallStatus</w:t>
      </w:r>
      <w:proofErr w:type="spellEnd"/>
    </w:p>
    <w:p w14:paraId="21867779" w14:textId="3EA21A06" w:rsidR="002A18A7" w:rsidRDefault="002A18A7" w:rsidP="002A18A7">
      <w:pPr>
        <w:ind w:left="1080"/>
      </w:pPr>
    </w:p>
    <w:p w14:paraId="14520088" w14:textId="2EAF294B" w:rsidR="002A18A7" w:rsidRDefault="002A18A7" w:rsidP="008016F1">
      <w:pPr>
        <w:pStyle w:val="ListParagraph"/>
        <w:numPr>
          <w:ilvl w:val="1"/>
          <w:numId w:val="12"/>
        </w:numPr>
      </w:pPr>
      <w:r>
        <w:t>Filled “0.00” for the missing values in the Numerical Columns:</w:t>
      </w:r>
    </w:p>
    <w:p w14:paraId="482BAD7F" w14:textId="77777777" w:rsidR="00F912B5" w:rsidRDefault="00F912B5" w:rsidP="008016F1">
      <w:pPr>
        <w:pStyle w:val="ListParagraph"/>
        <w:numPr>
          <w:ilvl w:val="2"/>
          <w:numId w:val="13"/>
        </w:numPr>
      </w:pPr>
      <w:r>
        <w:t>a</w:t>
      </w:r>
      <w:r w:rsidR="002A18A7">
        <w:t>mount</w:t>
      </w:r>
    </w:p>
    <w:p w14:paraId="5C1A2474" w14:textId="4EABC4F1" w:rsidR="002A18A7" w:rsidRDefault="002A18A7" w:rsidP="008016F1">
      <w:pPr>
        <w:pStyle w:val="ListParagraph"/>
        <w:numPr>
          <w:ilvl w:val="2"/>
          <w:numId w:val="13"/>
        </w:numPr>
      </w:pPr>
      <w:proofErr w:type="spellStart"/>
      <w:r>
        <w:t>net</w:t>
      </w:r>
      <w:r w:rsidR="00F912B5">
        <w:t>A</w:t>
      </w:r>
      <w:r>
        <w:t>mount</w:t>
      </w:r>
      <w:proofErr w:type="spellEnd"/>
    </w:p>
    <w:p w14:paraId="2CA7AD41" w14:textId="6FA0BD49" w:rsidR="00F912B5" w:rsidRDefault="00F912B5" w:rsidP="008016F1">
      <w:pPr>
        <w:pStyle w:val="ListParagraph"/>
        <w:numPr>
          <w:ilvl w:val="2"/>
          <w:numId w:val="13"/>
        </w:numPr>
      </w:pPr>
      <w:proofErr w:type="spellStart"/>
      <w:r w:rsidRPr="00F912B5">
        <w:t>astrologersEarnings</w:t>
      </w:r>
      <w:proofErr w:type="spellEnd"/>
    </w:p>
    <w:p w14:paraId="048A8F63" w14:textId="242BE40C" w:rsidR="005755D0" w:rsidRDefault="005755D0" w:rsidP="008016F1">
      <w:pPr>
        <w:ind w:firstLine="735"/>
      </w:pPr>
    </w:p>
    <w:p w14:paraId="021FCC7A" w14:textId="07D9AA93" w:rsidR="00F912B5" w:rsidRDefault="00F912B5" w:rsidP="008016F1">
      <w:pPr>
        <w:pStyle w:val="ListParagraph"/>
        <w:numPr>
          <w:ilvl w:val="1"/>
          <w:numId w:val="12"/>
        </w:numPr>
      </w:pPr>
      <w:r>
        <w:t>Formatted “</w:t>
      </w:r>
      <w:proofErr w:type="spellStart"/>
      <w:r>
        <w:t>createdAT</w:t>
      </w:r>
      <w:proofErr w:type="spellEnd"/>
      <w:proofErr w:type="gramStart"/>
      <w:r>
        <w:t xml:space="preserve">” </w:t>
      </w:r>
      <w:r w:rsidR="005755D0">
        <w:t>,</w:t>
      </w:r>
      <w:proofErr w:type="gramEnd"/>
      <w:r>
        <w:t xml:space="preserve"> “</w:t>
      </w:r>
      <w:proofErr w:type="spellStart"/>
      <w:r>
        <w:t>updatedAT</w:t>
      </w:r>
      <w:proofErr w:type="spellEnd"/>
      <w:r>
        <w:t>”</w:t>
      </w:r>
      <w:r w:rsidR="005755D0">
        <w:t xml:space="preserve"> , “</w:t>
      </w:r>
      <w:proofErr w:type="spellStart"/>
      <w:r w:rsidR="005755D0" w:rsidRPr="005755D0">
        <w:t>chatStartTime</w:t>
      </w:r>
      <w:proofErr w:type="spellEnd"/>
      <w:r w:rsidR="005755D0">
        <w:t>” , “</w:t>
      </w:r>
      <w:proofErr w:type="spellStart"/>
      <w:r w:rsidR="005755D0" w:rsidRPr="005755D0">
        <w:t>chat</w:t>
      </w:r>
      <w:r w:rsidR="005755D0">
        <w:t>End</w:t>
      </w:r>
      <w:r w:rsidR="005755D0" w:rsidRPr="005755D0">
        <w:t>Time</w:t>
      </w:r>
      <w:proofErr w:type="spellEnd"/>
      <w:r w:rsidR="005755D0">
        <w:t>”</w:t>
      </w:r>
      <w:r>
        <w:t xml:space="preserve"> into proper date format.</w:t>
      </w:r>
    </w:p>
    <w:p w14:paraId="44825F1E" w14:textId="77777777" w:rsidR="00F912B5" w:rsidRDefault="00F912B5" w:rsidP="002A18A7">
      <w:pPr>
        <w:ind w:left="720"/>
      </w:pPr>
    </w:p>
    <w:p w14:paraId="40781E13" w14:textId="32B9F7D4" w:rsidR="002A18A7" w:rsidRDefault="00305C87" w:rsidP="008016F1">
      <w:pPr>
        <w:pStyle w:val="ListParagraph"/>
        <w:numPr>
          <w:ilvl w:val="1"/>
          <w:numId w:val="12"/>
        </w:numPr>
      </w:pPr>
      <w:r>
        <w:t>Date variables were extracted using Text-to-</w:t>
      </w:r>
      <w:proofErr w:type="gramStart"/>
      <w:r>
        <w:t>Columns</w:t>
      </w:r>
      <w:proofErr w:type="gramEnd"/>
      <w:r>
        <w:t xml:space="preserve"> formulas to generate specific 'Day', 'Month', 'Year', and 'DATE' columns</w:t>
      </w:r>
      <w:r w:rsidR="00F912B5">
        <w:t xml:space="preserve"> from “</w:t>
      </w:r>
      <w:proofErr w:type="spellStart"/>
      <w:r w:rsidR="00F912B5">
        <w:t>createdAT</w:t>
      </w:r>
      <w:proofErr w:type="spellEnd"/>
      <w:r w:rsidR="00F912B5">
        <w:t>”.</w:t>
      </w:r>
    </w:p>
    <w:p w14:paraId="23655403" w14:textId="0154C252" w:rsidR="00F912B5" w:rsidRDefault="00F912B5" w:rsidP="002A18A7">
      <w:pPr>
        <w:ind w:left="720"/>
      </w:pPr>
    </w:p>
    <w:p w14:paraId="2BAF855A" w14:textId="2BAC3E05" w:rsidR="00F912B5" w:rsidRDefault="00F912B5" w:rsidP="008016F1">
      <w:pPr>
        <w:pStyle w:val="ListParagraph"/>
        <w:numPr>
          <w:ilvl w:val="1"/>
          <w:numId w:val="12"/>
        </w:numPr>
      </w:pPr>
      <w:r>
        <w:t xml:space="preserve">Calculated missing values of </w:t>
      </w:r>
      <w:r w:rsidR="005755D0">
        <w:t>‘</w:t>
      </w:r>
      <w:proofErr w:type="spellStart"/>
      <w:r w:rsidRPr="00F912B5">
        <w:t>userOnCallDuration</w:t>
      </w:r>
      <w:proofErr w:type="spellEnd"/>
      <w:r w:rsidRPr="00F912B5">
        <w:t xml:space="preserve"> (Sec)</w:t>
      </w:r>
      <w:r w:rsidR="005755D0">
        <w:t>’</w:t>
      </w:r>
      <w:r>
        <w:t xml:space="preserve"> using </w:t>
      </w:r>
      <w:r w:rsidR="005755D0">
        <w:t>‘</w:t>
      </w:r>
      <w:proofErr w:type="spellStart"/>
      <w:r w:rsidRPr="00F912B5">
        <w:t>timeDuration</w:t>
      </w:r>
      <w:proofErr w:type="spellEnd"/>
      <w:r w:rsidRPr="00F912B5">
        <w:t xml:space="preserve"> (Mins)</w:t>
      </w:r>
      <w:r w:rsidR="005755D0">
        <w:t xml:space="preserve">’ </w:t>
      </w:r>
      <w:proofErr w:type="gramStart"/>
      <w:r w:rsidR="005755D0">
        <w:t xml:space="preserve">( </w:t>
      </w:r>
      <w:proofErr w:type="spellStart"/>
      <w:r w:rsidR="005755D0" w:rsidRPr="005755D0">
        <w:t>timeDuration</w:t>
      </w:r>
      <w:proofErr w:type="spellEnd"/>
      <w:proofErr w:type="gramEnd"/>
      <w:r w:rsidR="005755D0" w:rsidRPr="005755D0">
        <w:t xml:space="preserve"> </w:t>
      </w:r>
      <w:r w:rsidR="005755D0">
        <w:t xml:space="preserve">* 60 ) </w:t>
      </w:r>
      <w:r>
        <w:t>.</w:t>
      </w:r>
    </w:p>
    <w:p w14:paraId="477D7606" w14:textId="77777777" w:rsidR="00F912B5" w:rsidRDefault="00F912B5" w:rsidP="002A18A7">
      <w:pPr>
        <w:ind w:left="720"/>
      </w:pPr>
    </w:p>
    <w:p w14:paraId="00000049" w14:textId="54569441" w:rsidR="00404919" w:rsidRDefault="00305C87" w:rsidP="008016F1">
      <w:pPr>
        <w:pStyle w:val="ListParagraph"/>
        <w:numPr>
          <w:ilvl w:val="1"/>
          <w:numId w:val="12"/>
        </w:numPr>
      </w:pPr>
      <w:r>
        <w:t xml:space="preserve">Continuous variables like call duration </w:t>
      </w:r>
      <w:r w:rsidR="005755D0">
        <w:t xml:space="preserve">and various users </w:t>
      </w:r>
      <w:r>
        <w:t xml:space="preserve">were binned into categorical </w:t>
      </w:r>
      <w:r w:rsidR="005755D0">
        <w:t>‘User Type</w:t>
      </w:r>
      <w:proofErr w:type="gramStart"/>
      <w:r w:rsidR="005755D0">
        <w:t>’</w:t>
      </w:r>
      <w:r>
        <w:t xml:space="preserve"> </w:t>
      </w:r>
      <w:r w:rsidR="005755D0">
        <w:t>,</w:t>
      </w:r>
      <w:proofErr w:type="gramEnd"/>
      <w:r w:rsidR="005755D0">
        <w:t xml:space="preserve"> ‘Caller Type’ </w:t>
      </w:r>
      <w:r>
        <w:t>and 'Call Length' segments using nested IF logic.</w:t>
      </w:r>
    </w:p>
    <w:p w14:paraId="188256BC" w14:textId="5B463958" w:rsidR="008016F1" w:rsidRDefault="008016F1" w:rsidP="002A18A7">
      <w:pPr>
        <w:ind w:left="720"/>
      </w:pPr>
    </w:p>
    <w:p w14:paraId="022E0876" w14:textId="77777777" w:rsidR="008016F1" w:rsidRPr="008016F1" w:rsidRDefault="008016F1" w:rsidP="008016F1">
      <w:pPr>
        <w:pStyle w:val="ListParagraph"/>
        <w:numPr>
          <w:ilvl w:val="1"/>
          <w:numId w:val="12"/>
        </w:numPr>
        <w:rPr>
          <w:lang w:val="en-US"/>
        </w:rPr>
      </w:pPr>
      <w:r w:rsidRPr="008016F1">
        <w:rPr>
          <w:lang w:val="en-US"/>
        </w:rPr>
        <w:t xml:space="preserve">Removed </w:t>
      </w:r>
      <w:r w:rsidRPr="008016F1">
        <w:rPr>
          <w:b/>
          <w:bCs/>
          <w:lang w:val="en-US"/>
        </w:rPr>
        <w:t xml:space="preserve">queue, __v, </w:t>
      </w:r>
      <w:proofErr w:type="spellStart"/>
      <w:r w:rsidRPr="008016F1">
        <w:rPr>
          <w:b/>
          <w:bCs/>
          <w:lang w:val="en-US"/>
        </w:rPr>
        <w:t>callChannel</w:t>
      </w:r>
      <w:proofErr w:type="spellEnd"/>
      <w:r w:rsidRPr="008016F1">
        <w:rPr>
          <w:b/>
          <w:bCs/>
          <w:lang w:val="en-US"/>
        </w:rPr>
        <w:t xml:space="preserve">, </w:t>
      </w:r>
      <w:proofErr w:type="spellStart"/>
      <w:r w:rsidRPr="008016F1">
        <w:rPr>
          <w:b/>
          <w:bCs/>
          <w:lang w:val="en-US"/>
        </w:rPr>
        <w:t>callIvrType</w:t>
      </w:r>
      <w:proofErr w:type="spellEnd"/>
      <w:r w:rsidRPr="008016F1">
        <w:rPr>
          <w:b/>
          <w:bCs/>
          <w:lang w:val="en-US"/>
        </w:rPr>
        <w:t>, region</w:t>
      </w:r>
      <w:r w:rsidRPr="008016F1">
        <w:rPr>
          <w:lang w:val="en-US"/>
        </w:rPr>
        <w:t xml:space="preserve"> — empty or redundant columns that added no analytical value.</w:t>
      </w:r>
    </w:p>
    <w:p w14:paraId="3012D703" w14:textId="7C301C0D" w:rsidR="008016F1" w:rsidRDefault="008016F1" w:rsidP="002A18A7">
      <w:pPr>
        <w:ind w:left="720"/>
      </w:pPr>
    </w:p>
    <w:p w14:paraId="5CB12A03" w14:textId="77777777" w:rsidR="008016F1" w:rsidRDefault="008016F1" w:rsidP="002A18A7">
      <w:pPr>
        <w:ind w:left="720"/>
      </w:pPr>
    </w:p>
    <w:p w14:paraId="74509F66" w14:textId="77777777" w:rsidR="00305C87" w:rsidRDefault="00305C87">
      <w:pPr>
        <w:ind w:left="720"/>
      </w:pPr>
    </w:p>
    <w:p w14:paraId="0000004A" w14:textId="77777777" w:rsidR="00404919" w:rsidRDefault="00E30665">
      <w:pPr>
        <w:ind w:left="720"/>
        <w:rPr>
          <w:b/>
          <w:bCs/>
          <w:color w:val="FF0000"/>
        </w:rPr>
      </w:pPr>
      <w:r>
        <w:rPr>
          <w:b/>
          <w:bCs/>
          <w:color w:val="FF0000"/>
        </w:rPr>
        <w:t>Charts &amp; Tables (if any):</w:t>
      </w:r>
    </w:p>
    <w:p w14:paraId="0000004B" w14:textId="77777777" w:rsidR="00404919" w:rsidRDefault="00E30665">
      <w:pPr>
        <w:ind w:left="720"/>
      </w:pPr>
      <w:r>
        <w:t>- Table / Chart Name:</w:t>
      </w:r>
    </w:p>
    <w:p w14:paraId="0000004C" w14:textId="40E7D037" w:rsidR="00404919" w:rsidRDefault="00E30665">
      <w:pPr>
        <w:ind w:left="720"/>
      </w:pPr>
      <w:r>
        <w:t xml:space="preserve">  </w:t>
      </w:r>
      <w:r w:rsidR="005755D0">
        <w:t>Cleaned data</w:t>
      </w:r>
    </w:p>
    <w:p w14:paraId="0000004D" w14:textId="77777777" w:rsidR="00404919" w:rsidRDefault="00E30665">
      <w:pPr>
        <w:ind w:left="720"/>
      </w:pPr>
      <w:r>
        <w:t>- Description:</w:t>
      </w:r>
    </w:p>
    <w:p w14:paraId="0000004F" w14:textId="7E98B9D5" w:rsidR="00404919" w:rsidRDefault="00E30665" w:rsidP="00326E85">
      <w:pPr>
        <w:ind w:left="720"/>
      </w:pPr>
      <w:r>
        <w:t xml:space="preserve">  </w:t>
      </w:r>
      <w:r w:rsidR="005755D0">
        <w:t>The primary spreadsheet tab containing all sanitized records and derived attributes.</w:t>
      </w:r>
    </w:p>
    <w:p w14:paraId="00000050" w14:textId="77777777" w:rsidR="00404919" w:rsidRDefault="00E30665">
      <w:pPr>
        <w:pStyle w:val="Heading2"/>
        <w:rPr>
          <w:b/>
          <w:bCs/>
          <w:color w:val="FF0000"/>
        </w:rPr>
      </w:pPr>
      <w:bookmarkStart w:id="8" w:name="_l4wpnyvr3i1" w:colFirst="0" w:colLast="0"/>
      <w:bookmarkEnd w:id="8"/>
      <w:r>
        <w:rPr>
          <w:b/>
          <w:bCs/>
          <w:color w:val="FF0000"/>
        </w:rPr>
        <w:t>Question 4: What is the change in daily call volume day by day and also find the average daily call volume.</w:t>
      </w:r>
    </w:p>
    <w:p w14:paraId="00000051" w14:textId="77777777" w:rsidR="00404919" w:rsidRDefault="00E30665">
      <w:pPr>
        <w:pStyle w:val="Heading2"/>
        <w:rPr>
          <w:b/>
          <w:bCs/>
        </w:rPr>
      </w:pPr>
      <w:bookmarkStart w:id="9" w:name="_6j1nab1v5n2" w:colFirst="0" w:colLast="0"/>
      <w:bookmarkEnd w:id="9"/>
      <w:r>
        <w:rPr>
          <w:b/>
          <w:bCs/>
        </w:rPr>
        <w:t>Solution:</w:t>
      </w:r>
    </w:p>
    <w:p w14:paraId="00000052" w14:textId="77777777" w:rsidR="00404919" w:rsidRDefault="00404919"/>
    <w:p w14:paraId="00000053" w14:textId="77777777" w:rsidR="00404919" w:rsidRDefault="00E30665">
      <w:pPr>
        <w:ind w:left="720"/>
        <w:rPr>
          <w:b/>
          <w:bCs/>
          <w:color w:val="FF0000"/>
          <w:highlight w:val="white"/>
        </w:rPr>
      </w:pPr>
      <w:r>
        <w:rPr>
          <w:b/>
          <w:bCs/>
          <w:color w:val="FF0000"/>
          <w:highlight w:val="white"/>
        </w:rPr>
        <w:t>Final Answer (if any):</w:t>
      </w:r>
    </w:p>
    <w:p w14:paraId="00000055" w14:textId="05DE1C65" w:rsidR="00404919" w:rsidRDefault="005755D0">
      <w:pPr>
        <w:ind w:left="720"/>
      </w:pPr>
      <w:r>
        <w:t>The average daily call volume is 250.24 calls per day. The day-to-day change fluctuates highly, with volume drops observed as high as 216 calls between consecutive days.</w:t>
      </w:r>
    </w:p>
    <w:p w14:paraId="7DA57120" w14:textId="77777777" w:rsidR="005755D0" w:rsidRDefault="005755D0">
      <w:pPr>
        <w:ind w:left="720"/>
      </w:pPr>
    </w:p>
    <w:p w14:paraId="00000056" w14:textId="77777777" w:rsidR="00404919" w:rsidRDefault="00E30665">
      <w:pPr>
        <w:ind w:left="720"/>
        <w:rPr>
          <w:b/>
          <w:bCs/>
          <w:color w:val="FF0000"/>
        </w:rPr>
      </w:pPr>
      <w:r>
        <w:rPr>
          <w:b/>
          <w:bCs/>
          <w:color w:val="FF0000"/>
        </w:rPr>
        <w:t>Approach (if any):</w:t>
      </w:r>
    </w:p>
    <w:p w14:paraId="00000058" w14:textId="3F46C7EB" w:rsidR="00404919" w:rsidRDefault="008A3FA1">
      <w:pPr>
        <w:ind w:left="720"/>
      </w:pPr>
      <w:r>
        <w:t>Aggregated the data by the 'DATE' and ‘Year’ column using the pivot table. Calculated the daily average (250.24). Day-to-day changes were mapped by calculating the difference between the previous day's volume and the current day's volume.</w:t>
      </w:r>
    </w:p>
    <w:p w14:paraId="19704F66" w14:textId="77777777" w:rsidR="008A3FA1" w:rsidRDefault="008A3FA1">
      <w:pPr>
        <w:ind w:left="720"/>
      </w:pPr>
    </w:p>
    <w:p w14:paraId="00000059" w14:textId="77777777" w:rsidR="00404919" w:rsidRDefault="00E30665">
      <w:pPr>
        <w:ind w:left="720"/>
        <w:rPr>
          <w:b/>
          <w:bCs/>
          <w:color w:val="FF0000"/>
        </w:rPr>
      </w:pPr>
      <w:r>
        <w:rPr>
          <w:b/>
          <w:bCs/>
          <w:color w:val="FF0000"/>
        </w:rPr>
        <w:t>Charts &amp; Tables (if any):</w:t>
      </w:r>
    </w:p>
    <w:p w14:paraId="0000005A" w14:textId="77777777" w:rsidR="00404919" w:rsidRDefault="00E30665">
      <w:pPr>
        <w:ind w:left="720"/>
      </w:pPr>
      <w:r>
        <w:t>- Table / Chart Name:</w:t>
      </w:r>
    </w:p>
    <w:p w14:paraId="55D91FF1" w14:textId="2CC3A8C6" w:rsidR="008A3FA1" w:rsidRDefault="00E30665" w:rsidP="008A3FA1">
      <w:pPr>
        <w:ind w:left="720"/>
      </w:pPr>
      <w:r>
        <w:t xml:space="preserve">  </w:t>
      </w:r>
      <w:r w:rsidR="008A3FA1">
        <w:t>Pivot Table</w:t>
      </w:r>
      <w:r w:rsidR="00326E85">
        <w:t xml:space="preserve"> (</w:t>
      </w:r>
      <w:r w:rsidR="00326E85" w:rsidRPr="00326E85">
        <w:t>Q-4 I Objective</w:t>
      </w:r>
      <w:r w:rsidR="00326E85">
        <w:t>)</w:t>
      </w:r>
    </w:p>
    <w:p w14:paraId="7F34FF85" w14:textId="6D853DDD" w:rsidR="008A3FA1" w:rsidRDefault="008A3FA1">
      <w:pPr>
        <w:ind w:left="720"/>
      </w:pPr>
      <w:r>
        <w:t xml:space="preserve">  Line Chart named </w:t>
      </w:r>
      <w:r w:rsidRPr="008A3FA1">
        <w:t>Daily Call Volumes</w:t>
      </w:r>
      <w:r w:rsidR="00326E85">
        <w:t xml:space="preserve"> (</w:t>
      </w:r>
      <w:r w:rsidR="00326E85" w:rsidRPr="00326E85">
        <w:t>Q-4 I Objective</w:t>
      </w:r>
      <w:r w:rsidR="00326E85">
        <w:t>)</w:t>
      </w:r>
    </w:p>
    <w:p w14:paraId="2BA32AB7" w14:textId="2DAA89D2" w:rsidR="00326E85" w:rsidRDefault="00326E85">
      <w:pPr>
        <w:ind w:left="720"/>
      </w:pPr>
    </w:p>
    <w:p w14:paraId="027600E1" w14:textId="0A50DA5F" w:rsidR="00326E85" w:rsidRDefault="00326E85">
      <w:pPr>
        <w:ind w:left="720"/>
      </w:pPr>
      <w:r>
        <w:rPr>
          <w:noProof/>
        </w:rPr>
        <w:drawing>
          <wp:anchor distT="0" distB="0" distL="114300" distR="114300" simplePos="0" relativeHeight="251668480" behindDoc="0" locked="0" layoutInCell="1" allowOverlap="1" wp14:anchorId="751E07A6" wp14:editId="30B06FAF">
            <wp:simplePos x="0" y="0"/>
            <wp:positionH relativeFrom="margin">
              <wp:align>right</wp:align>
            </wp:positionH>
            <wp:positionV relativeFrom="paragraph">
              <wp:posOffset>137795</wp:posOffset>
            </wp:positionV>
            <wp:extent cx="5723890" cy="1843323"/>
            <wp:effectExtent l="0" t="0" r="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3890" cy="1843323"/>
                    </a:xfrm>
                    <a:prstGeom prst="rect">
                      <a:avLst/>
                    </a:prstGeom>
                    <a:noFill/>
                  </pic:spPr>
                </pic:pic>
              </a:graphicData>
            </a:graphic>
            <wp14:sizeRelH relativeFrom="margin">
              <wp14:pctWidth>0</wp14:pctWidth>
            </wp14:sizeRelH>
          </wp:anchor>
        </w:drawing>
      </w:r>
    </w:p>
    <w:p w14:paraId="6A8E3942" w14:textId="49061B44" w:rsidR="00326E85" w:rsidRDefault="00326E85">
      <w:pPr>
        <w:ind w:left="720"/>
      </w:pPr>
    </w:p>
    <w:p w14:paraId="0583B756" w14:textId="291D16AA" w:rsidR="00326E85" w:rsidRDefault="00326E85">
      <w:pPr>
        <w:ind w:left="720"/>
      </w:pPr>
    </w:p>
    <w:p w14:paraId="5BFB48FB" w14:textId="522B9B20" w:rsidR="00326E85" w:rsidRDefault="00326E85">
      <w:pPr>
        <w:ind w:left="720"/>
      </w:pPr>
    </w:p>
    <w:p w14:paraId="6DEB0193" w14:textId="6BA85445" w:rsidR="00326E85" w:rsidRDefault="00326E85">
      <w:pPr>
        <w:ind w:left="720"/>
      </w:pPr>
    </w:p>
    <w:p w14:paraId="33B5BC40" w14:textId="5E03AD5A" w:rsidR="00326E85" w:rsidRDefault="00326E85">
      <w:pPr>
        <w:ind w:left="720"/>
      </w:pPr>
    </w:p>
    <w:p w14:paraId="4E1E482F" w14:textId="7AC421E4" w:rsidR="00326E85" w:rsidRDefault="00326E85">
      <w:pPr>
        <w:ind w:left="720"/>
      </w:pPr>
    </w:p>
    <w:p w14:paraId="51551A78" w14:textId="48E54423" w:rsidR="00326E85" w:rsidRDefault="00326E85">
      <w:pPr>
        <w:ind w:left="720"/>
      </w:pPr>
    </w:p>
    <w:p w14:paraId="1E73C4B0" w14:textId="5A4D62D6" w:rsidR="00326E85" w:rsidRDefault="00326E85">
      <w:pPr>
        <w:ind w:left="720"/>
      </w:pPr>
    </w:p>
    <w:p w14:paraId="65D58FD8" w14:textId="4CFC4515" w:rsidR="00326E85" w:rsidRDefault="00326E85">
      <w:pPr>
        <w:ind w:left="720"/>
      </w:pPr>
    </w:p>
    <w:p w14:paraId="6167967C" w14:textId="7BB946DD" w:rsidR="008A3FA1" w:rsidRDefault="008A3FA1" w:rsidP="00326E85"/>
    <w:p w14:paraId="0DE098A1" w14:textId="77777777" w:rsidR="00326E85" w:rsidRDefault="00326E85" w:rsidP="00326E85"/>
    <w:p w14:paraId="0000005C" w14:textId="77777777" w:rsidR="00404919" w:rsidRDefault="00E30665">
      <w:pPr>
        <w:ind w:left="720"/>
      </w:pPr>
      <w:r>
        <w:t>- Description:</w:t>
      </w:r>
    </w:p>
    <w:p w14:paraId="67850551" w14:textId="77777777" w:rsidR="00326E85" w:rsidRDefault="00E30665" w:rsidP="00326E85">
      <w:pPr>
        <w:ind w:left="720"/>
      </w:pPr>
      <w:r>
        <w:t xml:space="preserve">  </w:t>
      </w:r>
      <w:r w:rsidR="008A3FA1">
        <w:t xml:space="preserve">A tabular calculation displaying chronological dates, corresponding daily </w:t>
      </w:r>
    </w:p>
    <w:p w14:paraId="0000005D" w14:textId="44AAF4FC" w:rsidR="00404919" w:rsidRDefault="00326E85" w:rsidP="00326E85">
      <w:pPr>
        <w:ind w:left="720"/>
      </w:pPr>
      <w:r>
        <w:t xml:space="preserve">  C</w:t>
      </w:r>
      <w:r w:rsidR="008A3FA1">
        <w:t>all</w:t>
      </w:r>
      <w:r>
        <w:t xml:space="preserve"> </w:t>
      </w:r>
      <w:r w:rsidR="008A3FA1">
        <w:t>volume, and the sequential numerical difference.</w:t>
      </w:r>
      <w:r w:rsidR="008A3FA1">
        <w:br/>
        <w:t xml:space="preserve">  Line Chart ‘</w:t>
      </w:r>
      <w:r w:rsidR="008A3FA1" w:rsidRPr="008A3FA1">
        <w:t>Daily Call Volume</w:t>
      </w:r>
      <w:r>
        <w:t>’</w:t>
      </w:r>
      <w:r w:rsidR="008A3FA1">
        <w:t xml:space="preserve"> Showing the visual representation of the data</w:t>
      </w:r>
    </w:p>
    <w:p w14:paraId="0000005E" w14:textId="77777777" w:rsidR="00404919" w:rsidRDefault="00404919"/>
    <w:p w14:paraId="0000005F" w14:textId="77777777" w:rsidR="00404919" w:rsidRDefault="00E30665">
      <w:pPr>
        <w:pStyle w:val="Heading2"/>
        <w:rPr>
          <w:b/>
          <w:bCs/>
          <w:color w:val="FF0000"/>
        </w:rPr>
      </w:pPr>
      <w:bookmarkStart w:id="10" w:name="_vyc89boobnpa" w:colFirst="0" w:colLast="0"/>
      <w:bookmarkEnd w:id="10"/>
      <w:r>
        <w:rPr>
          <w:b/>
          <w:bCs/>
          <w:color w:val="FF0000"/>
        </w:rPr>
        <w:t>Question 5: Which months experienced the highest and lowest call volumes?</w:t>
      </w:r>
    </w:p>
    <w:p w14:paraId="00000060" w14:textId="77777777" w:rsidR="00404919" w:rsidRDefault="00E30665">
      <w:pPr>
        <w:pStyle w:val="Heading2"/>
        <w:rPr>
          <w:b/>
          <w:bCs/>
        </w:rPr>
      </w:pPr>
      <w:bookmarkStart w:id="11" w:name="_8clk5rf12j2w" w:colFirst="0" w:colLast="0"/>
      <w:bookmarkEnd w:id="11"/>
      <w:r>
        <w:rPr>
          <w:b/>
          <w:bCs/>
        </w:rPr>
        <w:t>Solution:</w:t>
      </w:r>
    </w:p>
    <w:p w14:paraId="00000061" w14:textId="77777777" w:rsidR="00404919" w:rsidRDefault="00404919"/>
    <w:p w14:paraId="00000062" w14:textId="77777777" w:rsidR="00404919" w:rsidRDefault="00E30665">
      <w:pPr>
        <w:ind w:left="720"/>
        <w:rPr>
          <w:b/>
          <w:bCs/>
          <w:color w:val="FF0000"/>
          <w:highlight w:val="white"/>
        </w:rPr>
      </w:pPr>
      <w:r>
        <w:rPr>
          <w:b/>
          <w:bCs/>
          <w:color w:val="FF0000"/>
          <w:highlight w:val="white"/>
        </w:rPr>
        <w:t>Final Answer (if any):</w:t>
      </w:r>
    </w:p>
    <w:p w14:paraId="4E36F67F" w14:textId="77777777" w:rsidR="00E22E33" w:rsidRDefault="008A3FA1">
      <w:pPr>
        <w:ind w:left="720"/>
      </w:pPr>
      <w:r>
        <w:t>Highest Volume: December (</w:t>
      </w:r>
      <w:r w:rsidR="00E22E33">
        <w:t>8090</w:t>
      </w:r>
      <w:r>
        <w:t xml:space="preserve"> calls). </w:t>
      </w:r>
    </w:p>
    <w:p w14:paraId="00000064" w14:textId="0D4FECAA" w:rsidR="00404919" w:rsidRDefault="008A3FA1">
      <w:pPr>
        <w:ind w:left="720"/>
      </w:pPr>
      <w:r>
        <w:t>Lowest Volume: January (</w:t>
      </w:r>
      <w:r w:rsidR="00E22E33">
        <w:t>418</w:t>
      </w:r>
      <w:r>
        <w:t xml:space="preserve"> calls).</w:t>
      </w:r>
    </w:p>
    <w:p w14:paraId="1C42FBAC" w14:textId="77777777" w:rsidR="008A3FA1" w:rsidRDefault="008A3FA1">
      <w:pPr>
        <w:ind w:left="720"/>
      </w:pPr>
    </w:p>
    <w:p w14:paraId="00000065" w14:textId="77777777" w:rsidR="00404919" w:rsidRDefault="00E30665">
      <w:pPr>
        <w:ind w:left="720"/>
        <w:rPr>
          <w:b/>
          <w:bCs/>
          <w:color w:val="FF0000"/>
        </w:rPr>
      </w:pPr>
      <w:r>
        <w:rPr>
          <w:b/>
          <w:bCs/>
          <w:color w:val="FF0000"/>
        </w:rPr>
        <w:t>Approach (if any):</w:t>
      </w:r>
    </w:p>
    <w:p w14:paraId="00000067" w14:textId="59874C7F" w:rsidR="00404919" w:rsidRDefault="00E22E33">
      <w:pPr>
        <w:ind w:left="720"/>
      </w:pPr>
      <w:r>
        <w:t xml:space="preserve">Grouped the dataset by the derived 'Month' column and applied a pivot </w:t>
      </w:r>
      <w:proofErr w:type="spellStart"/>
      <w:r>
        <w:t>tabe</w:t>
      </w:r>
      <w:proofErr w:type="spellEnd"/>
      <w:r>
        <w:t xml:space="preserve"> aggregation to quantify the exact number of interactions per month.</w:t>
      </w:r>
    </w:p>
    <w:p w14:paraId="6F8321E7" w14:textId="77777777" w:rsidR="00E22E33" w:rsidRDefault="00E22E33">
      <w:pPr>
        <w:ind w:left="720"/>
      </w:pPr>
    </w:p>
    <w:p w14:paraId="00000068" w14:textId="77777777" w:rsidR="00404919" w:rsidRDefault="00E30665">
      <w:pPr>
        <w:ind w:left="720"/>
        <w:rPr>
          <w:b/>
          <w:bCs/>
          <w:color w:val="FF0000"/>
        </w:rPr>
      </w:pPr>
      <w:r>
        <w:rPr>
          <w:b/>
          <w:bCs/>
          <w:color w:val="FF0000"/>
        </w:rPr>
        <w:t>Charts &amp; Tables (if any):</w:t>
      </w:r>
    </w:p>
    <w:p w14:paraId="00000069" w14:textId="77777777" w:rsidR="00404919" w:rsidRDefault="00E30665">
      <w:pPr>
        <w:ind w:left="720"/>
      </w:pPr>
      <w:r>
        <w:t>- Table / Chart Name:</w:t>
      </w:r>
    </w:p>
    <w:p w14:paraId="0000006A" w14:textId="787604D3" w:rsidR="00404919" w:rsidRDefault="00E30665">
      <w:pPr>
        <w:ind w:left="720"/>
      </w:pPr>
      <w:r>
        <w:t xml:space="preserve">  </w:t>
      </w:r>
      <w:r w:rsidR="00E22E33">
        <w:t>Pivot Table (</w:t>
      </w:r>
      <w:bookmarkStart w:id="12" w:name="_Hlk237039513"/>
      <w:r w:rsidR="00326E85" w:rsidRPr="00326E85">
        <w:t>Q-</w:t>
      </w:r>
      <w:r w:rsidR="00326E85">
        <w:t>5</w:t>
      </w:r>
      <w:r w:rsidR="00326E85" w:rsidRPr="00326E85">
        <w:t xml:space="preserve"> I Objective</w:t>
      </w:r>
      <w:bookmarkEnd w:id="12"/>
      <w:r w:rsidR="00E22E33">
        <w:t>)</w:t>
      </w:r>
    </w:p>
    <w:p w14:paraId="3B3F8F62" w14:textId="1358A287" w:rsidR="00E22E33" w:rsidRDefault="00E22E33">
      <w:pPr>
        <w:ind w:left="720"/>
      </w:pPr>
      <w:r>
        <w:t xml:space="preserve">  Pie Chart</w:t>
      </w:r>
      <w:r w:rsidR="00061B2F">
        <w:t xml:space="preserve"> </w:t>
      </w:r>
      <w:r>
        <w:t>(</w:t>
      </w:r>
      <w:r w:rsidR="00326E85" w:rsidRPr="00326E85">
        <w:t>Q-</w:t>
      </w:r>
      <w:r w:rsidR="00326E85">
        <w:t>5</w:t>
      </w:r>
      <w:r w:rsidR="00326E85" w:rsidRPr="00326E85">
        <w:t xml:space="preserve"> I Objective</w:t>
      </w:r>
      <w:r>
        <w:t>)</w:t>
      </w:r>
    </w:p>
    <w:p w14:paraId="3450ABDA" w14:textId="1D05546C" w:rsidR="00326E85" w:rsidRDefault="00061B2F">
      <w:pPr>
        <w:ind w:left="720"/>
      </w:pPr>
      <w:r>
        <w:rPr>
          <w:noProof/>
        </w:rPr>
        <w:drawing>
          <wp:anchor distT="0" distB="0" distL="114300" distR="114300" simplePos="0" relativeHeight="251669504" behindDoc="0" locked="0" layoutInCell="1" allowOverlap="1" wp14:anchorId="70788633" wp14:editId="7084867A">
            <wp:simplePos x="0" y="0"/>
            <wp:positionH relativeFrom="margin">
              <wp:align>center</wp:align>
            </wp:positionH>
            <wp:positionV relativeFrom="paragraph">
              <wp:posOffset>112892</wp:posOffset>
            </wp:positionV>
            <wp:extent cx="4767580" cy="327977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7580" cy="3279775"/>
                    </a:xfrm>
                    <a:prstGeom prst="rect">
                      <a:avLst/>
                    </a:prstGeom>
                    <a:noFill/>
                  </pic:spPr>
                </pic:pic>
              </a:graphicData>
            </a:graphic>
          </wp:anchor>
        </w:drawing>
      </w:r>
    </w:p>
    <w:p w14:paraId="728BE335" w14:textId="04A9CD78" w:rsidR="00326E85" w:rsidRDefault="00326E85">
      <w:pPr>
        <w:ind w:left="720"/>
      </w:pPr>
    </w:p>
    <w:p w14:paraId="1E3D2116" w14:textId="4186D335" w:rsidR="00326E85" w:rsidRDefault="00326E85">
      <w:pPr>
        <w:ind w:left="720"/>
      </w:pPr>
    </w:p>
    <w:p w14:paraId="223A3112" w14:textId="54674BA1" w:rsidR="00326E85" w:rsidRDefault="00326E85">
      <w:pPr>
        <w:ind w:left="720"/>
      </w:pPr>
    </w:p>
    <w:p w14:paraId="220ADF90" w14:textId="5305B533" w:rsidR="00326E85" w:rsidRDefault="00326E85">
      <w:pPr>
        <w:ind w:left="720"/>
      </w:pPr>
    </w:p>
    <w:p w14:paraId="7577EB83" w14:textId="1315A4A1" w:rsidR="00326E85" w:rsidRDefault="00326E85">
      <w:pPr>
        <w:ind w:left="720"/>
      </w:pPr>
    </w:p>
    <w:p w14:paraId="64C931FB" w14:textId="1F833493" w:rsidR="00326E85" w:rsidRDefault="00326E85">
      <w:pPr>
        <w:ind w:left="720"/>
      </w:pPr>
    </w:p>
    <w:p w14:paraId="51F5AD4B" w14:textId="1EE74FF8" w:rsidR="00326E85" w:rsidRDefault="00326E85">
      <w:pPr>
        <w:ind w:left="720"/>
      </w:pPr>
    </w:p>
    <w:p w14:paraId="56846EE2" w14:textId="319EBE20" w:rsidR="00326E85" w:rsidRDefault="00326E85">
      <w:pPr>
        <w:ind w:left="720"/>
      </w:pPr>
    </w:p>
    <w:p w14:paraId="31F0AC4A" w14:textId="790E647A" w:rsidR="00326E85" w:rsidRDefault="00326E85">
      <w:pPr>
        <w:ind w:left="720"/>
      </w:pPr>
    </w:p>
    <w:p w14:paraId="3831951B" w14:textId="6131FF27" w:rsidR="00326E85" w:rsidRDefault="00326E85">
      <w:pPr>
        <w:ind w:left="720"/>
      </w:pPr>
    </w:p>
    <w:p w14:paraId="56166CE8" w14:textId="355CF625" w:rsidR="00326E85" w:rsidRDefault="00326E85">
      <w:pPr>
        <w:ind w:left="720"/>
      </w:pPr>
    </w:p>
    <w:p w14:paraId="4A5BB891" w14:textId="3BC46553" w:rsidR="00326E85" w:rsidRDefault="00326E85">
      <w:pPr>
        <w:ind w:left="720"/>
      </w:pPr>
    </w:p>
    <w:p w14:paraId="786FE20A" w14:textId="773F7F02" w:rsidR="00326E85" w:rsidRDefault="00326E85">
      <w:pPr>
        <w:ind w:left="720"/>
      </w:pPr>
    </w:p>
    <w:p w14:paraId="59F866C9" w14:textId="298C1EFD" w:rsidR="00326E85" w:rsidRDefault="00326E85">
      <w:pPr>
        <w:ind w:left="720"/>
      </w:pPr>
    </w:p>
    <w:p w14:paraId="7F8D8DF2" w14:textId="77777777" w:rsidR="00326E85" w:rsidRDefault="00326E85">
      <w:pPr>
        <w:ind w:left="720"/>
      </w:pPr>
    </w:p>
    <w:p w14:paraId="49420711" w14:textId="77777777" w:rsidR="00E22E33" w:rsidRDefault="00E22E33">
      <w:pPr>
        <w:ind w:left="720"/>
      </w:pPr>
    </w:p>
    <w:p w14:paraId="531972E0" w14:textId="77777777" w:rsidR="00326E85" w:rsidRDefault="00326E85">
      <w:pPr>
        <w:ind w:left="720"/>
      </w:pPr>
    </w:p>
    <w:p w14:paraId="121EEC7D" w14:textId="77777777" w:rsidR="00061B2F" w:rsidRDefault="00061B2F">
      <w:pPr>
        <w:ind w:left="720"/>
      </w:pPr>
    </w:p>
    <w:p w14:paraId="0000006B" w14:textId="10687360" w:rsidR="00404919" w:rsidRDefault="00E30665">
      <w:pPr>
        <w:ind w:left="720"/>
      </w:pPr>
      <w:r>
        <w:t>- Description:</w:t>
      </w:r>
    </w:p>
    <w:p w14:paraId="0000006C" w14:textId="42B55C9A" w:rsidR="00404919" w:rsidRDefault="00E30665">
      <w:pPr>
        <w:ind w:left="720"/>
      </w:pPr>
      <w:r>
        <w:t xml:space="preserve">  </w:t>
      </w:r>
      <w:r w:rsidR="00E22E33">
        <w:t>Summary pivot table ranking the months based on total logged call counts.</w:t>
      </w:r>
    </w:p>
    <w:p w14:paraId="42AE6087" w14:textId="2A616E4F" w:rsidR="00E22E33" w:rsidRDefault="00E22E33">
      <w:pPr>
        <w:ind w:left="720"/>
      </w:pPr>
      <w:r>
        <w:t xml:space="preserve">  Pie Chart for visual representation of the logged call counts</w:t>
      </w:r>
    </w:p>
    <w:p w14:paraId="0000006D" w14:textId="77777777" w:rsidR="00404919" w:rsidRDefault="00404919"/>
    <w:p w14:paraId="0000006E" w14:textId="77777777" w:rsidR="00404919" w:rsidRDefault="00E30665">
      <w:pPr>
        <w:pStyle w:val="Heading2"/>
        <w:rPr>
          <w:b/>
          <w:bCs/>
          <w:color w:val="FF0000"/>
        </w:rPr>
      </w:pPr>
      <w:bookmarkStart w:id="13" w:name="_n32lvsavor6b" w:colFirst="0" w:colLast="0"/>
      <w:bookmarkEnd w:id="13"/>
      <w:r>
        <w:rPr>
          <w:b/>
          <w:bCs/>
          <w:color w:val="FF0000"/>
        </w:rPr>
        <w:lastRenderedPageBreak/>
        <w:t>Question 6: What is the total operational cost for that month?</w:t>
      </w:r>
    </w:p>
    <w:p w14:paraId="0000006F" w14:textId="77777777" w:rsidR="00404919" w:rsidRDefault="00E30665">
      <w:pPr>
        <w:pStyle w:val="Heading2"/>
        <w:rPr>
          <w:b/>
          <w:bCs/>
        </w:rPr>
      </w:pPr>
      <w:bookmarkStart w:id="14" w:name="_l01tao153vvs" w:colFirst="0" w:colLast="0"/>
      <w:bookmarkEnd w:id="14"/>
      <w:r>
        <w:rPr>
          <w:b/>
          <w:bCs/>
        </w:rPr>
        <w:t>Solution:</w:t>
      </w:r>
    </w:p>
    <w:p w14:paraId="00000070" w14:textId="77777777" w:rsidR="00404919" w:rsidRDefault="00404919"/>
    <w:p w14:paraId="00000071" w14:textId="77777777" w:rsidR="00404919" w:rsidRDefault="00E30665">
      <w:pPr>
        <w:ind w:left="720"/>
        <w:rPr>
          <w:b/>
          <w:bCs/>
          <w:color w:val="FF0000"/>
          <w:highlight w:val="white"/>
        </w:rPr>
      </w:pPr>
      <w:r>
        <w:rPr>
          <w:b/>
          <w:bCs/>
          <w:color w:val="FF0000"/>
          <w:highlight w:val="white"/>
        </w:rPr>
        <w:t>Final Answer (if any):</w:t>
      </w:r>
    </w:p>
    <w:p w14:paraId="00000073" w14:textId="756E16AF" w:rsidR="00404919" w:rsidRDefault="00E22E33">
      <w:pPr>
        <w:ind w:left="720"/>
      </w:pPr>
      <w:r>
        <w:t>The total operational cost for the peak month of December was 93,786</w:t>
      </w:r>
      <w:r w:rsidR="00A40053">
        <w:t xml:space="preserve"> and</w:t>
      </w:r>
      <w:r w:rsidR="00A40053">
        <w:br/>
        <w:t>the total operational cost for the lowest month of January was 5,360</w:t>
      </w:r>
    </w:p>
    <w:p w14:paraId="77AD8AD5" w14:textId="77777777" w:rsidR="00E22E33" w:rsidRDefault="00E22E33">
      <w:pPr>
        <w:ind w:left="720"/>
      </w:pPr>
    </w:p>
    <w:p w14:paraId="00000074" w14:textId="77777777" w:rsidR="00404919" w:rsidRDefault="00E30665">
      <w:pPr>
        <w:ind w:left="720"/>
        <w:rPr>
          <w:b/>
          <w:bCs/>
          <w:color w:val="FF0000"/>
        </w:rPr>
      </w:pPr>
      <w:r>
        <w:rPr>
          <w:b/>
          <w:bCs/>
          <w:color w:val="FF0000"/>
        </w:rPr>
        <w:t>Approach (if any):</w:t>
      </w:r>
    </w:p>
    <w:p w14:paraId="00000076" w14:textId="79CE6CA6" w:rsidR="00404919" w:rsidRDefault="00E22E33">
      <w:pPr>
        <w:ind w:left="720"/>
      </w:pPr>
      <w:r>
        <w:t>Filtered the dataset to include only records occurring in December. Summed the '</w:t>
      </w:r>
      <w:proofErr w:type="spellStart"/>
      <w:r>
        <w:t>astrologersEarnings</w:t>
      </w:r>
      <w:proofErr w:type="spellEnd"/>
      <w:r>
        <w:t xml:space="preserve">' column, representing the direct operational </w:t>
      </w:r>
      <w:proofErr w:type="spellStart"/>
      <w:r>
        <w:t>payout</w:t>
      </w:r>
      <w:proofErr w:type="spellEnd"/>
      <w:r>
        <w:t xml:space="preserve"> cost to the agents.</w:t>
      </w:r>
    </w:p>
    <w:p w14:paraId="7F2B06B3" w14:textId="77777777" w:rsidR="00E22E33" w:rsidRDefault="00E22E33">
      <w:pPr>
        <w:ind w:left="720"/>
      </w:pPr>
    </w:p>
    <w:p w14:paraId="00000077" w14:textId="77777777" w:rsidR="00404919" w:rsidRDefault="00E30665">
      <w:pPr>
        <w:ind w:left="720"/>
        <w:rPr>
          <w:b/>
          <w:bCs/>
          <w:color w:val="FF0000"/>
        </w:rPr>
      </w:pPr>
      <w:r>
        <w:rPr>
          <w:b/>
          <w:bCs/>
          <w:color w:val="FF0000"/>
        </w:rPr>
        <w:t>Charts &amp; Tables (if any):</w:t>
      </w:r>
    </w:p>
    <w:p w14:paraId="00000078" w14:textId="77777777" w:rsidR="00404919" w:rsidRDefault="00E30665">
      <w:pPr>
        <w:ind w:left="720"/>
      </w:pPr>
      <w:r>
        <w:t>- Table / Chart Name:</w:t>
      </w:r>
    </w:p>
    <w:p w14:paraId="5F5DDA24" w14:textId="7D8F6D32" w:rsidR="00A40053" w:rsidRDefault="00E30665" w:rsidP="00A40053">
      <w:pPr>
        <w:ind w:left="720"/>
      </w:pPr>
      <w:r>
        <w:t xml:space="preserve">  </w:t>
      </w:r>
      <w:r w:rsidR="00A40053">
        <w:t>Pivot Table (</w:t>
      </w:r>
      <w:r w:rsidR="00C804EF" w:rsidRPr="00326E85">
        <w:t>Q-</w:t>
      </w:r>
      <w:r w:rsidR="00C804EF">
        <w:t>6</w:t>
      </w:r>
      <w:r w:rsidR="00C804EF" w:rsidRPr="00326E85">
        <w:t xml:space="preserve"> I Objective</w:t>
      </w:r>
      <w:r w:rsidR="00A40053">
        <w:t>)</w:t>
      </w:r>
    </w:p>
    <w:p w14:paraId="2E868DFE" w14:textId="7D5FE267" w:rsidR="00A40053" w:rsidRDefault="00A40053" w:rsidP="00A40053">
      <w:pPr>
        <w:ind w:left="720"/>
      </w:pPr>
      <w:r>
        <w:t xml:space="preserve">  Donut Chart (</w:t>
      </w:r>
      <w:r w:rsidR="00C804EF" w:rsidRPr="00326E85">
        <w:t>Q-</w:t>
      </w:r>
      <w:r w:rsidR="00C804EF">
        <w:t>6</w:t>
      </w:r>
      <w:r w:rsidR="00C804EF" w:rsidRPr="00326E85">
        <w:t xml:space="preserve"> I Objective</w:t>
      </w:r>
      <w:r>
        <w:t>)</w:t>
      </w:r>
    </w:p>
    <w:p w14:paraId="1CA6C8CF" w14:textId="40653BC0" w:rsidR="00061B2F" w:rsidRDefault="00061B2F" w:rsidP="00A40053">
      <w:pPr>
        <w:ind w:left="720"/>
      </w:pPr>
    </w:p>
    <w:p w14:paraId="540FAF2F" w14:textId="02E4CEBA" w:rsidR="00061B2F" w:rsidRDefault="00061B2F" w:rsidP="00A40053">
      <w:pPr>
        <w:ind w:left="720"/>
      </w:pPr>
      <w:r>
        <w:rPr>
          <w:noProof/>
        </w:rPr>
        <w:drawing>
          <wp:anchor distT="0" distB="0" distL="114300" distR="114300" simplePos="0" relativeHeight="251670528" behindDoc="0" locked="0" layoutInCell="1" allowOverlap="1" wp14:anchorId="5C07F58C" wp14:editId="62F2D5A6">
            <wp:simplePos x="0" y="0"/>
            <wp:positionH relativeFrom="margin">
              <wp:align>center</wp:align>
            </wp:positionH>
            <wp:positionV relativeFrom="paragraph">
              <wp:posOffset>156845</wp:posOffset>
            </wp:positionV>
            <wp:extent cx="4961255" cy="2862469"/>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1255" cy="2862469"/>
                    </a:xfrm>
                    <a:prstGeom prst="rect">
                      <a:avLst/>
                    </a:prstGeom>
                    <a:noFill/>
                  </pic:spPr>
                </pic:pic>
              </a:graphicData>
            </a:graphic>
            <wp14:sizeRelH relativeFrom="margin">
              <wp14:pctWidth>0</wp14:pctWidth>
            </wp14:sizeRelH>
            <wp14:sizeRelV relativeFrom="margin">
              <wp14:pctHeight>0</wp14:pctHeight>
            </wp14:sizeRelV>
          </wp:anchor>
        </w:drawing>
      </w:r>
    </w:p>
    <w:p w14:paraId="0EA1F132" w14:textId="7B25B74C" w:rsidR="00061B2F" w:rsidRDefault="00061B2F" w:rsidP="00A40053">
      <w:pPr>
        <w:ind w:left="720"/>
      </w:pPr>
    </w:p>
    <w:p w14:paraId="4C0DE8AA" w14:textId="116FA39F" w:rsidR="00061B2F" w:rsidRDefault="00061B2F" w:rsidP="00A40053">
      <w:pPr>
        <w:ind w:left="720"/>
      </w:pPr>
    </w:p>
    <w:p w14:paraId="3AAF189A" w14:textId="6A4F95BF" w:rsidR="00061B2F" w:rsidRDefault="00061B2F" w:rsidP="00A40053">
      <w:pPr>
        <w:ind w:left="720"/>
      </w:pPr>
    </w:p>
    <w:p w14:paraId="0A30BD5F" w14:textId="0ADD9818" w:rsidR="00061B2F" w:rsidRDefault="00061B2F" w:rsidP="00A40053">
      <w:pPr>
        <w:ind w:left="720"/>
      </w:pPr>
    </w:p>
    <w:p w14:paraId="72207522" w14:textId="623A7DD4" w:rsidR="00061B2F" w:rsidRDefault="00061B2F" w:rsidP="00A40053">
      <w:pPr>
        <w:ind w:left="720"/>
      </w:pPr>
    </w:p>
    <w:p w14:paraId="78FA1E2E" w14:textId="2E64C7B1" w:rsidR="00061B2F" w:rsidRDefault="00061B2F" w:rsidP="00A40053">
      <w:pPr>
        <w:ind w:left="720"/>
      </w:pPr>
    </w:p>
    <w:p w14:paraId="6B4DAA3D" w14:textId="1D88D74E" w:rsidR="00061B2F" w:rsidRDefault="00061B2F" w:rsidP="00A40053">
      <w:pPr>
        <w:ind w:left="720"/>
      </w:pPr>
    </w:p>
    <w:p w14:paraId="25B8899A" w14:textId="3383B09D" w:rsidR="00061B2F" w:rsidRDefault="00061B2F" w:rsidP="00A40053">
      <w:pPr>
        <w:ind w:left="720"/>
      </w:pPr>
    </w:p>
    <w:p w14:paraId="5E1B3E71" w14:textId="563752DC" w:rsidR="00061B2F" w:rsidRDefault="00061B2F" w:rsidP="00A40053">
      <w:pPr>
        <w:ind w:left="720"/>
      </w:pPr>
    </w:p>
    <w:p w14:paraId="2372ABA6" w14:textId="012FBE19" w:rsidR="00061B2F" w:rsidRDefault="00061B2F" w:rsidP="00A40053">
      <w:pPr>
        <w:ind w:left="720"/>
      </w:pPr>
    </w:p>
    <w:p w14:paraId="1F9C80CD" w14:textId="52060965" w:rsidR="00061B2F" w:rsidRDefault="00061B2F" w:rsidP="00A40053">
      <w:pPr>
        <w:ind w:left="720"/>
      </w:pPr>
    </w:p>
    <w:p w14:paraId="4CA353A0" w14:textId="30CC00E2" w:rsidR="00061B2F" w:rsidRDefault="00061B2F" w:rsidP="00A40053">
      <w:pPr>
        <w:ind w:left="720"/>
      </w:pPr>
    </w:p>
    <w:p w14:paraId="1D4ABD30" w14:textId="60E6F3B7" w:rsidR="00061B2F" w:rsidRDefault="00061B2F" w:rsidP="00A40053">
      <w:pPr>
        <w:ind w:left="720"/>
      </w:pPr>
    </w:p>
    <w:p w14:paraId="17209E68" w14:textId="05437CC7" w:rsidR="00061B2F" w:rsidRDefault="00061B2F" w:rsidP="00A40053">
      <w:pPr>
        <w:ind w:left="720"/>
      </w:pPr>
    </w:p>
    <w:p w14:paraId="091698AA" w14:textId="77777777" w:rsidR="00061B2F" w:rsidRDefault="00061B2F" w:rsidP="00A40053">
      <w:pPr>
        <w:ind w:left="720"/>
      </w:pPr>
    </w:p>
    <w:p w14:paraId="185BDA72" w14:textId="77777777" w:rsidR="00061B2F" w:rsidRDefault="00061B2F" w:rsidP="00A40053">
      <w:pPr>
        <w:ind w:left="720"/>
      </w:pPr>
    </w:p>
    <w:p w14:paraId="57B173E0" w14:textId="77777777" w:rsidR="00061B2F" w:rsidRDefault="00061B2F">
      <w:pPr>
        <w:ind w:left="720"/>
      </w:pPr>
    </w:p>
    <w:p w14:paraId="0000007A" w14:textId="610A0011" w:rsidR="00404919" w:rsidRDefault="00E30665">
      <w:pPr>
        <w:ind w:left="720"/>
      </w:pPr>
      <w:r>
        <w:t>- Description:</w:t>
      </w:r>
    </w:p>
    <w:p w14:paraId="0000007B" w14:textId="563C6713" w:rsidR="00404919" w:rsidRDefault="00E30665">
      <w:pPr>
        <w:ind w:left="720"/>
      </w:pPr>
      <w:r>
        <w:t xml:space="preserve">  </w:t>
      </w:r>
      <w:r w:rsidR="00A40053">
        <w:t>An aggregated cell calculation and visualization summing total Astrologer Earnings for the Months.</w:t>
      </w:r>
    </w:p>
    <w:p w14:paraId="0000007C" w14:textId="77777777" w:rsidR="00404919" w:rsidRDefault="00404919">
      <w:pPr>
        <w:ind w:left="720"/>
      </w:pPr>
    </w:p>
    <w:p w14:paraId="0000007D" w14:textId="77777777" w:rsidR="00404919" w:rsidRDefault="00E30665">
      <w:pPr>
        <w:pStyle w:val="Heading2"/>
        <w:rPr>
          <w:b/>
          <w:bCs/>
          <w:color w:val="FF0000"/>
        </w:rPr>
      </w:pPr>
      <w:bookmarkStart w:id="15" w:name="_3b5qbc1jwoup" w:colFirst="0" w:colLast="0"/>
      <w:bookmarkEnd w:id="15"/>
      <w:r>
        <w:rPr>
          <w:b/>
          <w:bCs/>
          <w:color w:val="FF0000"/>
        </w:rPr>
        <w:lastRenderedPageBreak/>
        <w:t>Question 7: What is the average number of calls handled per agent per day?</w:t>
      </w:r>
    </w:p>
    <w:p w14:paraId="0000007E" w14:textId="77777777" w:rsidR="00404919" w:rsidRDefault="00E30665">
      <w:pPr>
        <w:pStyle w:val="Heading2"/>
        <w:rPr>
          <w:b/>
          <w:bCs/>
        </w:rPr>
      </w:pPr>
      <w:bookmarkStart w:id="16" w:name="_aoplkxli1ib7" w:colFirst="0" w:colLast="0"/>
      <w:bookmarkEnd w:id="16"/>
      <w:r>
        <w:rPr>
          <w:b/>
          <w:bCs/>
        </w:rPr>
        <w:t>Solution:</w:t>
      </w:r>
    </w:p>
    <w:p w14:paraId="0000007F" w14:textId="77777777" w:rsidR="00404919" w:rsidRDefault="00404919"/>
    <w:p w14:paraId="00000080" w14:textId="77777777" w:rsidR="00404919" w:rsidRDefault="00E30665">
      <w:pPr>
        <w:ind w:left="720"/>
        <w:rPr>
          <w:b/>
          <w:bCs/>
          <w:color w:val="FF0000"/>
          <w:highlight w:val="white"/>
        </w:rPr>
      </w:pPr>
      <w:r>
        <w:rPr>
          <w:b/>
          <w:bCs/>
          <w:color w:val="FF0000"/>
          <w:highlight w:val="white"/>
        </w:rPr>
        <w:t>Final Answer (if any):</w:t>
      </w:r>
    </w:p>
    <w:p w14:paraId="00000081" w14:textId="640342B3" w:rsidR="00404919" w:rsidRDefault="00A40053">
      <w:pPr>
        <w:ind w:left="720"/>
      </w:pPr>
      <w:r>
        <w:t>1.92 calls per agent per day.</w:t>
      </w:r>
    </w:p>
    <w:p w14:paraId="00000082" w14:textId="77777777" w:rsidR="00404919" w:rsidRDefault="00404919">
      <w:pPr>
        <w:ind w:left="720"/>
      </w:pPr>
    </w:p>
    <w:p w14:paraId="00000083" w14:textId="77777777" w:rsidR="00404919" w:rsidRDefault="00E30665">
      <w:pPr>
        <w:ind w:left="720"/>
        <w:rPr>
          <w:b/>
          <w:bCs/>
          <w:color w:val="FF0000"/>
        </w:rPr>
      </w:pPr>
      <w:r>
        <w:rPr>
          <w:b/>
          <w:bCs/>
          <w:color w:val="FF0000"/>
        </w:rPr>
        <w:t>Approach (if any):</w:t>
      </w:r>
    </w:p>
    <w:p w14:paraId="00000085" w14:textId="235E2296" w:rsidR="00404919" w:rsidRDefault="00A40053">
      <w:pPr>
        <w:ind w:left="720"/>
      </w:pPr>
      <w:r>
        <w:t>Grouped the dataset by both 'DAY' and '</w:t>
      </w:r>
      <w:proofErr w:type="spellStart"/>
      <w:r>
        <w:t>guruName</w:t>
      </w:r>
      <w:proofErr w:type="spellEnd"/>
      <w:r>
        <w:t>', utilized pivot aggregation to tally the interactions, and calculated the overall average across all agents active working days.</w:t>
      </w:r>
    </w:p>
    <w:p w14:paraId="03216A79" w14:textId="77777777" w:rsidR="00A40053" w:rsidRDefault="00A40053">
      <w:pPr>
        <w:ind w:left="720"/>
      </w:pPr>
    </w:p>
    <w:p w14:paraId="00000086" w14:textId="77777777" w:rsidR="00404919" w:rsidRDefault="00E30665">
      <w:pPr>
        <w:ind w:left="720"/>
        <w:rPr>
          <w:b/>
          <w:bCs/>
          <w:color w:val="FF0000"/>
        </w:rPr>
      </w:pPr>
      <w:r>
        <w:rPr>
          <w:b/>
          <w:bCs/>
          <w:color w:val="FF0000"/>
        </w:rPr>
        <w:t>Charts &amp; Tables (if any):</w:t>
      </w:r>
    </w:p>
    <w:p w14:paraId="00000087" w14:textId="77777777" w:rsidR="00404919" w:rsidRDefault="00E30665">
      <w:pPr>
        <w:ind w:left="720"/>
      </w:pPr>
      <w:r>
        <w:t>- Table / Chart Name:</w:t>
      </w:r>
    </w:p>
    <w:p w14:paraId="00000088" w14:textId="6316A10F" w:rsidR="00404919" w:rsidRDefault="00E30665">
      <w:pPr>
        <w:ind w:left="720"/>
      </w:pPr>
      <w:r>
        <w:t xml:space="preserve">  </w:t>
      </w:r>
      <w:r w:rsidR="002D01E8">
        <w:t>Pivot Table (</w:t>
      </w:r>
      <w:r w:rsidR="00C804EF" w:rsidRPr="00326E85">
        <w:t>Q-</w:t>
      </w:r>
      <w:r w:rsidR="00C804EF">
        <w:t>7</w:t>
      </w:r>
      <w:r w:rsidR="00C804EF" w:rsidRPr="00326E85">
        <w:t xml:space="preserve"> I Objective</w:t>
      </w:r>
      <w:r w:rsidR="002D01E8">
        <w:t>)</w:t>
      </w:r>
    </w:p>
    <w:p w14:paraId="3E523EE7" w14:textId="77777777" w:rsidR="002D01E8" w:rsidRDefault="002D01E8">
      <w:pPr>
        <w:ind w:left="720"/>
      </w:pPr>
    </w:p>
    <w:p w14:paraId="00000089" w14:textId="77777777" w:rsidR="00404919" w:rsidRDefault="00E30665">
      <w:pPr>
        <w:ind w:left="720"/>
      </w:pPr>
      <w:r>
        <w:t>- Description:</w:t>
      </w:r>
    </w:p>
    <w:p w14:paraId="0000008B" w14:textId="77D51ED6" w:rsidR="00404919" w:rsidRDefault="00E30665" w:rsidP="002D01E8">
      <w:pPr>
        <w:ind w:left="720"/>
      </w:pPr>
      <w:r>
        <w:t xml:space="preserve">  </w:t>
      </w:r>
      <w:r w:rsidR="00A40053">
        <w:t xml:space="preserve">Pivot table matrix outlining </w:t>
      </w:r>
      <w:r w:rsidR="002D01E8">
        <w:t>distinct count of interactions and operating days.</w:t>
      </w:r>
    </w:p>
    <w:p w14:paraId="460CE955" w14:textId="77777777" w:rsidR="00C804EF" w:rsidRDefault="00C804EF" w:rsidP="002D01E8">
      <w:pPr>
        <w:ind w:left="720"/>
      </w:pPr>
    </w:p>
    <w:p w14:paraId="0000008C" w14:textId="77777777" w:rsidR="00404919" w:rsidRDefault="00E30665">
      <w:pPr>
        <w:pStyle w:val="Heading2"/>
        <w:rPr>
          <w:b/>
          <w:bCs/>
          <w:color w:val="FF0000"/>
        </w:rPr>
      </w:pPr>
      <w:bookmarkStart w:id="17" w:name="_s1f5lcylhbb8" w:colFirst="0" w:colLast="0"/>
      <w:bookmarkEnd w:id="17"/>
      <w:r>
        <w:rPr>
          <w:b/>
          <w:bCs/>
          <w:color w:val="FF0000"/>
        </w:rPr>
        <w:t>Question 8: How many repeat callers are there, and what percentage of total calls do they represent?</w:t>
      </w:r>
    </w:p>
    <w:p w14:paraId="0000008D" w14:textId="77777777" w:rsidR="00404919" w:rsidRDefault="00E30665">
      <w:pPr>
        <w:pStyle w:val="Heading2"/>
        <w:rPr>
          <w:b/>
          <w:bCs/>
        </w:rPr>
      </w:pPr>
      <w:bookmarkStart w:id="18" w:name="_svew75l22c6n" w:colFirst="0" w:colLast="0"/>
      <w:bookmarkEnd w:id="18"/>
      <w:r>
        <w:rPr>
          <w:b/>
          <w:bCs/>
        </w:rPr>
        <w:t>Solution:</w:t>
      </w:r>
    </w:p>
    <w:p w14:paraId="0000008E" w14:textId="77777777" w:rsidR="00404919" w:rsidRDefault="00404919"/>
    <w:p w14:paraId="0000008F" w14:textId="77777777" w:rsidR="00404919" w:rsidRDefault="00E30665">
      <w:pPr>
        <w:ind w:left="720"/>
        <w:rPr>
          <w:b/>
          <w:bCs/>
          <w:color w:val="FF0000"/>
          <w:highlight w:val="white"/>
        </w:rPr>
      </w:pPr>
      <w:r>
        <w:rPr>
          <w:b/>
          <w:bCs/>
          <w:color w:val="FF0000"/>
          <w:highlight w:val="white"/>
        </w:rPr>
        <w:t>Final Answer (if any):</w:t>
      </w:r>
    </w:p>
    <w:p w14:paraId="00000091" w14:textId="6377213A" w:rsidR="00404919" w:rsidRDefault="002D01E8">
      <w:pPr>
        <w:ind w:left="720"/>
      </w:pPr>
      <w:r>
        <w:t xml:space="preserve">There are </w:t>
      </w:r>
      <w:r w:rsidR="004975E9">
        <w:t>1,277</w:t>
      </w:r>
      <w:r>
        <w:t xml:space="preserve"> repeat callers, representing </w:t>
      </w:r>
      <w:r w:rsidR="004975E9">
        <w:t>72.36</w:t>
      </w:r>
      <w:r>
        <w:t xml:space="preserve">% of the total </w:t>
      </w:r>
      <w:r w:rsidR="004975E9">
        <w:t>calls.</w:t>
      </w:r>
    </w:p>
    <w:p w14:paraId="00000092" w14:textId="77777777" w:rsidR="00404919" w:rsidRDefault="00E30665">
      <w:pPr>
        <w:ind w:left="720"/>
        <w:rPr>
          <w:b/>
          <w:bCs/>
          <w:color w:val="FF0000"/>
        </w:rPr>
      </w:pPr>
      <w:r>
        <w:rPr>
          <w:b/>
          <w:bCs/>
          <w:color w:val="FF0000"/>
        </w:rPr>
        <w:t>Approach (if any):</w:t>
      </w:r>
    </w:p>
    <w:p w14:paraId="1D151D9B" w14:textId="77777777" w:rsidR="004975E9" w:rsidRDefault="004975E9" w:rsidP="004975E9">
      <w:pPr>
        <w:pStyle w:val="ListParagraph"/>
        <w:numPr>
          <w:ilvl w:val="0"/>
          <w:numId w:val="5"/>
        </w:numPr>
      </w:pPr>
      <w:r>
        <w:t xml:space="preserve">Calculated the frequency distribution of each 'user'. Filtered for users with a frequency greater than 1 to identify repeat callers (1277). </w:t>
      </w:r>
    </w:p>
    <w:p w14:paraId="00000094" w14:textId="25AE0935" w:rsidR="00404919" w:rsidRDefault="004975E9" w:rsidP="004975E9">
      <w:pPr>
        <w:pStyle w:val="ListParagraph"/>
        <w:numPr>
          <w:ilvl w:val="0"/>
          <w:numId w:val="5"/>
        </w:numPr>
      </w:pPr>
      <w:r>
        <w:t>Divided this number by the total count of unique callers 8,508 (</w:t>
      </w:r>
      <w:proofErr w:type="gramStart"/>
      <w:r w:rsidRPr="004975E9">
        <w:t>COUNTIF(</w:t>
      </w:r>
      <w:proofErr w:type="gramEnd"/>
      <w:r w:rsidRPr="004975E9">
        <w:t>'Cleaned data'!H2:H28028, "Call")</w:t>
      </w:r>
      <w:r>
        <w:t>) to establish the repeat percentage (72.36%).</w:t>
      </w:r>
    </w:p>
    <w:p w14:paraId="20A3FEC9" w14:textId="77777777" w:rsidR="004975E9" w:rsidRDefault="004975E9" w:rsidP="004975E9"/>
    <w:p w14:paraId="00000095" w14:textId="77777777" w:rsidR="00404919" w:rsidRDefault="00E30665">
      <w:pPr>
        <w:ind w:left="720"/>
        <w:rPr>
          <w:b/>
          <w:bCs/>
          <w:color w:val="FF0000"/>
        </w:rPr>
      </w:pPr>
      <w:r>
        <w:rPr>
          <w:b/>
          <w:bCs/>
          <w:color w:val="FF0000"/>
        </w:rPr>
        <w:t>Charts &amp; Tables (if any):</w:t>
      </w:r>
    </w:p>
    <w:p w14:paraId="00000096" w14:textId="77777777" w:rsidR="00404919" w:rsidRDefault="00E30665">
      <w:pPr>
        <w:ind w:left="720"/>
      </w:pPr>
      <w:r>
        <w:t>- Table / Chart Name:</w:t>
      </w:r>
    </w:p>
    <w:p w14:paraId="3F2B3B0D" w14:textId="236ECC0F" w:rsidR="004975E9" w:rsidRDefault="00E30665">
      <w:pPr>
        <w:ind w:left="720"/>
      </w:pPr>
      <w:r>
        <w:t xml:space="preserve">  </w:t>
      </w:r>
      <w:r w:rsidR="004975E9">
        <w:t>Pivot Table (</w:t>
      </w:r>
      <w:r w:rsidR="00C804EF" w:rsidRPr="00326E85">
        <w:t>Q-</w:t>
      </w:r>
      <w:r w:rsidR="00C804EF">
        <w:t>8</w:t>
      </w:r>
      <w:r w:rsidR="00C804EF" w:rsidRPr="00326E85">
        <w:t xml:space="preserve"> I Objective</w:t>
      </w:r>
      <w:r w:rsidR="004975E9">
        <w:t>)</w:t>
      </w:r>
    </w:p>
    <w:p w14:paraId="00000097" w14:textId="00CC782E" w:rsidR="00404919" w:rsidRDefault="004975E9">
      <w:pPr>
        <w:ind w:left="720"/>
      </w:pPr>
      <w:r>
        <w:t xml:space="preserve"> </w:t>
      </w:r>
    </w:p>
    <w:p w14:paraId="00000098" w14:textId="77777777" w:rsidR="00404919" w:rsidRDefault="00E30665">
      <w:pPr>
        <w:ind w:left="720"/>
      </w:pPr>
      <w:r>
        <w:t>- Description:</w:t>
      </w:r>
    </w:p>
    <w:p w14:paraId="00000099" w14:textId="4B0AE0F1" w:rsidR="00404919" w:rsidRDefault="00E30665">
      <w:pPr>
        <w:ind w:left="720"/>
      </w:pPr>
      <w:r>
        <w:t xml:space="preserve">  </w:t>
      </w:r>
      <w:r w:rsidR="004975E9">
        <w:t xml:space="preserve">A </w:t>
      </w:r>
      <w:r w:rsidR="00C804EF">
        <w:t xml:space="preserve">pivot </w:t>
      </w:r>
      <w:r w:rsidR="004975E9">
        <w:t>aggregate calculation, which shows distinct users who calls often</w:t>
      </w:r>
      <w:r w:rsidR="00C804EF">
        <w:t>.</w:t>
      </w:r>
    </w:p>
    <w:p w14:paraId="042418B9" w14:textId="77777777" w:rsidR="00C804EF" w:rsidRDefault="00C804EF" w:rsidP="00C804EF"/>
    <w:p w14:paraId="0000009B" w14:textId="77777777" w:rsidR="00404919" w:rsidRDefault="00E30665">
      <w:pPr>
        <w:pStyle w:val="Heading2"/>
        <w:rPr>
          <w:b/>
          <w:bCs/>
          <w:color w:val="FF0000"/>
        </w:rPr>
      </w:pPr>
      <w:bookmarkStart w:id="19" w:name="_cggoqmo86t1w" w:colFirst="0" w:colLast="0"/>
      <w:bookmarkEnd w:id="19"/>
      <w:r>
        <w:rPr>
          <w:b/>
          <w:bCs/>
          <w:color w:val="FF0000"/>
        </w:rPr>
        <w:lastRenderedPageBreak/>
        <w:t>Question 9: What are the total sales generated by the call centre for each product category?</w:t>
      </w:r>
    </w:p>
    <w:p w14:paraId="0000009C" w14:textId="77777777" w:rsidR="00404919" w:rsidRDefault="00E30665">
      <w:pPr>
        <w:pStyle w:val="Heading2"/>
        <w:rPr>
          <w:b/>
          <w:bCs/>
        </w:rPr>
      </w:pPr>
      <w:bookmarkStart w:id="20" w:name="_kyegmiu0918n" w:colFirst="0" w:colLast="0"/>
      <w:bookmarkEnd w:id="20"/>
      <w:r>
        <w:rPr>
          <w:b/>
          <w:bCs/>
        </w:rPr>
        <w:t>Solution:</w:t>
      </w:r>
    </w:p>
    <w:p w14:paraId="0000009D" w14:textId="77777777" w:rsidR="00404919" w:rsidRDefault="00404919"/>
    <w:p w14:paraId="0000009E" w14:textId="77777777" w:rsidR="00404919" w:rsidRDefault="00E30665">
      <w:pPr>
        <w:ind w:left="720"/>
        <w:rPr>
          <w:b/>
          <w:bCs/>
          <w:color w:val="FF0000"/>
          <w:highlight w:val="white"/>
        </w:rPr>
      </w:pPr>
      <w:r>
        <w:rPr>
          <w:b/>
          <w:bCs/>
          <w:color w:val="FF0000"/>
          <w:highlight w:val="white"/>
        </w:rPr>
        <w:t>Final Answer (if any):</w:t>
      </w:r>
    </w:p>
    <w:p w14:paraId="606AD751" w14:textId="77777777" w:rsidR="004975E9" w:rsidRDefault="004975E9" w:rsidP="004975E9">
      <w:pPr>
        <w:pStyle w:val="ListParagraph"/>
        <w:numPr>
          <w:ilvl w:val="0"/>
          <w:numId w:val="6"/>
        </w:numPr>
      </w:pPr>
      <w:r>
        <w:t xml:space="preserve">Call: 168,442.03 </w:t>
      </w:r>
    </w:p>
    <w:p w14:paraId="1F0E3A85" w14:textId="77777777" w:rsidR="004975E9" w:rsidRDefault="004975E9" w:rsidP="004975E9">
      <w:pPr>
        <w:pStyle w:val="ListParagraph"/>
        <w:numPr>
          <w:ilvl w:val="0"/>
          <w:numId w:val="6"/>
        </w:numPr>
      </w:pPr>
      <w:r>
        <w:t>Chat: 45,494.68</w:t>
      </w:r>
    </w:p>
    <w:p w14:paraId="0000009F" w14:textId="799E053F" w:rsidR="00404919" w:rsidRDefault="004975E9" w:rsidP="004975E9">
      <w:pPr>
        <w:pStyle w:val="ListParagraph"/>
        <w:numPr>
          <w:ilvl w:val="0"/>
          <w:numId w:val="6"/>
        </w:numPr>
      </w:pPr>
      <w:r>
        <w:t>Public Live Call: 50.60</w:t>
      </w:r>
    </w:p>
    <w:p w14:paraId="000000A0" w14:textId="406A73D8" w:rsidR="00404919" w:rsidRDefault="00404919">
      <w:pPr>
        <w:ind w:left="720"/>
      </w:pPr>
    </w:p>
    <w:p w14:paraId="000000A1" w14:textId="77777777" w:rsidR="00404919" w:rsidRDefault="00E30665">
      <w:pPr>
        <w:ind w:left="720"/>
        <w:rPr>
          <w:b/>
          <w:bCs/>
          <w:color w:val="FF0000"/>
        </w:rPr>
      </w:pPr>
      <w:r>
        <w:rPr>
          <w:b/>
          <w:bCs/>
          <w:color w:val="FF0000"/>
        </w:rPr>
        <w:t>Approach (if any):</w:t>
      </w:r>
    </w:p>
    <w:p w14:paraId="000000A3" w14:textId="44456026" w:rsidR="00404919" w:rsidRDefault="004975E9">
      <w:pPr>
        <w:ind w:left="720"/>
      </w:pPr>
      <w:r>
        <w:t>Grouped the data by the '</w:t>
      </w:r>
      <w:proofErr w:type="spellStart"/>
      <w:r>
        <w:t>consultationType</w:t>
      </w:r>
      <w:proofErr w:type="spellEnd"/>
      <w:r>
        <w:t>' category. Applied a SUM aggregation on the '</w:t>
      </w:r>
      <w:proofErr w:type="spellStart"/>
      <w:r>
        <w:t>netAmount</w:t>
      </w:r>
      <w:proofErr w:type="spellEnd"/>
      <w:r>
        <w:t>' column for each respective grouping to quantify total generated sales revenue.</w:t>
      </w:r>
    </w:p>
    <w:p w14:paraId="34866BCB" w14:textId="77777777" w:rsidR="004975E9" w:rsidRDefault="004975E9">
      <w:pPr>
        <w:ind w:left="720"/>
      </w:pPr>
    </w:p>
    <w:p w14:paraId="000000A4" w14:textId="77777777" w:rsidR="00404919" w:rsidRDefault="00E30665">
      <w:pPr>
        <w:ind w:left="720"/>
        <w:rPr>
          <w:b/>
          <w:bCs/>
          <w:color w:val="FF0000"/>
        </w:rPr>
      </w:pPr>
      <w:r>
        <w:rPr>
          <w:b/>
          <w:bCs/>
          <w:color w:val="FF0000"/>
        </w:rPr>
        <w:t>Charts &amp; Tables (if any):</w:t>
      </w:r>
    </w:p>
    <w:p w14:paraId="000000A5" w14:textId="77777777" w:rsidR="00404919" w:rsidRDefault="00E30665">
      <w:pPr>
        <w:ind w:left="720"/>
      </w:pPr>
      <w:r>
        <w:t>- Table / Chart Name:</w:t>
      </w:r>
    </w:p>
    <w:p w14:paraId="000000A6" w14:textId="70925EEE" w:rsidR="00404919" w:rsidRDefault="00E30665">
      <w:pPr>
        <w:ind w:left="720"/>
      </w:pPr>
      <w:r>
        <w:t xml:space="preserve">  </w:t>
      </w:r>
      <w:r w:rsidR="007D63C2">
        <w:t>Pivot Table (</w:t>
      </w:r>
      <w:r w:rsidR="00C804EF" w:rsidRPr="00326E85">
        <w:t>Q-</w:t>
      </w:r>
      <w:r w:rsidR="00C804EF">
        <w:t>9</w:t>
      </w:r>
      <w:r w:rsidR="00C804EF" w:rsidRPr="00326E85">
        <w:t xml:space="preserve"> I Objective</w:t>
      </w:r>
      <w:r w:rsidR="007D63C2">
        <w:t>)</w:t>
      </w:r>
    </w:p>
    <w:p w14:paraId="20128E2C" w14:textId="046A4447" w:rsidR="007D63C2" w:rsidRDefault="007D63C2">
      <w:pPr>
        <w:ind w:left="720"/>
      </w:pPr>
      <w:r>
        <w:t xml:space="preserve">  Pie Chart (</w:t>
      </w:r>
      <w:r w:rsidR="00C804EF" w:rsidRPr="00326E85">
        <w:t>Q-</w:t>
      </w:r>
      <w:r w:rsidR="00C804EF">
        <w:t>9</w:t>
      </w:r>
      <w:r w:rsidR="00C804EF" w:rsidRPr="00326E85">
        <w:t xml:space="preserve"> I Objective</w:t>
      </w:r>
      <w:r>
        <w:t>)</w:t>
      </w:r>
    </w:p>
    <w:p w14:paraId="5414A204" w14:textId="62738C74" w:rsidR="00C804EF" w:rsidRDefault="00C804EF">
      <w:pPr>
        <w:ind w:left="720"/>
      </w:pPr>
    </w:p>
    <w:p w14:paraId="0CEDFB82" w14:textId="05E01E21" w:rsidR="00C804EF" w:rsidRDefault="00C804EF">
      <w:pPr>
        <w:ind w:left="720"/>
      </w:pPr>
      <w:r>
        <w:rPr>
          <w:noProof/>
        </w:rPr>
        <w:drawing>
          <wp:anchor distT="0" distB="0" distL="114300" distR="114300" simplePos="0" relativeHeight="251671552" behindDoc="0" locked="0" layoutInCell="1" allowOverlap="1" wp14:anchorId="2C3B2DFF" wp14:editId="576128FF">
            <wp:simplePos x="0" y="0"/>
            <wp:positionH relativeFrom="margin">
              <wp:align>center</wp:align>
            </wp:positionH>
            <wp:positionV relativeFrom="paragraph">
              <wp:posOffset>6985</wp:posOffset>
            </wp:positionV>
            <wp:extent cx="4498561" cy="24583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8561" cy="2458345"/>
                    </a:xfrm>
                    <a:prstGeom prst="rect">
                      <a:avLst/>
                    </a:prstGeom>
                    <a:noFill/>
                  </pic:spPr>
                </pic:pic>
              </a:graphicData>
            </a:graphic>
            <wp14:sizeRelH relativeFrom="margin">
              <wp14:pctWidth>0</wp14:pctWidth>
            </wp14:sizeRelH>
            <wp14:sizeRelV relativeFrom="margin">
              <wp14:pctHeight>0</wp14:pctHeight>
            </wp14:sizeRelV>
          </wp:anchor>
        </w:drawing>
      </w:r>
    </w:p>
    <w:p w14:paraId="58F86988" w14:textId="10E3291C" w:rsidR="00C804EF" w:rsidRDefault="00C804EF">
      <w:pPr>
        <w:ind w:left="720"/>
      </w:pPr>
    </w:p>
    <w:p w14:paraId="7B71AE74" w14:textId="533E9366" w:rsidR="00C804EF" w:rsidRDefault="00C804EF">
      <w:pPr>
        <w:ind w:left="720"/>
      </w:pPr>
    </w:p>
    <w:p w14:paraId="22A98241" w14:textId="5BF6B50E" w:rsidR="00C804EF" w:rsidRDefault="00C804EF">
      <w:pPr>
        <w:ind w:left="720"/>
      </w:pPr>
    </w:p>
    <w:p w14:paraId="228CB1D4" w14:textId="0A8EE065" w:rsidR="00C804EF" w:rsidRDefault="00C804EF">
      <w:pPr>
        <w:ind w:left="720"/>
      </w:pPr>
    </w:p>
    <w:p w14:paraId="26433605" w14:textId="7B7C218C" w:rsidR="00C804EF" w:rsidRDefault="00C804EF">
      <w:pPr>
        <w:ind w:left="720"/>
      </w:pPr>
    </w:p>
    <w:p w14:paraId="641FFFDA" w14:textId="3AA7421C" w:rsidR="00C804EF" w:rsidRDefault="00C804EF">
      <w:pPr>
        <w:ind w:left="720"/>
      </w:pPr>
    </w:p>
    <w:p w14:paraId="3DA005F0" w14:textId="3F1092E4" w:rsidR="00C804EF" w:rsidRDefault="00C804EF">
      <w:pPr>
        <w:ind w:left="720"/>
      </w:pPr>
    </w:p>
    <w:p w14:paraId="79E01256" w14:textId="242C6175" w:rsidR="00C804EF" w:rsidRDefault="00C804EF">
      <w:pPr>
        <w:ind w:left="720"/>
      </w:pPr>
    </w:p>
    <w:p w14:paraId="55A394DA" w14:textId="7F9256BE" w:rsidR="00C804EF" w:rsidRDefault="00C804EF">
      <w:pPr>
        <w:ind w:left="720"/>
      </w:pPr>
    </w:p>
    <w:p w14:paraId="16F0526C" w14:textId="1C96ADC3" w:rsidR="00C804EF" w:rsidRDefault="00C804EF">
      <w:pPr>
        <w:ind w:left="720"/>
      </w:pPr>
    </w:p>
    <w:p w14:paraId="5B94D1FA" w14:textId="77777777" w:rsidR="00C804EF" w:rsidRDefault="00C804EF">
      <w:pPr>
        <w:ind w:left="720"/>
      </w:pPr>
    </w:p>
    <w:p w14:paraId="6A4B75CC" w14:textId="6944FF1D" w:rsidR="007D63C2" w:rsidRDefault="007D63C2">
      <w:pPr>
        <w:ind w:left="720"/>
      </w:pPr>
    </w:p>
    <w:p w14:paraId="16FBFA64" w14:textId="77777777" w:rsidR="00C804EF" w:rsidRDefault="00C804EF">
      <w:pPr>
        <w:ind w:left="720"/>
      </w:pPr>
    </w:p>
    <w:p w14:paraId="000000A7" w14:textId="77777777" w:rsidR="00404919" w:rsidRDefault="00E30665">
      <w:pPr>
        <w:ind w:left="720"/>
      </w:pPr>
      <w:r>
        <w:t>- Description:</w:t>
      </w:r>
    </w:p>
    <w:p w14:paraId="2FA09718" w14:textId="1CF4EABA" w:rsidR="007D63C2" w:rsidRDefault="00E30665">
      <w:pPr>
        <w:ind w:left="720"/>
      </w:pPr>
      <w:r>
        <w:t xml:space="preserve">  </w:t>
      </w:r>
      <w:r w:rsidR="007D63C2">
        <w:t>A tabular</w:t>
      </w:r>
      <w:r w:rsidR="00326E85">
        <w:t xml:space="preserve"> and</w:t>
      </w:r>
      <w:r w:rsidR="007D63C2">
        <w:t xml:space="preserve"> visual breakdown displaying the sum of sales revenue explicitly separated </w:t>
      </w:r>
    </w:p>
    <w:p w14:paraId="000000A8" w14:textId="7A7A4815" w:rsidR="00404919" w:rsidRDefault="007D63C2">
      <w:pPr>
        <w:ind w:left="720"/>
      </w:pPr>
      <w:r>
        <w:t xml:space="preserve">  by consultation type.</w:t>
      </w:r>
    </w:p>
    <w:p w14:paraId="000000A9" w14:textId="77777777" w:rsidR="00404919" w:rsidRDefault="00404919"/>
    <w:p w14:paraId="000000AA" w14:textId="28A71195" w:rsidR="00404919" w:rsidRDefault="00E30665">
      <w:pPr>
        <w:pStyle w:val="Heading2"/>
        <w:rPr>
          <w:b/>
          <w:bCs/>
          <w:color w:val="FF0000"/>
        </w:rPr>
      </w:pPr>
      <w:bookmarkStart w:id="21" w:name="_adj6q18t9vg1" w:colFirst="0" w:colLast="0"/>
      <w:bookmarkEnd w:id="21"/>
      <w:r>
        <w:rPr>
          <w:b/>
          <w:bCs/>
          <w:color w:val="FF0000"/>
        </w:rPr>
        <w:lastRenderedPageBreak/>
        <w:t>Question 10: How many calls were made for each user ID and guru ID?</w:t>
      </w:r>
    </w:p>
    <w:p w14:paraId="000000AB" w14:textId="44F1C228" w:rsidR="00404919" w:rsidRDefault="00E30665">
      <w:pPr>
        <w:pStyle w:val="Heading2"/>
        <w:rPr>
          <w:b/>
          <w:bCs/>
        </w:rPr>
      </w:pPr>
      <w:bookmarkStart w:id="22" w:name="_jmj2faj2yjzr" w:colFirst="0" w:colLast="0"/>
      <w:bookmarkEnd w:id="22"/>
      <w:r>
        <w:rPr>
          <w:b/>
          <w:bCs/>
        </w:rPr>
        <w:t>Solution:</w:t>
      </w:r>
    </w:p>
    <w:p w14:paraId="000000AC" w14:textId="7C2BF35F" w:rsidR="00404919" w:rsidRDefault="00404919"/>
    <w:p w14:paraId="000000AD" w14:textId="32BFFAA1" w:rsidR="00404919" w:rsidRDefault="00E30665">
      <w:pPr>
        <w:ind w:left="720"/>
        <w:rPr>
          <w:b/>
          <w:bCs/>
          <w:color w:val="FF0000"/>
          <w:highlight w:val="white"/>
        </w:rPr>
      </w:pPr>
      <w:r>
        <w:rPr>
          <w:b/>
          <w:bCs/>
          <w:color w:val="FF0000"/>
          <w:highlight w:val="white"/>
        </w:rPr>
        <w:t>Final Answer (if any):</w:t>
      </w:r>
    </w:p>
    <w:p w14:paraId="000000AE" w14:textId="317AFDBE" w:rsidR="00404919" w:rsidRDefault="007D63C2">
      <w:pPr>
        <w:ind w:left="720"/>
      </w:pPr>
      <w:r>
        <w:t>Calls made by each user ID was 8508 and Calls made by each guru ID was 8508</w:t>
      </w:r>
    </w:p>
    <w:p w14:paraId="000000AF" w14:textId="77777777" w:rsidR="00404919" w:rsidRDefault="00404919">
      <w:pPr>
        <w:ind w:left="720"/>
      </w:pPr>
    </w:p>
    <w:p w14:paraId="000000B0" w14:textId="62A00FEF" w:rsidR="00404919" w:rsidRDefault="00E30665">
      <w:pPr>
        <w:ind w:left="720"/>
        <w:rPr>
          <w:b/>
          <w:bCs/>
          <w:color w:val="FF0000"/>
        </w:rPr>
      </w:pPr>
      <w:r>
        <w:rPr>
          <w:b/>
          <w:bCs/>
          <w:color w:val="FF0000"/>
        </w:rPr>
        <w:t>Approach (if any):</w:t>
      </w:r>
    </w:p>
    <w:p w14:paraId="000000B2" w14:textId="56A0BBE1" w:rsidR="00404919" w:rsidRDefault="007D63C2">
      <w:pPr>
        <w:ind w:left="720"/>
      </w:pPr>
      <w:r>
        <w:t>Created two pivot tables and applied frequency aggregation to each Pivot grouping independently to both the 'user' and the 'guru' table to evaluate call distribution.</w:t>
      </w:r>
    </w:p>
    <w:p w14:paraId="7C9C9A6B" w14:textId="79EBA321" w:rsidR="007D63C2" w:rsidRDefault="007D63C2">
      <w:pPr>
        <w:ind w:left="720"/>
      </w:pPr>
    </w:p>
    <w:p w14:paraId="000000B3" w14:textId="6E26F0F9" w:rsidR="00404919" w:rsidRDefault="00E30665">
      <w:pPr>
        <w:ind w:left="720"/>
        <w:rPr>
          <w:b/>
          <w:bCs/>
          <w:color w:val="FF0000"/>
        </w:rPr>
      </w:pPr>
      <w:r>
        <w:rPr>
          <w:b/>
          <w:bCs/>
          <w:color w:val="FF0000"/>
        </w:rPr>
        <w:t>Charts &amp; Tables (if any):</w:t>
      </w:r>
    </w:p>
    <w:p w14:paraId="000000B4" w14:textId="77777777" w:rsidR="00404919" w:rsidRDefault="00E30665">
      <w:pPr>
        <w:ind w:left="720"/>
      </w:pPr>
      <w:r>
        <w:t>- Table / Chart Name:</w:t>
      </w:r>
    </w:p>
    <w:p w14:paraId="000000B5" w14:textId="73434180" w:rsidR="00404919" w:rsidRDefault="00E30665">
      <w:pPr>
        <w:ind w:left="720"/>
      </w:pPr>
      <w:r>
        <w:t xml:space="preserve">  </w:t>
      </w:r>
      <w:r w:rsidR="00C804EF">
        <w:t xml:space="preserve">2 </w:t>
      </w:r>
      <w:r w:rsidR="007D63C2">
        <w:t>Pivot Tables (</w:t>
      </w:r>
      <w:r w:rsidR="00C804EF" w:rsidRPr="00326E85">
        <w:t>Q-</w:t>
      </w:r>
      <w:r w:rsidR="00C804EF">
        <w:t>10</w:t>
      </w:r>
      <w:r w:rsidR="00C804EF" w:rsidRPr="00326E85">
        <w:t xml:space="preserve"> I Objective</w:t>
      </w:r>
      <w:r w:rsidR="007D63C2">
        <w:t>)</w:t>
      </w:r>
    </w:p>
    <w:p w14:paraId="4CE7A574" w14:textId="12734B85" w:rsidR="007D63C2" w:rsidRDefault="007D63C2">
      <w:pPr>
        <w:ind w:left="720"/>
      </w:pPr>
    </w:p>
    <w:p w14:paraId="000000B6" w14:textId="3BD15060" w:rsidR="00404919" w:rsidRDefault="00E30665">
      <w:pPr>
        <w:ind w:left="720"/>
      </w:pPr>
      <w:r>
        <w:t>- Description:</w:t>
      </w:r>
    </w:p>
    <w:p w14:paraId="4ACC7233" w14:textId="5ACCC0FF" w:rsidR="007D63C2" w:rsidRDefault="00E30665">
      <w:pPr>
        <w:ind w:left="720"/>
      </w:pPr>
      <w:r>
        <w:t xml:space="preserve">  </w:t>
      </w:r>
      <w:r w:rsidR="007D63C2">
        <w:t xml:space="preserve">List tables summarizing total interactions mapped out per unique user ID and </w:t>
      </w:r>
    </w:p>
    <w:p w14:paraId="000000B7" w14:textId="41E1DFEC" w:rsidR="00404919" w:rsidRDefault="007D63C2">
      <w:pPr>
        <w:ind w:left="720"/>
      </w:pPr>
      <w:r>
        <w:t xml:space="preserve">  per unique guru ID.</w:t>
      </w:r>
    </w:p>
    <w:p w14:paraId="000000B8" w14:textId="2EA824F6" w:rsidR="00404919" w:rsidRDefault="00404919"/>
    <w:p w14:paraId="000000B9" w14:textId="1481C3C1" w:rsidR="00404919" w:rsidRDefault="00E30665">
      <w:pPr>
        <w:pStyle w:val="Heading2"/>
        <w:rPr>
          <w:b/>
          <w:bCs/>
          <w:color w:val="FF0000"/>
        </w:rPr>
      </w:pPr>
      <w:bookmarkStart w:id="23" w:name="_tdket1pacgbl" w:colFirst="0" w:colLast="0"/>
      <w:bookmarkEnd w:id="23"/>
      <w:r>
        <w:rPr>
          <w:b/>
          <w:bCs/>
          <w:color w:val="FF0000"/>
        </w:rPr>
        <w:t>Question 11: What is the correlation between call duration and customer satisfaction?</w:t>
      </w:r>
    </w:p>
    <w:p w14:paraId="000000BB" w14:textId="529934D1" w:rsidR="00404919" w:rsidRPr="00AF44A6" w:rsidRDefault="00E30665" w:rsidP="00AF44A6">
      <w:pPr>
        <w:pStyle w:val="Heading2"/>
        <w:rPr>
          <w:b/>
          <w:bCs/>
        </w:rPr>
      </w:pPr>
      <w:bookmarkStart w:id="24" w:name="_gjr08dmnszv9" w:colFirst="0" w:colLast="0"/>
      <w:bookmarkEnd w:id="24"/>
      <w:r>
        <w:rPr>
          <w:b/>
          <w:bCs/>
        </w:rPr>
        <w:t>Solution:</w:t>
      </w:r>
    </w:p>
    <w:p w14:paraId="000000BC" w14:textId="77777777" w:rsidR="00404919" w:rsidRDefault="00E30665">
      <w:pPr>
        <w:ind w:left="720"/>
        <w:rPr>
          <w:b/>
          <w:bCs/>
          <w:color w:val="FF0000"/>
          <w:highlight w:val="white"/>
        </w:rPr>
      </w:pPr>
      <w:r>
        <w:rPr>
          <w:b/>
          <w:bCs/>
          <w:color w:val="FF0000"/>
          <w:highlight w:val="white"/>
        </w:rPr>
        <w:t>Final Answer (if any):</w:t>
      </w:r>
    </w:p>
    <w:p w14:paraId="000000BE" w14:textId="27475B3D" w:rsidR="00404919" w:rsidRDefault="00351F41">
      <w:pPr>
        <w:ind w:left="720"/>
      </w:pPr>
      <w:r>
        <w:t>The correlation coefficient is 0.48</w:t>
      </w:r>
    </w:p>
    <w:p w14:paraId="000000BF" w14:textId="77777777" w:rsidR="00404919" w:rsidRDefault="00E30665">
      <w:pPr>
        <w:ind w:left="720"/>
        <w:rPr>
          <w:b/>
          <w:bCs/>
          <w:color w:val="FF0000"/>
        </w:rPr>
      </w:pPr>
      <w:r>
        <w:rPr>
          <w:b/>
          <w:bCs/>
          <w:color w:val="FF0000"/>
        </w:rPr>
        <w:t>Approach (if any):</w:t>
      </w:r>
    </w:p>
    <w:p w14:paraId="000000C1" w14:textId="75217465" w:rsidR="00404919" w:rsidRDefault="00351F41">
      <w:pPr>
        <w:ind w:left="720"/>
      </w:pPr>
      <w:r>
        <w:t>Utilized the Pearson CORREL function comparing the '</w:t>
      </w:r>
      <w:r w:rsidRPr="00351F41">
        <w:t xml:space="preserve"> </w:t>
      </w:r>
      <w:proofErr w:type="spellStart"/>
      <w:r w:rsidRPr="00351F41">
        <w:t>userOnCallDuration</w:t>
      </w:r>
      <w:proofErr w:type="spellEnd"/>
      <w:r w:rsidRPr="00351F41">
        <w:t xml:space="preserve"> (Sec)</w:t>
      </w:r>
      <w:r>
        <w:t>' column against the 'rating' column, yielding a moderate positive statistical relationship.</w:t>
      </w:r>
    </w:p>
    <w:p w14:paraId="7AA3F422" w14:textId="29080BFB" w:rsidR="00351F41" w:rsidRDefault="00351F41">
      <w:pPr>
        <w:ind w:left="720"/>
      </w:pPr>
    </w:p>
    <w:p w14:paraId="000000C2" w14:textId="602B4E75" w:rsidR="00404919" w:rsidRDefault="00E30665">
      <w:pPr>
        <w:ind w:left="720"/>
        <w:rPr>
          <w:b/>
          <w:bCs/>
          <w:color w:val="FF0000"/>
        </w:rPr>
      </w:pPr>
      <w:r>
        <w:rPr>
          <w:b/>
          <w:bCs/>
          <w:color w:val="FF0000"/>
        </w:rPr>
        <w:t>Charts &amp; Tables (if any):</w:t>
      </w:r>
    </w:p>
    <w:p w14:paraId="000000C3" w14:textId="10682138" w:rsidR="00404919" w:rsidRDefault="00E30665">
      <w:pPr>
        <w:ind w:left="720"/>
      </w:pPr>
      <w:r>
        <w:t>- Table / Chart Name:</w:t>
      </w:r>
    </w:p>
    <w:p w14:paraId="000000C4" w14:textId="6AB848BB" w:rsidR="00404919" w:rsidRDefault="00E30665">
      <w:pPr>
        <w:ind w:left="720"/>
      </w:pPr>
      <w:r>
        <w:t xml:space="preserve">  </w:t>
      </w:r>
      <w:r w:rsidR="00351F41">
        <w:t xml:space="preserve">Pivot Table </w:t>
      </w:r>
      <w:r w:rsidR="00AF44A6">
        <w:t xml:space="preserve">and Bar Chart </w:t>
      </w:r>
      <w:r w:rsidR="00351F41">
        <w:t>(</w:t>
      </w:r>
      <w:r w:rsidR="00C804EF" w:rsidRPr="00326E85">
        <w:t>Q-</w:t>
      </w:r>
      <w:r w:rsidR="00C804EF">
        <w:t>11</w:t>
      </w:r>
      <w:r w:rsidR="00C804EF" w:rsidRPr="00326E85">
        <w:t xml:space="preserve"> I Objective</w:t>
      </w:r>
      <w:r w:rsidR="00351F41">
        <w:t>)</w:t>
      </w:r>
    </w:p>
    <w:p w14:paraId="459FB5CA" w14:textId="42616488" w:rsidR="00AF44A6" w:rsidRDefault="00AF44A6">
      <w:pPr>
        <w:ind w:left="720"/>
      </w:pPr>
      <w:r>
        <w:rPr>
          <w:noProof/>
        </w:rPr>
        <w:drawing>
          <wp:anchor distT="0" distB="0" distL="114300" distR="114300" simplePos="0" relativeHeight="251672576" behindDoc="0" locked="0" layoutInCell="1" allowOverlap="1" wp14:anchorId="443281DB" wp14:editId="11A921D8">
            <wp:simplePos x="0" y="0"/>
            <wp:positionH relativeFrom="margin">
              <wp:align>right</wp:align>
            </wp:positionH>
            <wp:positionV relativeFrom="paragraph">
              <wp:posOffset>67641</wp:posOffset>
            </wp:positionV>
            <wp:extent cx="5739130" cy="234563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992" cy="2351300"/>
                    </a:xfrm>
                    <a:prstGeom prst="rect">
                      <a:avLst/>
                    </a:prstGeom>
                    <a:noFill/>
                  </pic:spPr>
                </pic:pic>
              </a:graphicData>
            </a:graphic>
            <wp14:sizeRelH relativeFrom="margin">
              <wp14:pctWidth>0</wp14:pctWidth>
            </wp14:sizeRelH>
            <wp14:sizeRelV relativeFrom="margin">
              <wp14:pctHeight>0</wp14:pctHeight>
            </wp14:sizeRelV>
          </wp:anchor>
        </w:drawing>
      </w:r>
    </w:p>
    <w:p w14:paraId="7BED1892" w14:textId="3DB7771D" w:rsidR="00AF44A6" w:rsidRDefault="00AF44A6">
      <w:pPr>
        <w:ind w:left="720"/>
      </w:pPr>
    </w:p>
    <w:p w14:paraId="609DD895" w14:textId="4B21945F" w:rsidR="00AF44A6" w:rsidRDefault="00AF44A6">
      <w:pPr>
        <w:ind w:left="720"/>
      </w:pPr>
    </w:p>
    <w:p w14:paraId="40CDD610" w14:textId="3399EC58" w:rsidR="00AF44A6" w:rsidRDefault="00AF44A6">
      <w:pPr>
        <w:ind w:left="720"/>
      </w:pPr>
    </w:p>
    <w:p w14:paraId="330CBF37" w14:textId="7086F547" w:rsidR="00AF44A6" w:rsidRDefault="00AF44A6">
      <w:pPr>
        <w:ind w:left="720"/>
      </w:pPr>
    </w:p>
    <w:p w14:paraId="11224907" w14:textId="6B583ECC" w:rsidR="00AF44A6" w:rsidRDefault="00AF44A6">
      <w:pPr>
        <w:ind w:left="720"/>
      </w:pPr>
    </w:p>
    <w:p w14:paraId="69F09213" w14:textId="20841FA8" w:rsidR="00351F41" w:rsidRDefault="00351F41" w:rsidP="00AF44A6"/>
    <w:p w14:paraId="07BF2EC0" w14:textId="77777777" w:rsidR="00AF44A6" w:rsidRDefault="00AF44A6" w:rsidP="00AF44A6"/>
    <w:p w14:paraId="000000C5" w14:textId="77777777" w:rsidR="00404919" w:rsidRDefault="00E30665">
      <w:pPr>
        <w:ind w:left="720"/>
      </w:pPr>
      <w:r>
        <w:lastRenderedPageBreak/>
        <w:t>- Description:</w:t>
      </w:r>
    </w:p>
    <w:p w14:paraId="000000C7" w14:textId="5714B36E" w:rsidR="00404919" w:rsidRDefault="00E30665" w:rsidP="00351F41">
      <w:pPr>
        <w:ind w:left="720"/>
      </w:pPr>
      <w:r>
        <w:t xml:space="preserve">  </w:t>
      </w:r>
      <w:r w:rsidR="00351F41">
        <w:t xml:space="preserve">A </w:t>
      </w:r>
      <w:r w:rsidR="00AF44A6">
        <w:t>bar chart which visualizes</w:t>
      </w:r>
      <w:r w:rsidR="00351F41">
        <w:t xml:space="preserve"> correlation matrix cell output demonstrating the relationship strength.</w:t>
      </w:r>
    </w:p>
    <w:p w14:paraId="000000C8" w14:textId="77777777" w:rsidR="00404919" w:rsidRDefault="00E30665">
      <w:pPr>
        <w:pStyle w:val="Heading2"/>
        <w:rPr>
          <w:b/>
          <w:bCs/>
          <w:color w:val="FF0000"/>
        </w:rPr>
      </w:pPr>
      <w:bookmarkStart w:id="25" w:name="_xr1r891qf69w" w:colFirst="0" w:colLast="0"/>
      <w:bookmarkEnd w:id="25"/>
      <w:r>
        <w:rPr>
          <w:b/>
          <w:bCs/>
          <w:color w:val="FF0000"/>
        </w:rPr>
        <w:t>Question 12: Which guru has the highest and lowest customer satisfaction scores?</w:t>
      </w:r>
    </w:p>
    <w:p w14:paraId="000000C9" w14:textId="77777777" w:rsidR="00404919" w:rsidRDefault="00E30665">
      <w:pPr>
        <w:pStyle w:val="Heading2"/>
        <w:rPr>
          <w:b/>
          <w:bCs/>
        </w:rPr>
      </w:pPr>
      <w:bookmarkStart w:id="26" w:name="_orkw13nz9meg" w:colFirst="0" w:colLast="0"/>
      <w:bookmarkEnd w:id="26"/>
      <w:r>
        <w:rPr>
          <w:b/>
          <w:bCs/>
        </w:rPr>
        <w:t>Solution:</w:t>
      </w:r>
    </w:p>
    <w:p w14:paraId="000000CA" w14:textId="77777777" w:rsidR="00404919" w:rsidRDefault="00404919"/>
    <w:p w14:paraId="000000CB" w14:textId="77777777" w:rsidR="00404919" w:rsidRDefault="00E30665">
      <w:pPr>
        <w:ind w:left="720"/>
        <w:rPr>
          <w:b/>
          <w:bCs/>
          <w:color w:val="FF0000"/>
          <w:highlight w:val="white"/>
        </w:rPr>
      </w:pPr>
      <w:r>
        <w:rPr>
          <w:b/>
          <w:bCs/>
          <w:color w:val="FF0000"/>
          <w:highlight w:val="white"/>
        </w:rPr>
        <w:t>Final Answer (if any):</w:t>
      </w:r>
    </w:p>
    <w:p w14:paraId="000000CD" w14:textId="79998CC6" w:rsidR="00404919" w:rsidRDefault="00351F41">
      <w:pPr>
        <w:ind w:left="720"/>
      </w:pPr>
      <w:r>
        <w:t xml:space="preserve">Highest: Astro </w:t>
      </w:r>
      <w:proofErr w:type="spellStart"/>
      <w:r>
        <w:t>Pujaa</w:t>
      </w:r>
      <w:proofErr w:type="spellEnd"/>
      <w:r>
        <w:t xml:space="preserve"> Rai (7.5 average rating)</w:t>
      </w:r>
      <w:r w:rsidR="001878FF">
        <w:t xml:space="preserve"> and Tarot Mystical (7.5 average rating)</w:t>
      </w:r>
      <w:r w:rsidR="001878FF">
        <w:br/>
      </w:r>
      <w:r>
        <w:t xml:space="preserve">Lowest: Tarot </w:t>
      </w:r>
      <w:proofErr w:type="spellStart"/>
      <w:r>
        <w:t>Rittika</w:t>
      </w:r>
      <w:proofErr w:type="spellEnd"/>
      <w:r>
        <w:t xml:space="preserve"> (0.0 average rating).</w:t>
      </w:r>
    </w:p>
    <w:p w14:paraId="000000CE" w14:textId="77777777" w:rsidR="00404919" w:rsidRDefault="00E30665">
      <w:pPr>
        <w:ind w:left="720"/>
        <w:rPr>
          <w:b/>
          <w:bCs/>
          <w:color w:val="FF0000"/>
        </w:rPr>
      </w:pPr>
      <w:r>
        <w:rPr>
          <w:b/>
          <w:bCs/>
          <w:color w:val="FF0000"/>
        </w:rPr>
        <w:t>Approach (if any):</w:t>
      </w:r>
    </w:p>
    <w:p w14:paraId="000000D0" w14:textId="56912666" w:rsidR="00404919" w:rsidRDefault="001878FF">
      <w:pPr>
        <w:ind w:left="720"/>
      </w:pPr>
      <w:r>
        <w:t>Grouped records by '</w:t>
      </w:r>
      <w:proofErr w:type="spellStart"/>
      <w:r>
        <w:t>guruName</w:t>
      </w:r>
      <w:proofErr w:type="spellEnd"/>
      <w:r>
        <w:t>', calculated the AVERAGE of the 'rating' and extracted the MAX and MIN values from the resulting array.</w:t>
      </w:r>
    </w:p>
    <w:p w14:paraId="0C633396" w14:textId="77777777" w:rsidR="001878FF" w:rsidRDefault="001878FF">
      <w:pPr>
        <w:ind w:left="720"/>
      </w:pPr>
    </w:p>
    <w:p w14:paraId="000000D1" w14:textId="77777777" w:rsidR="00404919" w:rsidRDefault="00E30665">
      <w:pPr>
        <w:ind w:left="720"/>
        <w:rPr>
          <w:b/>
          <w:bCs/>
          <w:color w:val="FF0000"/>
        </w:rPr>
      </w:pPr>
      <w:r>
        <w:rPr>
          <w:b/>
          <w:bCs/>
          <w:color w:val="FF0000"/>
        </w:rPr>
        <w:t>Charts &amp; Tables (if any):</w:t>
      </w:r>
    </w:p>
    <w:p w14:paraId="000000D2" w14:textId="77777777" w:rsidR="00404919" w:rsidRDefault="00E30665">
      <w:pPr>
        <w:ind w:left="720"/>
      </w:pPr>
      <w:r>
        <w:t>- Table / Chart Name:</w:t>
      </w:r>
    </w:p>
    <w:p w14:paraId="000000D3" w14:textId="44D91C85" w:rsidR="00404919" w:rsidRDefault="00E30665">
      <w:pPr>
        <w:ind w:left="720"/>
      </w:pPr>
      <w:r>
        <w:t xml:space="preserve">  </w:t>
      </w:r>
      <w:r w:rsidR="00AF44A6">
        <w:t>2</w:t>
      </w:r>
      <w:r w:rsidR="001878FF">
        <w:t xml:space="preserve"> Pivot Tables (</w:t>
      </w:r>
      <w:r w:rsidR="00AF44A6">
        <w:t>Q-12 I Objective</w:t>
      </w:r>
      <w:r w:rsidR="001878FF">
        <w:t>)</w:t>
      </w:r>
    </w:p>
    <w:p w14:paraId="000000D4" w14:textId="77777777" w:rsidR="00404919" w:rsidRDefault="00E30665">
      <w:pPr>
        <w:ind w:left="720"/>
      </w:pPr>
      <w:r>
        <w:t>- Description:</w:t>
      </w:r>
    </w:p>
    <w:p w14:paraId="24F184C7" w14:textId="29DE63FF" w:rsidR="001878FF" w:rsidRDefault="00E30665" w:rsidP="001878FF">
      <w:pPr>
        <w:ind w:left="720"/>
      </w:pPr>
      <w:r>
        <w:t xml:space="preserve">  </w:t>
      </w:r>
      <w:r w:rsidR="001878FF">
        <w:t xml:space="preserve">Two summary table ranking specific agents strictly by their aggregated </w:t>
      </w:r>
    </w:p>
    <w:p w14:paraId="000000D6" w14:textId="1A2975CB" w:rsidR="00404919" w:rsidRDefault="001878FF" w:rsidP="001878FF">
      <w:pPr>
        <w:ind w:left="720"/>
      </w:pPr>
      <w:r>
        <w:t xml:space="preserve">  average satisfaction ratings.</w:t>
      </w:r>
    </w:p>
    <w:p w14:paraId="000000D7" w14:textId="77777777" w:rsidR="00404919" w:rsidRDefault="00404919"/>
    <w:p w14:paraId="000000D8" w14:textId="77777777" w:rsidR="00404919" w:rsidRDefault="00E30665">
      <w:pPr>
        <w:pStyle w:val="Heading2"/>
        <w:rPr>
          <w:b/>
          <w:bCs/>
          <w:color w:val="FF0000"/>
        </w:rPr>
      </w:pPr>
      <w:bookmarkStart w:id="27" w:name="_ifoa81fyv63y" w:colFirst="0" w:colLast="0"/>
      <w:bookmarkEnd w:id="27"/>
      <w:r>
        <w:rPr>
          <w:b/>
          <w:bCs/>
          <w:color w:val="FF0000"/>
        </w:rPr>
        <w:t>Question 13: What is the average customer satisfaction score by month?</w:t>
      </w:r>
    </w:p>
    <w:p w14:paraId="000000D9" w14:textId="77777777" w:rsidR="00404919" w:rsidRDefault="00E30665">
      <w:pPr>
        <w:pStyle w:val="Heading2"/>
        <w:rPr>
          <w:b/>
          <w:bCs/>
        </w:rPr>
      </w:pPr>
      <w:bookmarkStart w:id="28" w:name="_s21xdtauhtll" w:colFirst="0" w:colLast="0"/>
      <w:bookmarkEnd w:id="28"/>
      <w:r>
        <w:rPr>
          <w:b/>
          <w:bCs/>
        </w:rPr>
        <w:t>Solution:</w:t>
      </w:r>
    </w:p>
    <w:p w14:paraId="000000DA" w14:textId="77777777" w:rsidR="00404919" w:rsidRDefault="00404919"/>
    <w:p w14:paraId="000000DB" w14:textId="77777777" w:rsidR="00404919" w:rsidRDefault="00E30665">
      <w:pPr>
        <w:ind w:left="720"/>
        <w:rPr>
          <w:b/>
          <w:bCs/>
          <w:color w:val="FF0000"/>
          <w:highlight w:val="white"/>
        </w:rPr>
      </w:pPr>
      <w:r>
        <w:rPr>
          <w:b/>
          <w:bCs/>
          <w:color w:val="FF0000"/>
          <w:highlight w:val="white"/>
        </w:rPr>
        <w:t>Final Answer (if any):</w:t>
      </w:r>
    </w:p>
    <w:p w14:paraId="44F000BA" w14:textId="531316BB" w:rsidR="001878FF" w:rsidRDefault="001878FF">
      <w:pPr>
        <w:ind w:left="720"/>
      </w:pPr>
      <w:r>
        <w:t>December: 2.95</w:t>
      </w:r>
    </w:p>
    <w:p w14:paraId="000000DD" w14:textId="1E5BF228" w:rsidR="00404919" w:rsidRDefault="001878FF">
      <w:pPr>
        <w:ind w:left="720"/>
      </w:pPr>
      <w:r>
        <w:t>January: 2.68</w:t>
      </w:r>
    </w:p>
    <w:p w14:paraId="4865A36D" w14:textId="77777777" w:rsidR="001878FF" w:rsidRDefault="001878FF">
      <w:pPr>
        <w:ind w:left="720"/>
      </w:pPr>
    </w:p>
    <w:p w14:paraId="1944BF45" w14:textId="77777777" w:rsidR="001878FF" w:rsidRDefault="00E30665" w:rsidP="001878FF">
      <w:pPr>
        <w:ind w:left="720"/>
        <w:rPr>
          <w:b/>
          <w:bCs/>
          <w:color w:val="FF0000"/>
        </w:rPr>
      </w:pPr>
      <w:r>
        <w:rPr>
          <w:b/>
          <w:bCs/>
          <w:color w:val="FF0000"/>
        </w:rPr>
        <w:t>Approach (if any):</w:t>
      </w:r>
    </w:p>
    <w:p w14:paraId="000000E0" w14:textId="39DE8452" w:rsidR="00404919" w:rsidRDefault="001878FF" w:rsidP="001878FF">
      <w:pPr>
        <w:ind w:left="720"/>
      </w:pPr>
      <w:r>
        <w:t>Grouped the dataset in a pivot table by the 'Month' attribute and applied an AVERAGE function on the 'rating'.</w:t>
      </w:r>
    </w:p>
    <w:p w14:paraId="34ABB228" w14:textId="77777777" w:rsidR="001878FF" w:rsidRPr="001878FF" w:rsidRDefault="001878FF" w:rsidP="001878FF">
      <w:pPr>
        <w:ind w:left="720"/>
        <w:rPr>
          <w:b/>
          <w:bCs/>
          <w:color w:val="FF0000"/>
        </w:rPr>
      </w:pPr>
    </w:p>
    <w:p w14:paraId="000000E1" w14:textId="77777777" w:rsidR="00404919" w:rsidRDefault="00E30665">
      <w:pPr>
        <w:ind w:left="720"/>
        <w:rPr>
          <w:b/>
          <w:bCs/>
          <w:color w:val="FF0000"/>
        </w:rPr>
      </w:pPr>
      <w:r>
        <w:rPr>
          <w:b/>
          <w:bCs/>
          <w:color w:val="FF0000"/>
        </w:rPr>
        <w:t>Charts &amp; Tables (if any):</w:t>
      </w:r>
    </w:p>
    <w:p w14:paraId="000000E2" w14:textId="77777777" w:rsidR="00404919" w:rsidRDefault="00E30665">
      <w:pPr>
        <w:ind w:left="720"/>
      </w:pPr>
      <w:r>
        <w:t>- Table / Chart Name:</w:t>
      </w:r>
    </w:p>
    <w:p w14:paraId="000000E3" w14:textId="3D913116" w:rsidR="00404919" w:rsidRDefault="00E30665">
      <w:pPr>
        <w:ind w:left="720"/>
      </w:pPr>
      <w:r>
        <w:t xml:space="preserve">  </w:t>
      </w:r>
      <w:r w:rsidR="001878FF">
        <w:t>Pivot Table (</w:t>
      </w:r>
      <w:r w:rsidR="00AF44A6">
        <w:t>Q-13 I Objective</w:t>
      </w:r>
      <w:r w:rsidR="001878FF">
        <w:t>)</w:t>
      </w:r>
    </w:p>
    <w:p w14:paraId="7433A4BB" w14:textId="3A207E15" w:rsidR="001878FF" w:rsidRDefault="001878FF">
      <w:pPr>
        <w:ind w:left="720"/>
      </w:pPr>
      <w:r>
        <w:t xml:space="preserve">  Bar Chart (</w:t>
      </w:r>
      <w:r w:rsidR="00AF44A6">
        <w:t>Q-13 I Objective</w:t>
      </w:r>
      <w:r>
        <w:t>)</w:t>
      </w:r>
    </w:p>
    <w:p w14:paraId="0DAF2CA6" w14:textId="14509AF3" w:rsidR="00AF44A6" w:rsidRDefault="00AF44A6">
      <w:pPr>
        <w:ind w:left="720"/>
      </w:pPr>
    </w:p>
    <w:p w14:paraId="73550A0E" w14:textId="2E44E5C7" w:rsidR="00AF44A6" w:rsidRDefault="00AF44A6">
      <w:pPr>
        <w:ind w:left="720"/>
      </w:pPr>
    </w:p>
    <w:p w14:paraId="7956F8DE" w14:textId="242FC9CD" w:rsidR="00AF44A6" w:rsidRDefault="00AF44A6">
      <w:pPr>
        <w:ind w:left="720"/>
      </w:pPr>
      <w:r>
        <w:rPr>
          <w:noProof/>
        </w:rPr>
        <w:lastRenderedPageBreak/>
        <w:drawing>
          <wp:anchor distT="0" distB="0" distL="114300" distR="114300" simplePos="0" relativeHeight="251673600" behindDoc="0" locked="0" layoutInCell="1" allowOverlap="1" wp14:anchorId="3E6CF2F5" wp14:editId="03EF3889">
            <wp:simplePos x="0" y="0"/>
            <wp:positionH relativeFrom="column">
              <wp:posOffset>213995</wp:posOffset>
            </wp:positionH>
            <wp:positionV relativeFrom="paragraph">
              <wp:posOffset>-675695</wp:posOffset>
            </wp:positionV>
            <wp:extent cx="5706110" cy="2755900"/>
            <wp:effectExtent l="0" t="0" r="889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6110" cy="2755900"/>
                    </a:xfrm>
                    <a:prstGeom prst="rect">
                      <a:avLst/>
                    </a:prstGeom>
                    <a:noFill/>
                  </pic:spPr>
                </pic:pic>
              </a:graphicData>
            </a:graphic>
          </wp:anchor>
        </w:drawing>
      </w:r>
    </w:p>
    <w:p w14:paraId="5789B627" w14:textId="591DC9F0" w:rsidR="00AF44A6" w:rsidRDefault="00AF44A6">
      <w:pPr>
        <w:ind w:left="720"/>
      </w:pPr>
    </w:p>
    <w:p w14:paraId="66D8D8DF" w14:textId="2804D74D" w:rsidR="00AF44A6" w:rsidRDefault="00AF44A6">
      <w:pPr>
        <w:ind w:left="720"/>
      </w:pPr>
    </w:p>
    <w:p w14:paraId="5CC47B37" w14:textId="78B7C970" w:rsidR="00AF44A6" w:rsidRDefault="00AF44A6">
      <w:pPr>
        <w:ind w:left="720"/>
      </w:pPr>
    </w:p>
    <w:p w14:paraId="3DB7D36F" w14:textId="50372C01" w:rsidR="00AF44A6" w:rsidRDefault="00AF44A6">
      <w:pPr>
        <w:ind w:left="720"/>
      </w:pPr>
    </w:p>
    <w:p w14:paraId="6FA004AB" w14:textId="68DFF9F2" w:rsidR="00AF44A6" w:rsidRDefault="00AF44A6">
      <w:pPr>
        <w:ind w:left="720"/>
      </w:pPr>
    </w:p>
    <w:p w14:paraId="7384B36B" w14:textId="44E40F66" w:rsidR="00AF44A6" w:rsidRDefault="00AF44A6">
      <w:pPr>
        <w:ind w:left="720"/>
      </w:pPr>
    </w:p>
    <w:p w14:paraId="7C2F9BE2" w14:textId="497C3984" w:rsidR="00AF44A6" w:rsidRDefault="00AF44A6">
      <w:pPr>
        <w:ind w:left="720"/>
      </w:pPr>
    </w:p>
    <w:p w14:paraId="3DB76614" w14:textId="366E4809" w:rsidR="00AF44A6" w:rsidRDefault="00AF44A6">
      <w:pPr>
        <w:ind w:left="720"/>
      </w:pPr>
    </w:p>
    <w:p w14:paraId="3FCE4AC6" w14:textId="2AFD8E1E" w:rsidR="00AF44A6" w:rsidRDefault="00AF44A6">
      <w:pPr>
        <w:ind w:left="720"/>
      </w:pPr>
    </w:p>
    <w:p w14:paraId="3D359B64" w14:textId="77777777" w:rsidR="00AF44A6" w:rsidRDefault="00AF44A6" w:rsidP="00AF44A6"/>
    <w:p w14:paraId="2EA732FC" w14:textId="77777777" w:rsidR="001878FF" w:rsidRPr="001878FF" w:rsidRDefault="001878FF">
      <w:pPr>
        <w:ind w:left="720"/>
        <w:rPr>
          <w:lang w:val="en-US"/>
        </w:rPr>
      </w:pPr>
    </w:p>
    <w:p w14:paraId="000000E4" w14:textId="77777777" w:rsidR="00404919" w:rsidRDefault="00E30665">
      <w:pPr>
        <w:ind w:left="720"/>
      </w:pPr>
      <w:r>
        <w:t>- Description:</w:t>
      </w:r>
    </w:p>
    <w:p w14:paraId="54342EDF" w14:textId="77777777" w:rsidR="00E30665" w:rsidRDefault="00E30665" w:rsidP="001878FF">
      <w:pPr>
        <w:ind w:left="720"/>
      </w:pPr>
      <w:r>
        <w:t xml:space="preserve">  </w:t>
      </w:r>
      <w:r w:rsidR="001878FF">
        <w:t xml:space="preserve">Summary table </w:t>
      </w:r>
      <w:r>
        <w:t xml:space="preserve">and chart </w:t>
      </w:r>
      <w:r w:rsidR="001878FF">
        <w:t xml:space="preserve">displaying the average customer score segmented </w:t>
      </w:r>
    </w:p>
    <w:p w14:paraId="000000E6" w14:textId="3938CD2D" w:rsidR="00404919" w:rsidRDefault="00E30665" w:rsidP="001878FF">
      <w:pPr>
        <w:ind w:left="720"/>
      </w:pPr>
      <w:r>
        <w:t xml:space="preserve">  </w:t>
      </w:r>
      <w:r w:rsidR="001878FF">
        <w:t>by month.</w:t>
      </w:r>
    </w:p>
    <w:p w14:paraId="000000E7" w14:textId="77777777" w:rsidR="00404919" w:rsidRDefault="00E30665">
      <w:pPr>
        <w:pStyle w:val="Heading2"/>
        <w:rPr>
          <w:b/>
          <w:bCs/>
          <w:color w:val="FF0000"/>
        </w:rPr>
      </w:pPr>
      <w:bookmarkStart w:id="29" w:name="_ojmyto916c42" w:colFirst="0" w:colLast="0"/>
      <w:bookmarkEnd w:id="29"/>
      <w:r>
        <w:rPr>
          <w:b/>
          <w:bCs/>
          <w:color w:val="FF0000"/>
        </w:rPr>
        <w:t>Question 14: How many categorical columns are there in the data? [Search about categorical and continuous data, and try to answer this question]</w:t>
      </w:r>
    </w:p>
    <w:p w14:paraId="000000E8" w14:textId="77777777" w:rsidR="00404919" w:rsidRDefault="00E30665">
      <w:pPr>
        <w:pStyle w:val="Heading2"/>
        <w:rPr>
          <w:b/>
          <w:bCs/>
        </w:rPr>
      </w:pPr>
      <w:bookmarkStart w:id="30" w:name="_u7btnq2n9r0b" w:colFirst="0" w:colLast="0"/>
      <w:bookmarkEnd w:id="30"/>
      <w:r>
        <w:rPr>
          <w:b/>
          <w:bCs/>
        </w:rPr>
        <w:t>Solution:</w:t>
      </w:r>
    </w:p>
    <w:p w14:paraId="000000E9" w14:textId="77777777" w:rsidR="00404919" w:rsidRDefault="00404919"/>
    <w:p w14:paraId="000000EA" w14:textId="3B1A8826" w:rsidR="00404919" w:rsidRDefault="00E30665">
      <w:pPr>
        <w:ind w:left="720"/>
        <w:rPr>
          <w:b/>
          <w:bCs/>
          <w:color w:val="FF0000"/>
          <w:highlight w:val="white"/>
        </w:rPr>
      </w:pPr>
      <w:r>
        <w:rPr>
          <w:b/>
          <w:bCs/>
          <w:color w:val="FF0000"/>
          <w:highlight w:val="white"/>
        </w:rPr>
        <w:t>Final Answer (if any):</w:t>
      </w:r>
    </w:p>
    <w:p w14:paraId="03E5E5A3" w14:textId="77777777" w:rsidR="00AF44A6" w:rsidRDefault="00AF44A6">
      <w:pPr>
        <w:ind w:left="720"/>
        <w:rPr>
          <w:b/>
          <w:bCs/>
          <w:color w:val="FF0000"/>
          <w:highlight w:val="white"/>
        </w:rPr>
      </w:pPr>
    </w:p>
    <w:p w14:paraId="000000EC" w14:textId="3E1B9CFE" w:rsidR="00404919" w:rsidRDefault="00E30665">
      <w:pPr>
        <w:ind w:left="720"/>
      </w:pPr>
      <w:r>
        <w:t>There are 20 categorical columns</w:t>
      </w:r>
      <w:r w:rsidR="00AF44A6">
        <w:t xml:space="preserve"> in data (Cleaned data)</w:t>
      </w:r>
    </w:p>
    <w:p w14:paraId="33938EA3" w14:textId="77777777" w:rsidR="00E30665" w:rsidRDefault="00E30665">
      <w:pPr>
        <w:ind w:left="720"/>
      </w:pPr>
    </w:p>
    <w:p w14:paraId="000000ED" w14:textId="44629D4E" w:rsidR="00404919" w:rsidRDefault="00E30665">
      <w:pPr>
        <w:ind w:left="720"/>
        <w:rPr>
          <w:b/>
          <w:bCs/>
          <w:color w:val="FF0000"/>
        </w:rPr>
      </w:pPr>
      <w:r>
        <w:rPr>
          <w:b/>
          <w:bCs/>
          <w:color w:val="FF0000"/>
        </w:rPr>
        <w:t>Approach (if any):</w:t>
      </w:r>
    </w:p>
    <w:p w14:paraId="16399BCB" w14:textId="77777777" w:rsidR="00AF44A6" w:rsidRDefault="00AF44A6">
      <w:pPr>
        <w:ind w:left="720"/>
        <w:rPr>
          <w:b/>
          <w:bCs/>
          <w:color w:val="FF0000"/>
        </w:rPr>
      </w:pPr>
    </w:p>
    <w:p w14:paraId="000000EF" w14:textId="65811D9E" w:rsidR="00404919" w:rsidRDefault="00E30665">
      <w:pPr>
        <w:ind w:left="720"/>
      </w:pPr>
      <w:r>
        <w:t xml:space="preserve">Evaluated the data types of the Cleaned data spreadsheet. Flagged columns containing qualitative, text-based groupings, or discrete identifiers (e.g., user, </w:t>
      </w:r>
      <w:proofErr w:type="spellStart"/>
      <w:r>
        <w:t>guruName</w:t>
      </w:r>
      <w:proofErr w:type="spellEnd"/>
      <w:r>
        <w:t xml:space="preserve">, </w:t>
      </w:r>
      <w:proofErr w:type="spellStart"/>
      <w:r>
        <w:t>consultationType</w:t>
      </w:r>
      <w:proofErr w:type="spellEnd"/>
      <w:r>
        <w:t xml:space="preserve">, Month, </w:t>
      </w:r>
      <w:r w:rsidR="00AF44A6">
        <w:t>User</w:t>
      </w:r>
      <w:r>
        <w:t xml:space="preserve"> T</w:t>
      </w:r>
      <w:r w:rsidR="00AF44A6">
        <w:t>ype</w:t>
      </w:r>
      <w:r>
        <w:t>) rather than measurable continuous numerical values.</w:t>
      </w:r>
    </w:p>
    <w:p w14:paraId="0BCA7D97" w14:textId="77777777" w:rsidR="00E30665" w:rsidRDefault="00E30665">
      <w:pPr>
        <w:ind w:left="720"/>
      </w:pPr>
    </w:p>
    <w:p w14:paraId="000000F0" w14:textId="274B18F9" w:rsidR="00404919" w:rsidRDefault="00E30665">
      <w:pPr>
        <w:ind w:left="720"/>
        <w:rPr>
          <w:b/>
          <w:bCs/>
          <w:color w:val="FF0000"/>
        </w:rPr>
      </w:pPr>
      <w:r>
        <w:rPr>
          <w:b/>
          <w:bCs/>
          <w:color w:val="FF0000"/>
        </w:rPr>
        <w:t>Charts &amp; Tables (if any):</w:t>
      </w:r>
    </w:p>
    <w:p w14:paraId="0709D689" w14:textId="77777777" w:rsidR="00E30665" w:rsidRDefault="00E30665">
      <w:pPr>
        <w:ind w:left="720"/>
        <w:rPr>
          <w:b/>
          <w:bCs/>
          <w:color w:val="FF0000"/>
        </w:rPr>
      </w:pPr>
    </w:p>
    <w:p w14:paraId="000000F4" w14:textId="5F1798BB" w:rsidR="00404919" w:rsidRDefault="00E30665">
      <w:pPr>
        <w:ind w:left="720"/>
      </w:pPr>
      <w:r>
        <w:t>N/A</w:t>
      </w:r>
    </w:p>
    <w:p w14:paraId="000000F5" w14:textId="77777777" w:rsidR="00404919" w:rsidRDefault="00404919"/>
    <w:p w14:paraId="000000F6" w14:textId="77777777" w:rsidR="00404919" w:rsidRDefault="00404919"/>
    <w:p w14:paraId="000000F7" w14:textId="77777777" w:rsidR="00404919" w:rsidRDefault="00404919"/>
    <w:p w14:paraId="000000F8" w14:textId="77777777" w:rsidR="00404919" w:rsidRDefault="00404919"/>
    <w:p w14:paraId="000000F9" w14:textId="77777777" w:rsidR="00404919" w:rsidRDefault="00404919"/>
    <w:p w14:paraId="000000FA" w14:textId="77777777" w:rsidR="00404919" w:rsidRDefault="00404919"/>
    <w:p w14:paraId="000000FB" w14:textId="77777777" w:rsidR="00404919" w:rsidRDefault="00404919"/>
    <w:p w14:paraId="0000010E" w14:textId="25416CC1" w:rsidR="00404919" w:rsidRDefault="00E30665">
      <w:pPr>
        <w:pStyle w:val="Heading1"/>
        <w:rPr>
          <w:b/>
          <w:bCs/>
          <w:color w:val="FF0000"/>
          <w:u w:val="single"/>
        </w:rPr>
      </w:pPr>
      <w:r>
        <w:rPr>
          <w:b/>
          <w:bCs/>
          <w:color w:val="FF0000"/>
          <w:u w:val="single"/>
        </w:rPr>
        <w:lastRenderedPageBreak/>
        <w:t>SUBJECTIVE QUESTIONS</w:t>
      </w:r>
    </w:p>
    <w:p w14:paraId="0000010F" w14:textId="388F1AE3" w:rsidR="00404919" w:rsidRDefault="00404919"/>
    <w:p w14:paraId="00000110" w14:textId="2A5CC851" w:rsidR="00404919" w:rsidRDefault="00E30665">
      <w:pPr>
        <w:pStyle w:val="Heading2"/>
      </w:pPr>
      <w:bookmarkStart w:id="31" w:name="_62xw6df4u52" w:colFirst="0" w:colLast="0"/>
      <w:bookmarkEnd w:id="31"/>
      <w:r>
        <w:rPr>
          <w:b/>
          <w:bCs/>
          <w:color w:val="FF0000"/>
        </w:rPr>
        <w:t xml:space="preserve">Question 1: Should the investment be used to hire more agents, improve training programs, or upgrade call </w:t>
      </w:r>
      <w:proofErr w:type="spellStart"/>
      <w:r>
        <w:rPr>
          <w:b/>
          <w:bCs/>
          <w:color w:val="FF0000"/>
        </w:rPr>
        <w:t>center</w:t>
      </w:r>
      <w:proofErr w:type="spellEnd"/>
      <w:r>
        <w:rPr>
          <w:b/>
          <w:bCs/>
          <w:color w:val="FF0000"/>
        </w:rPr>
        <w:t xml:space="preserve"> technology?</w:t>
      </w:r>
    </w:p>
    <w:p w14:paraId="00000111" w14:textId="486E90A9" w:rsidR="00404919" w:rsidRDefault="00404919"/>
    <w:p w14:paraId="00000112" w14:textId="4F5C00D3" w:rsidR="00404919" w:rsidRDefault="00E30665">
      <w:pPr>
        <w:pStyle w:val="Heading2"/>
        <w:rPr>
          <w:b/>
          <w:bCs/>
        </w:rPr>
      </w:pPr>
      <w:bookmarkStart w:id="32" w:name="_60itqned7vn4" w:colFirst="0" w:colLast="0"/>
      <w:bookmarkEnd w:id="32"/>
      <w:r>
        <w:rPr>
          <w:b/>
          <w:bCs/>
        </w:rPr>
        <w:t>Solution:</w:t>
      </w:r>
    </w:p>
    <w:p w14:paraId="00000113" w14:textId="054DD2AF" w:rsidR="00404919" w:rsidRDefault="00404919"/>
    <w:p w14:paraId="00000114" w14:textId="34FB6BAD" w:rsidR="00404919" w:rsidRDefault="00E30665">
      <w:pPr>
        <w:ind w:left="720"/>
        <w:rPr>
          <w:b/>
          <w:bCs/>
        </w:rPr>
      </w:pPr>
      <w:r>
        <w:rPr>
          <w:b/>
          <w:bCs/>
          <w:color w:val="FF0000"/>
          <w:highlight w:val="white"/>
        </w:rPr>
        <w:t>Approach:</w:t>
      </w:r>
    </w:p>
    <w:p w14:paraId="00000115" w14:textId="5C8F93B3" w:rsidR="00404919" w:rsidRDefault="007C2769">
      <w:pPr>
        <w:ind w:left="720"/>
      </w:pPr>
      <w:r w:rsidRPr="007C2769">
        <w:t>To determine the optimal allocation of investment funds, I evaluated call completion efficiency, call volume distribution, agent performance consistency, and user re-engagement/repeat rates across the dataset. The core objective was to identify whether operational bottlenecks are caused by capacity/headcount constraints (requiring hiring), skills/knowledge gaps (requiring training), or systemic/platform inefficiencies (requiring tech upgrades).</w:t>
      </w:r>
    </w:p>
    <w:p w14:paraId="00000116" w14:textId="506713F9" w:rsidR="00404919" w:rsidRDefault="00404919">
      <w:pPr>
        <w:ind w:left="720"/>
      </w:pPr>
    </w:p>
    <w:p w14:paraId="00000117" w14:textId="2A2AC4D0" w:rsidR="00404919" w:rsidRDefault="00E30665">
      <w:pPr>
        <w:ind w:left="720"/>
        <w:rPr>
          <w:b/>
          <w:bCs/>
        </w:rPr>
      </w:pPr>
      <w:r>
        <w:rPr>
          <w:b/>
          <w:bCs/>
          <w:color w:val="FF0000"/>
          <w:highlight w:val="white"/>
        </w:rPr>
        <w:t>Charts &amp; Tables:</w:t>
      </w:r>
    </w:p>
    <w:p w14:paraId="00000118" w14:textId="2857701D" w:rsidR="00404919" w:rsidRDefault="00E30665">
      <w:pPr>
        <w:ind w:left="720"/>
      </w:pPr>
      <w:r>
        <w:t>- Table / Chart Name:</w:t>
      </w:r>
    </w:p>
    <w:p w14:paraId="00000119" w14:textId="2A6C1E50" w:rsidR="00404919" w:rsidRDefault="00E30665">
      <w:pPr>
        <w:ind w:left="720"/>
      </w:pPr>
      <w:r>
        <w:t xml:space="preserve">  </w:t>
      </w:r>
      <w:r w:rsidR="007C2769">
        <w:t>4 Pivot Tables</w:t>
      </w:r>
      <w:r w:rsidR="00FC5B83">
        <w:t xml:space="preserve"> and 3 Charts</w:t>
      </w:r>
      <w:r w:rsidR="007C2769">
        <w:t xml:space="preserve"> (Q-1 I Subjective)</w:t>
      </w:r>
      <w:r w:rsidR="00FC5B83" w:rsidRPr="00FC5B83">
        <w:rPr>
          <w:noProof/>
        </w:rPr>
        <w:t xml:space="preserve"> </w:t>
      </w:r>
    </w:p>
    <w:p w14:paraId="46C15CF8" w14:textId="430ED0C6" w:rsidR="007C2769" w:rsidRDefault="00FC5B83">
      <w:pPr>
        <w:ind w:left="720"/>
      </w:pPr>
      <w:r>
        <w:rPr>
          <w:noProof/>
        </w:rPr>
        <w:drawing>
          <wp:anchor distT="0" distB="0" distL="114300" distR="114300" simplePos="0" relativeHeight="251658240" behindDoc="0" locked="0" layoutInCell="1" allowOverlap="1" wp14:anchorId="305B385A" wp14:editId="231A3D16">
            <wp:simplePos x="0" y="0"/>
            <wp:positionH relativeFrom="margin">
              <wp:align>right</wp:align>
            </wp:positionH>
            <wp:positionV relativeFrom="paragraph">
              <wp:posOffset>4445</wp:posOffset>
            </wp:positionV>
            <wp:extent cx="5733415" cy="1757238"/>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1757238"/>
                    </a:xfrm>
                    <a:prstGeom prst="rect">
                      <a:avLst/>
                    </a:prstGeom>
                    <a:noFill/>
                  </pic:spPr>
                </pic:pic>
              </a:graphicData>
            </a:graphic>
            <wp14:sizeRelV relativeFrom="margin">
              <wp14:pctHeight>0</wp14:pctHeight>
            </wp14:sizeRelV>
          </wp:anchor>
        </w:drawing>
      </w:r>
    </w:p>
    <w:p w14:paraId="5ACA5E29" w14:textId="7C42A599" w:rsidR="007C2769" w:rsidRDefault="007C2769">
      <w:pPr>
        <w:ind w:left="720"/>
      </w:pPr>
    </w:p>
    <w:p w14:paraId="18670E30" w14:textId="44A933CA" w:rsidR="007C2769" w:rsidRDefault="007C2769">
      <w:pPr>
        <w:ind w:left="720"/>
      </w:pPr>
    </w:p>
    <w:p w14:paraId="0AF96869" w14:textId="03F1AB8C" w:rsidR="00FC5B83" w:rsidRDefault="00FC5B83">
      <w:pPr>
        <w:ind w:left="720"/>
      </w:pPr>
    </w:p>
    <w:p w14:paraId="28B61B2F" w14:textId="6D3DB0B0" w:rsidR="00FC5B83" w:rsidRDefault="00FC5B83">
      <w:pPr>
        <w:ind w:left="720"/>
      </w:pPr>
    </w:p>
    <w:p w14:paraId="72B04F3D" w14:textId="12969BE3" w:rsidR="00FC5B83" w:rsidRDefault="00FC5B83">
      <w:pPr>
        <w:ind w:left="720"/>
      </w:pPr>
    </w:p>
    <w:p w14:paraId="60FFF665" w14:textId="77464886" w:rsidR="00FC5B83" w:rsidRDefault="00FC5B83">
      <w:pPr>
        <w:ind w:left="720"/>
      </w:pPr>
    </w:p>
    <w:p w14:paraId="4B0FB9A0" w14:textId="5A1B5223" w:rsidR="00FC5B83" w:rsidRDefault="00FC5B83">
      <w:pPr>
        <w:ind w:left="720"/>
      </w:pPr>
    </w:p>
    <w:p w14:paraId="00368464" w14:textId="0A9044B7" w:rsidR="00FC5B83" w:rsidRDefault="00FC5B83">
      <w:pPr>
        <w:ind w:left="720"/>
      </w:pPr>
    </w:p>
    <w:p w14:paraId="00701E84" w14:textId="316573F6" w:rsidR="00FC5B83" w:rsidRDefault="00A262B9">
      <w:pPr>
        <w:ind w:left="720"/>
      </w:pPr>
      <w:r>
        <w:rPr>
          <w:noProof/>
        </w:rPr>
        <w:drawing>
          <wp:anchor distT="0" distB="0" distL="114300" distR="114300" simplePos="0" relativeHeight="251659264" behindDoc="0" locked="0" layoutInCell="1" allowOverlap="1" wp14:anchorId="3C2A7925" wp14:editId="2A22D212">
            <wp:simplePos x="0" y="0"/>
            <wp:positionH relativeFrom="margin">
              <wp:align>right</wp:align>
            </wp:positionH>
            <wp:positionV relativeFrom="paragraph">
              <wp:posOffset>142709</wp:posOffset>
            </wp:positionV>
            <wp:extent cx="5716905" cy="1192696"/>
            <wp:effectExtent l="0" t="0" r="17145" b="7620"/>
            <wp:wrapNone/>
            <wp:docPr id="1" name="Chart 1">
              <a:extLst xmlns:a="http://schemas.openxmlformats.org/drawingml/2006/main">
                <a:ext uri="{FF2B5EF4-FFF2-40B4-BE49-F238E27FC236}">
                  <a16:creationId xmlns:a16="http://schemas.microsoft.com/office/drawing/2014/main" id="{0FF8F31A-CA91-44D5-B5BB-2E2140C5DF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0E707192" w14:textId="45E305E1" w:rsidR="00FC5B83" w:rsidRDefault="00FC5B83">
      <w:pPr>
        <w:ind w:left="720"/>
      </w:pPr>
    </w:p>
    <w:p w14:paraId="3FDFC7D3" w14:textId="45FF33CF" w:rsidR="00FC5B83" w:rsidRDefault="00FC5B83">
      <w:pPr>
        <w:ind w:left="720"/>
      </w:pPr>
    </w:p>
    <w:p w14:paraId="6B4AD835" w14:textId="5BC71188" w:rsidR="00FC5B83" w:rsidRDefault="00FC5B83">
      <w:pPr>
        <w:ind w:left="720"/>
      </w:pPr>
    </w:p>
    <w:p w14:paraId="33D2A9CD" w14:textId="2BE5CA10" w:rsidR="00FC5B83" w:rsidRDefault="00FC5B83">
      <w:pPr>
        <w:ind w:left="720"/>
      </w:pPr>
    </w:p>
    <w:p w14:paraId="4012263E" w14:textId="1351F5BD" w:rsidR="00FC5B83" w:rsidRDefault="00FC5B83">
      <w:pPr>
        <w:ind w:left="720"/>
      </w:pPr>
    </w:p>
    <w:p w14:paraId="4A4D05A3" w14:textId="76C022FA" w:rsidR="00FC5B83" w:rsidRDefault="00FC5B83">
      <w:pPr>
        <w:ind w:left="720"/>
      </w:pPr>
    </w:p>
    <w:p w14:paraId="6F30B88A" w14:textId="2F44A3FA" w:rsidR="00FC5B83" w:rsidRDefault="00A262B9">
      <w:pPr>
        <w:ind w:left="720"/>
      </w:pPr>
      <w:r>
        <w:rPr>
          <w:noProof/>
        </w:rPr>
        <w:drawing>
          <wp:anchor distT="0" distB="0" distL="114300" distR="114300" simplePos="0" relativeHeight="251660288" behindDoc="0" locked="0" layoutInCell="1" allowOverlap="1" wp14:anchorId="62D5C28C" wp14:editId="7C7828BE">
            <wp:simplePos x="0" y="0"/>
            <wp:positionH relativeFrom="margin">
              <wp:align>right</wp:align>
            </wp:positionH>
            <wp:positionV relativeFrom="paragraph">
              <wp:posOffset>153863</wp:posOffset>
            </wp:positionV>
            <wp:extent cx="5716905" cy="1836420"/>
            <wp:effectExtent l="0" t="0" r="17145" b="11430"/>
            <wp:wrapNone/>
            <wp:docPr id="7" name="Chart 7">
              <a:extLst xmlns:a="http://schemas.openxmlformats.org/drawingml/2006/main">
                <a:ext uri="{FF2B5EF4-FFF2-40B4-BE49-F238E27FC236}">
                  <a16:creationId xmlns:a16="http://schemas.microsoft.com/office/drawing/2014/main" id="{7C1BEE9E-EA24-46BE-A145-C83E2DC189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06563E5" w14:textId="1F698CA0" w:rsidR="00FC5B83" w:rsidRDefault="00FC5B83">
      <w:pPr>
        <w:ind w:left="720"/>
      </w:pPr>
    </w:p>
    <w:p w14:paraId="7EB52793" w14:textId="6764F1F0" w:rsidR="00FC5B83" w:rsidRDefault="00FC5B83">
      <w:pPr>
        <w:ind w:left="720"/>
      </w:pPr>
    </w:p>
    <w:p w14:paraId="7992BCA5" w14:textId="3E778710" w:rsidR="00FC5B83" w:rsidRDefault="00FC5B83">
      <w:pPr>
        <w:ind w:left="720"/>
      </w:pPr>
    </w:p>
    <w:p w14:paraId="1F02A427" w14:textId="5E4B3904" w:rsidR="00FC5B83" w:rsidRDefault="00FC5B83">
      <w:pPr>
        <w:ind w:left="720"/>
      </w:pPr>
    </w:p>
    <w:p w14:paraId="46821FD8" w14:textId="63640D4A" w:rsidR="00FC5B83" w:rsidRDefault="00FC5B83">
      <w:pPr>
        <w:ind w:left="720"/>
      </w:pPr>
    </w:p>
    <w:p w14:paraId="0000011A" w14:textId="1286B2A2" w:rsidR="00404919" w:rsidRDefault="00E30665">
      <w:pPr>
        <w:ind w:left="720"/>
      </w:pPr>
      <w:r>
        <w:lastRenderedPageBreak/>
        <w:t>- Description:</w:t>
      </w:r>
    </w:p>
    <w:p w14:paraId="0000011B" w14:textId="3739B1D3" w:rsidR="00404919" w:rsidRDefault="00E30665" w:rsidP="00A262B9">
      <w:pPr>
        <w:ind w:left="720"/>
      </w:pPr>
      <w:r>
        <w:t xml:space="preserve">  </w:t>
      </w:r>
      <w:r w:rsidR="00A262B9">
        <w:t>Data tables highlighting how peak call volumes bottleneck total agent capacity</w:t>
      </w:r>
    </w:p>
    <w:p w14:paraId="0000011C" w14:textId="011013D0" w:rsidR="00404919" w:rsidRDefault="00404919">
      <w:pPr>
        <w:ind w:left="720"/>
      </w:pPr>
    </w:p>
    <w:p w14:paraId="0000011D" w14:textId="77777777" w:rsidR="00404919" w:rsidRDefault="00E30665">
      <w:pPr>
        <w:ind w:left="720"/>
        <w:rPr>
          <w:b/>
          <w:bCs/>
        </w:rPr>
      </w:pPr>
      <w:r>
        <w:rPr>
          <w:b/>
          <w:bCs/>
          <w:color w:val="FF0000"/>
          <w:highlight w:val="white"/>
        </w:rPr>
        <w:t>Insights:</w:t>
      </w:r>
    </w:p>
    <w:p w14:paraId="034910ED" w14:textId="77777777" w:rsidR="00A262B9" w:rsidRDefault="00E30665">
      <w:pPr>
        <w:ind w:left="720"/>
      </w:pPr>
      <w:r>
        <w:t xml:space="preserve">  </w:t>
      </w:r>
      <w:r w:rsidR="00A262B9">
        <w:t xml:space="preserve">Agents cannot maintain long, high-quality consultations when the queue </w:t>
      </w:r>
    </w:p>
    <w:p w14:paraId="25DECD08" w14:textId="07DFFA9E" w:rsidR="00A262B9" w:rsidRDefault="00A262B9">
      <w:pPr>
        <w:ind w:left="720"/>
      </w:pPr>
      <w:r>
        <w:t xml:space="preserve">  is overwhelmed. Without adequate headcount during peaks, technology</w:t>
      </w:r>
    </w:p>
    <w:p w14:paraId="0000011E" w14:textId="2BB3A2DA" w:rsidR="00404919" w:rsidRDefault="00A262B9">
      <w:pPr>
        <w:ind w:left="720"/>
      </w:pPr>
      <w:r>
        <w:t xml:space="preserve">  upgrades alone will not prevent rushed consultations.</w:t>
      </w:r>
    </w:p>
    <w:p w14:paraId="0000011F" w14:textId="77777777" w:rsidR="00404919" w:rsidRDefault="00404919">
      <w:pPr>
        <w:ind w:left="720"/>
      </w:pPr>
    </w:p>
    <w:p w14:paraId="00000120" w14:textId="77777777" w:rsidR="00404919" w:rsidRDefault="00E30665">
      <w:pPr>
        <w:ind w:left="720"/>
        <w:rPr>
          <w:b/>
          <w:bCs/>
        </w:rPr>
      </w:pPr>
      <w:r>
        <w:rPr>
          <w:b/>
          <w:bCs/>
          <w:color w:val="FF0000"/>
          <w:highlight w:val="white"/>
        </w:rPr>
        <w:t>Recommendations:</w:t>
      </w:r>
    </w:p>
    <w:p w14:paraId="0191ED46" w14:textId="77777777" w:rsidR="00A262B9" w:rsidRDefault="00E30665">
      <w:pPr>
        <w:ind w:left="720"/>
      </w:pPr>
      <w:r>
        <w:t xml:space="preserve">  </w:t>
      </w:r>
      <w:r w:rsidR="00A262B9">
        <w:t xml:space="preserve">Investment should prioritize hiring flexible or seasonal agents to handle </w:t>
      </w:r>
    </w:p>
    <w:p w14:paraId="65D173A1" w14:textId="77777777" w:rsidR="00A262B9" w:rsidRDefault="00A262B9">
      <w:pPr>
        <w:ind w:left="720"/>
      </w:pPr>
      <w:r>
        <w:t xml:space="preserve">  specific seasonal surges (like December), ensuring call duration and quality do </w:t>
      </w:r>
    </w:p>
    <w:p w14:paraId="00000122" w14:textId="568E20D9" w:rsidR="00404919" w:rsidRDefault="00A262B9">
      <w:pPr>
        <w:ind w:left="720"/>
      </w:pPr>
      <w:r>
        <w:t xml:space="preserve">  not suffer under queue pressure.</w:t>
      </w:r>
    </w:p>
    <w:p w14:paraId="00000123" w14:textId="77777777" w:rsidR="00404919" w:rsidRDefault="00404919"/>
    <w:p w14:paraId="00000124" w14:textId="77777777" w:rsidR="00404919" w:rsidRDefault="00E30665">
      <w:pPr>
        <w:pStyle w:val="Heading2"/>
        <w:rPr>
          <w:b/>
          <w:bCs/>
          <w:color w:val="FF0000"/>
        </w:rPr>
      </w:pPr>
      <w:bookmarkStart w:id="33" w:name="_uagydfw45kxi" w:colFirst="0" w:colLast="0"/>
      <w:bookmarkEnd w:id="33"/>
      <w:r>
        <w:rPr>
          <w:b/>
          <w:bCs/>
          <w:color w:val="FF0000"/>
        </w:rPr>
        <w:t>Question 2: What are the potential risks of each investment option (hiring, training, technology upgrades), and how can they be mitigated?</w:t>
      </w:r>
    </w:p>
    <w:p w14:paraId="00000126" w14:textId="776B4624" w:rsidR="00404919" w:rsidRDefault="00E30665" w:rsidP="00537990">
      <w:pPr>
        <w:pStyle w:val="Heading2"/>
      </w:pPr>
      <w:bookmarkStart w:id="34" w:name="_jrt67bg0vx2q" w:colFirst="0" w:colLast="0"/>
      <w:bookmarkEnd w:id="34"/>
      <w:r>
        <w:rPr>
          <w:b/>
          <w:bCs/>
          <w:color w:val="FF0000"/>
        </w:rPr>
        <w:t>Name the chart/spreadsheet function you will use for solving the problem.</w:t>
      </w:r>
    </w:p>
    <w:p w14:paraId="00000127" w14:textId="77777777" w:rsidR="00404919" w:rsidRDefault="00E30665">
      <w:pPr>
        <w:pStyle w:val="Heading2"/>
        <w:rPr>
          <w:b/>
          <w:bCs/>
        </w:rPr>
      </w:pPr>
      <w:bookmarkStart w:id="35" w:name="_fcayf8dz809f" w:colFirst="0" w:colLast="0"/>
      <w:bookmarkEnd w:id="35"/>
      <w:r>
        <w:rPr>
          <w:b/>
          <w:bCs/>
        </w:rPr>
        <w:t>Solution:</w:t>
      </w:r>
    </w:p>
    <w:p w14:paraId="00000128" w14:textId="77777777" w:rsidR="00404919" w:rsidRDefault="00404919"/>
    <w:p w14:paraId="00000129" w14:textId="77777777" w:rsidR="00404919" w:rsidRDefault="00E30665">
      <w:pPr>
        <w:ind w:left="720"/>
        <w:rPr>
          <w:b/>
          <w:bCs/>
        </w:rPr>
      </w:pPr>
      <w:r>
        <w:rPr>
          <w:b/>
          <w:bCs/>
          <w:color w:val="FF0000"/>
          <w:highlight w:val="white"/>
        </w:rPr>
        <w:t>Approach:</w:t>
      </w:r>
    </w:p>
    <w:p w14:paraId="0000012A" w14:textId="656B84B8" w:rsidR="00404919" w:rsidRDefault="00A262B9">
      <w:pPr>
        <w:ind w:left="720"/>
      </w:pPr>
      <w:r>
        <w:t>Evaluated capital misallocation risks against the highly seasonal data. The "What-If Analysis" (Scenario Manager and Data Table functionality) is the ideal spreadsheet tool to model cost vs ROI outcomes for each choice.</w:t>
      </w:r>
    </w:p>
    <w:p w14:paraId="0000012B" w14:textId="77777777" w:rsidR="00404919" w:rsidRDefault="00404919">
      <w:pPr>
        <w:ind w:left="720"/>
      </w:pPr>
    </w:p>
    <w:p w14:paraId="0000012C" w14:textId="77777777" w:rsidR="00404919" w:rsidRDefault="00E30665">
      <w:pPr>
        <w:ind w:left="720"/>
        <w:rPr>
          <w:b/>
          <w:bCs/>
        </w:rPr>
      </w:pPr>
      <w:r>
        <w:rPr>
          <w:b/>
          <w:bCs/>
          <w:color w:val="FF0000"/>
          <w:highlight w:val="white"/>
        </w:rPr>
        <w:t>Charts &amp; Tables:</w:t>
      </w:r>
    </w:p>
    <w:p w14:paraId="0000012D" w14:textId="77777777" w:rsidR="00404919" w:rsidRDefault="00E30665">
      <w:pPr>
        <w:ind w:left="720"/>
      </w:pPr>
      <w:r>
        <w:t>- Table / Chart Name:</w:t>
      </w:r>
    </w:p>
    <w:p w14:paraId="0000012E" w14:textId="5B9EC22C" w:rsidR="00404919" w:rsidRDefault="00E30665">
      <w:pPr>
        <w:ind w:left="720"/>
      </w:pPr>
      <w:r>
        <w:t xml:space="preserve">  </w:t>
      </w:r>
      <w:r w:rsidR="00A262B9">
        <w:t>Scenario Manager Matrix (Q2 I Subjective)</w:t>
      </w:r>
    </w:p>
    <w:p w14:paraId="0000012F" w14:textId="77777777" w:rsidR="00404919" w:rsidRDefault="00E30665">
      <w:pPr>
        <w:ind w:left="720"/>
      </w:pPr>
      <w:r>
        <w:t>- Description:</w:t>
      </w:r>
    </w:p>
    <w:p w14:paraId="00000130" w14:textId="432EE125" w:rsidR="00404919" w:rsidRDefault="00E30665">
      <w:pPr>
        <w:ind w:left="720"/>
      </w:pPr>
      <w:r>
        <w:t xml:space="preserve">  </w:t>
      </w:r>
      <w:r w:rsidR="00A262B9">
        <w:t>Models varying financial outcomes and risks for different capital investment splits.</w:t>
      </w:r>
    </w:p>
    <w:p w14:paraId="00000131" w14:textId="77777777" w:rsidR="00404919" w:rsidRDefault="00404919">
      <w:pPr>
        <w:ind w:left="720"/>
      </w:pPr>
    </w:p>
    <w:p w14:paraId="00000132" w14:textId="77777777" w:rsidR="00404919" w:rsidRDefault="00E30665">
      <w:pPr>
        <w:ind w:left="720"/>
        <w:rPr>
          <w:b/>
          <w:bCs/>
        </w:rPr>
      </w:pPr>
      <w:r>
        <w:rPr>
          <w:b/>
          <w:bCs/>
          <w:color w:val="FF0000"/>
          <w:highlight w:val="white"/>
        </w:rPr>
        <w:t>Insights:</w:t>
      </w:r>
    </w:p>
    <w:p w14:paraId="5D450A8C" w14:textId="77777777" w:rsidR="00C42CC0" w:rsidRDefault="00A262B9" w:rsidP="00C42CC0">
      <w:pPr>
        <w:ind w:left="1440"/>
      </w:pPr>
      <w:r>
        <w:t xml:space="preserve">Hiring carries the risk of idle wage drain during low-volume months. </w:t>
      </w:r>
    </w:p>
    <w:p w14:paraId="2971754F" w14:textId="77777777" w:rsidR="00C42CC0" w:rsidRDefault="00A262B9" w:rsidP="00C42CC0">
      <w:pPr>
        <w:ind w:left="1440"/>
      </w:pPr>
      <w:r>
        <w:t xml:space="preserve">Training carries the risk of attrition (agents leaving post-training). </w:t>
      </w:r>
    </w:p>
    <w:p w14:paraId="00000133" w14:textId="3CB29100" w:rsidR="00404919" w:rsidRDefault="00A262B9" w:rsidP="00C42CC0">
      <w:pPr>
        <w:ind w:left="1440"/>
      </w:pPr>
      <w:r>
        <w:t>Technology carries the risk of poor user adoption.</w:t>
      </w:r>
    </w:p>
    <w:p w14:paraId="00000134" w14:textId="77777777" w:rsidR="00404919" w:rsidRDefault="00404919">
      <w:pPr>
        <w:ind w:left="720"/>
      </w:pPr>
    </w:p>
    <w:p w14:paraId="00000135" w14:textId="77777777" w:rsidR="00404919" w:rsidRDefault="00E30665">
      <w:pPr>
        <w:ind w:left="720"/>
        <w:rPr>
          <w:b/>
          <w:bCs/>
        </w:rPr>
      </w:pPr>
      <w:r>
        <w:rPr>
          <w:b/>
          <w:bCs/>
          <w:color w:val="FF0000"/>
          <w:highlight w:val="white"/>
        </w:rPr>
        <w:t>Recommendations:</w:t>
      </w:r>
    </w:p>
    <w:p w14:paraId="00000139" w14:textId="696ECFC2" w:rsidR="00404919" w:rsidRDefault="00E30665" w:rsidP="00537990">
      <w:pPr>
        <w:ind w:left="720"/>
      </w:pPr>
      <w:r>
        <w:t xml:space="preserve">  </w:t>
      </w:r>
      <w:r w:rsidR="00A262B9">
        <w:t>Mitigate hiring risks by adopting a freelance/contractor model specifically for peak months. Mitigate training risks by tying upskilling to retention bonuses. Mitigate tech risks by rolling out UI/automation changes incrementally.</w:t>
      </w:r>
    </w:p>
    <w:p w14:paraId="0000013A" w14:textId="3585CA5D" w:rsidR="00404919" w:rsidRDefault="00E30665">
      <w:pPr>
        <w:pStyle w:val="Heading2"/>
        <w:rPr>
          <w:b/>
          <w:bCs/>
          <w:color w:val="FF0000"/>
        </w:rPr>
      </w:pPr>
      <w:bookmarkStart w:id="36" w:name="_1z1r7uaxdmi" w:colFirst="0" w:colLast="0"/>
      <w:bookmarkEnd w:id="36"/>
      <w:r>
        <w:rPr>
          <w:b/>
          <w:bCs/>
          <w:color w:val="FF0000"/>
        </w:rPr>
        <w:lastRenderedPageBreak/>
        <w:t xml:space="preserve">Question 3: How does </w:t>
      </w:r>
      <w:proofErr w:type="spellStart"/>
      <w:r>
        <w:rPr>
          <w:b/>
          <w:bCs/>
          <w:color w:val="FF0000"/>
        </w:rPr>
        <w:t>AstroSage's</w:t>
      </w:r>
      <w:proofErr w:type="spellEnd"/>
      <w:r>
        <w:rPr>
          <w:b/>
          <w:bCs/>
          <w:color w:val="FF0000"/>
        </w:rPr>
        <w:t xml:space="preserve"> call </w:t>
      </w:r>
      <w:proofErr w:type="spellStart"/>
      <w:r>
        <w:rPr>
          <w:b/>
          <w:bCs/>
          <w:color w:val="FF0000"/>
        </w:rPr>
        <w:t>center</w:t>
      </w:r>
      <w:proofErr w:type="spellEnd"/>
      <w:r>
        <w:rPr>
          <w:b/>
          <w:bCs/>
          <w:color w:val="FF0000"/>
        </w:rPr>
        <w:t xml:space="preserve">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0000013B" w14:textId="08A5E713" w:rsidR="00404919" w:rsidRDefault="00E30665">
      <w:pPr>
        <w:pStyle w:val="Heading2"/>
      </w:pPr>
      <w:bookmarkStart w:id="37" w:name="_lmco7u3ckanr" w:colFirst="0" w:colLast="0"/>
      <w:bookmarkEnd w:id="37"/>
      <w:r>
        <w:rPr>
          <w:b/>
          <w:bCs/>
          <w:color w:val="FF0000"/>
        </w:rPr>
        <w:t>Will you use any aggregation function or a visualization here to solve the problem?</w:t>
      </w:r>
    </w:p>
    <w:p w14:paraId="0000013C" w14:textId="77777777" w:rsidR="00404919" w:rsidRDefault="00E30665">
      <w:pPr>
        <w:pStyle w:val="Heading2"/>
        <w:rPr>
          <w:b/>
          <w:bCs/>
        </w:rPr>
      </w:pPr>
      <w:bookmarkStart w:id="38" w:name="_58p6zl4haiv" w:colFirst="0" w:colLast="0"/>
      <w:bookmarkEnd w:id="38"/>
      <w:r>
        <w:rPr>
          <w:b/>
          <w:bCs/>
        </w:rPr>
        <w:t>Solution:</w:t>
      </w:r>
    </w:p>
    <w:p w14:paraId="0000013D" w14:textId="3CE36D34" w:rsidR="00404919" w:rsidRDefault="00404919"/>
    <w:p w14:paraId="0000013E" w14:textId="77777777" w:rsidR="00404919" w:rsidRDefault="00E30665">
      <w:pPr>
        <w:ind w:left="720"/>
        <w:rPr>
          <w:b/>
          <w:bCs/>
        </w:rPr>
      </w:pPr>
      <w:r>
        <w:rPr>
          <w:b/>
          <w:bCs/>
          <w:color w:val="FF0000"/>
          <w:highlight w:val="white"/>
        </w:rPr>
        <w:t>Approach:</w:t>
      </w:r>
    </w:p>
    <w:p w14:paraId="3A73D91D" w14:textId="2CE44966" w:rsidR="007A508A" w:rsidRDefault="007A508A" w:rsidP="007A508A">
      <w:pPr>
        <w:ind w:left="720"/>
      </w:pPr>
      <w:r>
        <w:t xml:space="preserve">To benchmark </w:t>
      </w:r>
      <w:proofErr w:type="spellStart"/>
      <w:r>
        <w:t>AstroSage’s</w:t>
      </w:r>
      <w:proofErr w:type="spellEnd"/>
      <w:r>
        <w:t xml:space="preserve"> operational performance against </w:t>
      </w:r>
      <w:proofErr w:type="spellStart"/>
      <w:r>
        <w:t>AstroGuru’s</w:t>
      </w:r>
      <w:proofErr w:type="spellEnd"/>
      <w:r>
        <w:t xml:space="preserve"> baseline standards, I evaluated three core operational pillars using Pivot Tables and aggregation functions (</w:t>
      </w:r>
      <w:r w:rsidRPr="002C71AB">
        <w:rPr>
          <w:rStyle w:val="HTMLCode"/>
          <w:rFonts w:ascii="Arial" w:eastAsia="Arial" w:hAnsi="Arial" w:cs="Arial"/>
        </w:rPr>
        <w:t>AVERAGE</w:t>
      </w:r>
      <w:r w:rsidRPr="002C71AB">
        <w:t xml:space="preserve">, </w:t>
      </w:r>
      <w:r w:rsidRPr="002C71AB">
        <w:rPr>
          <w:rStyle w:val="HTMLCode"/>
          <w:rFonts w:ascii="Arial" w:eastAsia="Arial" w:hAnsi="Arial" w:cs="Arial"/>
        </w:rPr>
        <w:t>COUNT</w:t>
      </w:r>
      <w:r>
        <w:t xml:space="preserve">). </w:t>
      </w:r>
    </w:p>
    <w:p w14:paraId="095CF35F" w14:textId="282F4DA2" w:rsidR="007A508A" w:rsidRDefault="007A508A" w:rsidP="007A508A">
      <w:pPr>
        <w:ind w:left="720"/>
      </w:pPr>
      <w:r>
        <w:t xml:space="preserve">Since </w:t>
      </w:r>
      <w:proofErr w:type="spellStart"/>
      <w:r>
        <w:t>AstroGuru</w:t>
      </w:r>
      <w:proofErr w:type="spellEnd"/>
      <w:r>
        <w:t xml:space="preserve"> serves as the assumed industry benchmark, the methodology focused on extracting </w:t>
      </w:r>
      <w:proofErr w:type="spellStart"/>
      <w:r>
        <w:t>AstroSage's</w:t>
      </w:r>
      <w:proofErr w:type="spellEnd"/>
      <w:r>
        <w:t xml:space="preserve"> internal metrics to identify structural bottlenecks.</w:t>
      </w:r>
    </w:p>
    <w:p w14:paraId="4DF14214" w14:textId="2A15527B" w:rsidR="007A508A" w:rsidRDefault="007A508A" w:rsidP="007A508A">
      <w:pPr>
        <w:ind w:left="720"/>
      </w:pPr>
      <w:r>
        <w:t>I aggregated daily call volumes to test stability, averaged monthly ratings to test CSAT, and mapped call durations against specific rating tiers to evaluate agent performance consistency.</w:t>
      </w:r>
    </w:p>
    <w:p w14:paraId="00000140" w14:textId="40EED95D" w:rsidR="00404919" w:rsidRDefault="00404919">
      <w:pPr>
        <w:ind w:left="720"/>
      </w:pPr>
    </w:p>
    <w:p w14:paraId="00000141" w14:textId="5B79216A" w:rsidR="00404919" w:rsidRDefault="00E30665">
      <w:pPr>
        <w:ind w:left="720"/>
        <w:rPr>
          <w:b/>
          <w:bCs/>
        </w:rPr>
      </w:pPr>
      <w:r>
        <w:rPr>
          <w:b/>
          <w:bCs/>
          <w:color w:val="FF0000"/>
          <w:highlight w:val="white"/>
        </w:rPr>
        <w:t>Charts &amp; Tables:</w:t>
      </w:r>
    </w:p>
    <w:p w14:paraId="5B80C28E" w14:textId="77777777" w:rsidR="007A508A" w:rsidRDefault="007A508A" w:rsidP="007A508A">
      <w:pPr>
        <w:ind w:left="720"/>
      </w:pPr>
      <w:r>
        <w:t>- Table / Chart Name:</w:t>
      </w:r>
    </w:p>
    <w:p w14:paraId="75B4A58A" w14:textId="63CDC71E" w:rsidR="007A508A" w:rsidRDefault="007A508A" w:rsidP="007A508A">
      <w:pPr>
        <w:ind w:left="720"/>
      </w:pPr>
      <w:r>
        <w:t xml:space="preserve">  </w:t>
      </w:r>
      <w:r w:rsidR="00556B82">
        <w:t>5 Pivot Tables</w:t>
      </w:r>
      <w:r w:rsidR="00537990">
        <w:t xml:space="preserve"> &amp;</w:t>
      </w:r>
      <w:r w:rsidR="00556B82">
        <w:t xml:space="preserve"> </w:t>
      </w:r>
      <w:r w:rsidR="00537990">
        <w:t xml:space="preserve">Pie Chart </w:t>
      </w:r>
      <w:r w:rsidR="00556B82">
        <w:t>(Q-3 I Subjective (Optional))</w:t>
      </w:r>
    </w:p>
    <w:p w14:paraId="3B9F278B" w14:textId="051E33A4" w:rsidR="00537990" w:rsidRDefault="00537990" w:rsidP="007A508A">
      <w:pPr>
        <w:ind w:left="720"/>
      </w:pPr>
      <w:r>
        <w:rPr>
          <w:noProof/>
        </w:rPr>
        <w:drawing>
          <wp:anchor distT="0" distB="0" distL="114300" distR="114300" simplePos="0" relativeHeight="251661312" behindDoc="0" locked="0" layoutInCell="1" allowOverlap="1" wp14:anchorId="18FCFD39" wp14:editId="3B99026E">
            <wp:simplePos x="0" y="0"/>
            <wp:positionH relativeFrom="margin">
              <wp:posOffset>930275</wp:posOffset>
            </wp:positionH>
            <wp:positionV relativeFrom="paragraph">
              <wp:posOffset>51131</wp:posOffset>
            </wp:positionV>
            <wp:extent cx="3872285" cy="261941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72285" cy="2619415"/>
                    </a:xfrm>
                    <a:prstGeom prst="rect">
                      <a:avLst/>
                    </a:prstGeom>
                  </pic:spPr>
                </pic:pic>
              </a:graphicData>
            </a:graphic>
            <wp14:sizeRelH relativeFrom="margin">
              <wp14:pctWidth>0</wp14:pctWidth>
            </wp14:sizeRelH>
            <wp14:sizeRelV relativeFrom="margin">
              <wp14:pctHeight>0</wp14:pctHeight>
            </wp14:sizeRelV>
          </wp:anchor>
        </w:drawing>
      </w:r>
    </w:p>
    <w:p w14:paraId="60493A22" w14:textId="37213F9B" w:rsidR="00537990" w:rsidRDefault="00537990" w:rsidP="007A508A">
      <w:pPr>
        <w:ind w:left="720"/>
      </w:pPr>
    </w:p>
    <w:p w14:paraId="0EE8E305" w14:textId="5C60686D" w:rsidR="00537990" w:rsidRDefault="00537990" w:rsidP="007A508A">
      <w:pPr>
        <w:ind w:left="720"/>
      </w:pPr>
    </w:p>
    <w:p w14:paraId="7201F3F2" w14:textId="77777777" w:rsidR="00537990" w:rsidRDefault="00537990" w:rsidP="007A508A">
      <w:pPr>
        <w:ind w:left="720"/>
      </w:pPr>
    </w:p>
    <w:p w14:paraId="0C909490" w14:textId="666BFE1F" w:rsidR="00537990" w:rsidRDefault="00537990" w:rsidP="007A508A">
      <w:pPr>
        <w:ind w:left="720"/>
      </w:pPr>
    </w:p>
    <w:p w14:paraId="1563E560" w14:textId="77777777" w:rsidR="00537990" w:rsidRDefault="00537990" w:rsidP="007A508A">
      <w:pPr>
        <w:ind w:left="720"/>
      </w:pPr>
    </w:p>
    <w:p w14:paraId="6075B0B3" w14:textId="333DDD31" w:rsidR="00537990" w:rsidRDefault="00537990" w:rsidP="007A508A">
      <w:pPr>
        <w:ind w:left="720"/>
      </w:pPr>
    </w:p>
    <w:p w14:paraId="5002EDF1" w14:textId="77777777" w:rsidR="00537990" w:rsidRDefault="00537990" w:rsidP="007A508A">
      <w:pPr>
        <w:ind w:left="720"/>
      </w:pPr>
    </w:p>
    <w:p w14:paraId="119A9E0F" w14:textId="7BA2E9B8" w:rsidR="00537990" w:rsidRDefault="00537990" w:rsidP="007A508A">
      <w:pPr>
        <w:ind w:left="720"/>
      </w:pPr>
    </w:p>
    <w:p w14:paraId="05340FA4" w14:textId="77777777" w:rsidR="00537990" w:rsidRDefault="00537990" w:rsidP="007A508A">
      <w:pPr>
        <w:ind w:left="720"/>
      </w:pPr>
    </w:p>
    <w:p w14:paraId="35DCFF58" w14:textId="0982B678" w:rsidR="00537990" w:rsidRDefault="00537990" w:rsidP="007A508A">
      <w:pPr>
        <w:ind w:left="720"/>
      </w:pPr>
    </w:p>
    <w:p w14:paraId="058789D2" w14:textId="77777777" w:rsidR="00537990" w:rsidRDefault="00537990" w:rsidP="007A508A">
      <w:pPr>
        <w:ind w:left="720"/>
      </w:pPr>
    </w:p>
    <w:p w14:paraId="29D941D7" w14:textId="2EB3DBF7" w:rsidR="00537990" w:rsidRDefault="00537990" w:rsidP="007A508A">
      <w:pPr>
        <w:ind w:left="720"/>
      </w:pPr>
    </w:p>
    <w:p w14:paraId="66184017" w14:textId="59241FC5" w:rsidR="00537990" w:rsidRDefault="00537990" w:rsidP="007A508A">
      <w:pPr>
        <w:ind w:left="720"/>
      </w:pPr>
    </w:p>
    <w:p w14:paraId="49535D35" w14:textId="77777777" w:rsidR="00537990" w:rsidRDefault="00537990" w:rsidP="007A508A">
      <w:pPr>
        <w:ind w:left="720"/>
      </w:pPr>
    </w:p>
    <w:p w14:paraId="2E3F84D0" w14:textId="7F7C3B46" w:rsidR="007A508A" w:rsidRDefault="007A508A" w:rsidP="007A508A">
      <w:pPr>
        <w:ind w:left="720"/>
      </w:pPr>
      <w:r>
        <w:t>- Description:</w:t>
      </w:r>
    </w:p>
    <w:p w14:paraId="55D6E5C5" w14:textId="77777777" w:rsidR="007A508A" w:rsidRDefault="007A508A" w:rsidP="007A508A">
      <w:pPr>
        <w:ind w:left="720"/>
      </w:pPr>
      <w:r>
        <w:t xml:space="preserve">  A consolidated dashboard of pivot tables displaying:</w:t>
      </w:r>
    </w:p>
    <w:p w14:paraId="303997F9" w14:textId="262D1647" w:rsidR="007A508A" w:rsidRDefault="007A508A" w:rsidP="007A508A">
      <w:pPr>
        <w:pStyle w:val="ListParagraph"/>
        <w:numPr>
          <w:ilvl w:val="0"/>
          <w:numId w:val="7"/>
        </w:numPr>
      </w:pPr>
      <w:r>
        <w:t xml:space="preserve">Daily Call Volume Stability (tracking 8,090 specific call interactions in Dec) </w:t>
      </w:r>
    </w:p>
    <w:p w14:paraId="2C880A65" w14:textId="77777777" w:rsidR="007A508A" w:rsidRDefault="007A508A" w:rsidP="007A508A">
      <w:pPr>
        <w:pStyle w:val="ListParagraph"/>
        <w:numPr>
          <w:ilvl w:val="0"/>
          <w:numId w:val="7"/>
        </w:numPr>
      </w:pPr>
      <w:r>
        <w:t xml:space="preserve">Top 10 Performing Gurus </w:t>
      </w:r>
    </w:p>
    <w:p w14:paraId="7A037D7C" w14:textId="1E61371C" w:rsidR="007A508A" w:rsidRDefault="007A508A" w:rsidP="007A508A">
      <w:pPr>
        <w:pStyle w:val="ListParagraph"/>
        <w:numPr>
          <w:ilvl w:val="0"/>
          <w:numId w:val="7"/>
        </w:numPr>
      </w:pPr>
      <w:r>
        <w:t>Monthly CSAT Averages</w:t>
      </w:r>
    </w:p>
    <w:p w14:paraId="00000146" w14:textId="31A70112" w:rsidR="00404919" w:rsidRDefault="007A508A" w:rsidP="00537990">
      <w:pPr>
        <w:pStyle w:val="ListParagraph"/>
        <w:numPr>
          <w:ilvl w:val="0"/>
          <w:numId w:val="7"/>
        </w:numPr>
      </w:pPr>
      <w:r>
        <w:t>Correlation between Call Duration and Ratings</w:t>
      </w:r>
    </w:p>
    <w:p w14:paraId="335498AA" w14:textId="77777777" w:rsidR="00537990" w:rsidRDefault="00537990" w:rsidP="00C42CC0">
      <w:pPr>
        <w:ind w:left="720"/>
        <w:rPr>
          <w:b/>
          <w:bCs/>
          <w:color w:val="FF0000"/>
          <w:highlight w:val="white"/>
        </w:rPr>
      </w:pPr>
    </w:p>
    <w:p w14:paraId="7EF756C9" w14:textId="0C083E8F" w:rsidR="00C42CC0" w:rsidRDefault="00E30665" w:rsidP="00C42CC0">
      <w:pPr>
        <w:ind w:left="720"/>
        <w:rPr>
          <w:b/>
          <w:bCs/>
          <w:color w:val="FF0000"/>
        </w:rPr>
      </w:pPr>
      <w:r>
        <w:rPr>
          <w:b/>
          <w:bCs/>
          <w:color w:val="FF0000"/>
          <w:highlight w:val="white"/>
        </w:rPr>
        <w:lastRenderedPageBreak/>
        <w:t>Insights:</w:t>
      </w:r>
    </w:p>
    <w:p w14:paraId="5428625C" w14:textId="16D973C4" w:rsidR="00C42CC0" w:rsidRPr="00C42CC0" w:rsidRDefault="00C42CC0" w:rsidP="00C42CC0">
      <w:pPr>
        <w:ind w:left="720"/>
        <w:rPr>
          <w:b/>
          <w:bCs/>
        </w:rPr>
      </w:pPr>
      <w:r w:rsidRPr="002C71AB">
        <w:rPr>
          <w:b/>
          <w:bCs/>
        </w:rPr>
        <w:t>Service Delivery is Highly Inconsistent:</w:t>
      </w:r>
      <w:r w:rsidRPr="002C71AB">
        <w:t xml:space="preserve"> The overall CSAT average is critically low at 2.93 (December at 2.95, January at 2.68). Furthermore, there is a massive 7.50-point spread across agents—with top performers like Tarot Mystical and Astro </w:t>
      </w:r>
      <w:proofErr w:type="spellStart"/>
      <w:r w:rsidRPr="002C71AB">
        <w:t>Pujaa</w:t>
      </w:r>
      <w:proofErr w:type="spellEnd"/>
      <w:r w:rsidRPr="002C71AB">
        <w:t xml:space="preserve"> Rai scoring 7.5, while the lowest agents drop to 0.0.</w:t>
      </w:r>
    </w:p>
    <w:p w14:paraId="2C52540A" w14:textId="26C6C818" w:rsidR="00C42CC0" w:rsidRPr="002C71AB" w:rsidRDefault="00C42CC0" w:rsidP="00C42CC0">
      <w:pPr>
        <w:pStyle w:val="NormalWeb"/>
        <w:ind w:left="720"/>
        <w:rPr>
          <w:rFonts w:ascii="Arial" w:hAnsi="Arial" w:cs="Arial"/>
          <w:sz w:val="22"/>
          <w:szCs w:val="22"/>
        </w:rPr>
      </w:pPr>
      <w:r w:rsidRPr="002C71AB">
        <w:rPr>
          <w:rFonts w:ascii="Arial" w:hAnsi="Arial" w:cs="Arial"/>
          <w:b/>
          <w:bCs/>
          <w:sz w:val="22"/>
          <w:szCs w:val="22"/>
        </w:rPr>
        <w:t>Volume Instability Causes Bottlenecks:</w:t>
      </w:r>
      <w:r w:rsidRPr="002C71AB">
        <w:rPr>
          <w:rFonts w:ascii="Arial" w:hAnsi="Arial" w:cs="Arial"/>
          <w:sz w:val="22"/>
          <w:szCs w:val="22"/>
        </w:rPr>
        <w:t xml:space="preserve"> The daily call tracking (e.g., 430 calls on Dec 10th vs. 138 calls on Dec 8th) proves that demand fluctuates wildly, leading to severe agent</w:t>
      </w:r>
      <w:r>
        <w:rPr>
          <w:rFonts w:ascii="Arial" w:hAnsi="Arial" w:cs="Arial"/>
          <w:sz w:val="22"/>
          <w:szCs w:val="22"/>
        </w:rPr>
        <w:t xml:space="preserve"> </w:t>
      </w:r>
      <w:r w:rsidRPr="002C71AB">
        <w:rPr>
          <w:rFonts w:ascii="Arial" w:hAnsi="Arial" w:cs="Arial"/>
          <w:sz w:val="22"/>
          <w:szCs w:val="22"/>
        </w:rPr>
        <w:t>workload inefficiencies.</w:t>
      </w:r>
    </w:p>
    <w:p w14:paraId="00000148" w14:textId="4899E32B" w:rsidR="00404919" w:rsidRDefault="00C42CC0" w:rsidP="00C42CC0">
      <w:pPr>
        <w:ind w:left="720"/>
      </w:pPr>
      <w:r w:rsidRPr="002C71AB">
        <w:rPr>
          <w:b/>
          <w:bCs/>
        </w:rPr>
        <w:t>Duration Does Not Guarantee Satisfaction:</w:t>
      </w:r>
      <w:r w:rsidRPr="002C71AB">
        <w:t xml:space="preserve"> The cross-tabulation of ratings against call duration indicates that simply keeping a customer on the phone (~1.9 to 2.0 mins on average) does not inherently yield high satisfaction if the baseline service quality is lacking.</w:t>
      </w:r>
    </w:p>
    <w:p w14:paraId="00000149" w14:textId="27F8036D" w:rsidR="00404919" w:rsidRDefault="00404919">
      <w:pPr>
        <w:ind w:left="720"/>
      </w:pPr>
    </w:p>
    <w:p w14:paraId="0000014A" w14:textId="77777777" w:rsidR="00404919" w:rsidRDefault="00E30665">
      <w:pPr>
        <w:ind w:left="720"/>
        <w:rPr>
          <w:b/>
          <w:bCs/>
        </w:rPr>
      </w:pPr>
      <w:r>
        <w:rPr>
          <w:b/>
          <w:bCs/>
          <w:color w:val="FF0000"/>
          <w:highlight w:val="white"/>
        </w:rPr>
        <w:t>Recommendations:</w:t>
      </w:r>
    </w:p>
    <w:p w14:paraId="0000014D" w14:textId="4F718BBF" w:rsidR="00404919" w:rsidRDefault="00C42CC0" w:rsidP="00537990">
      <w:pPr>
        <w:ind w:left="720"/>
      </w:pPr>
      <w:r w:rsidRPr="002C71AB">
        <w:t xml:space="preserve">Compared to an optimized call </w:t>
      </w:r>
      <w:proofErr w:type="spellStart"/>
      <w:r w:rsidRPr="002C71AB">
        <w:t>center</w:t>
      </w:r>
      <w:proofErr w:type="spellEnd"/>
      <w:r w:rsidRPr="002C71AB">
        <w:t xml:space="preserve"> baseline, </w:t>
      </w:r>
      <w:proofErr w:type="spellStart"/>
      <w:r w:rsidRPr="002C71AB">
        <w:t>AstroSage</w:t>
      </w:r>
      <w:proofErr w:type="spellEnd"/>
      <w:r w:rsidRPr="002C71AB">
        <w:t xml:space="preserve"> must implement automated queue balancing to distribute incoming calls evenly across available agents, paired with targeted training programs to elevate agent quality, boost First Contact Resolution (FCR), and lift overall customer satisfaction scores.</w:t>
      </w:r>
    </w:p>
    <w:p w14:paraId="0000014E" w14:textId="5F3D5C72" w:rsidR="00404919" w:rsidRDefault="00E30665">
      <w:pPr>
        <w:pStyle w:val="Heading2"/>
        <w:rPr>
          <w:b/>
          <w:bCs/>
          <w:color w:val="FF0000"/>
        </w:rPr>
      </w:pPr>
      <w:bookmarkStart w:id="39" w:name="_344vopr0gtwe" w:colFirst="0" w:colLast="0"/>
      <w:bookmarkEnd w:id="39"/>
      <w:r>
        <w:rPr>
          <w:b/>
          <w:bCs/>
          <w:color w:val="FF0000"/>
        </w:rPr>
        <w:t xml:space="preserve">Question 4: How can the call </w:t>
      </w:r>
      <w:proofErr w:type="spellStart"/>
      <w:r>
        <w:rPr>
          <w:b/>
          <w:bCs/>
          <w:color w:val="FF0000"/>
        </w:rPr>
        <w:t>center</w:t>
      </w:r>
      <w:proofErr w:type="spellEnd"/>
      <w:r>
        <w:rPr>
          <w:b/>
          <w:bCs/>
          <w:color w:val="FF0000"/>
        </w:rPr>
        <w:t xml:space="preserve"> improve its handling of peak call periods to ensure high customer satisfaction?</w:t>
      </w:r>
    </w:p>
    <w:p w14:paraId="0000014F" w14:textId="3AAD3BDB" w:rsidR="00404919" w:rsidRDefault="00E30665">
      <w:pPr>
        <w:pStyle w:val="Heading2"/>
      </w:pPr>
      <w:bookmarkStart w:id="40" w:name="_e3g0upp484qb" w:colFirst="0" w:colLast="0"/>
      <w:bookmarkEnd w:id="40"/>
      <w:r>
        <w:rPr>
          <w:b/>
          <w:bCs/>
          <w:color w:val="FF0000"/>
        </w:rPr>
        <w:t>Mention the functionality you will use for giving the suggestions, will it be any aggregated function or a visualization?</w:t>
      </w:r>
    </w:p>
    <w:p w14:paraId="00000151" w14:textId="69F58BFC" w:rsidR="00404919" w:rsidRPr="00537990" w:rsidRDefault="00E30665" w:rsidP="00537990">
      <w:pPr>
        <w:pStyle w:val="Heading2"/>
        <w:rPr>
          <w:b/>
          <w:bCs/>
        </w:rPr>
      </w:pPr>
      <w:bookmarkStart w:id="41" w:name="_sbmeym2jn6dw" w:colFirst="0" w:colLast="0"/>
      <w:bookmarkEnd w:id="41"/>
      <w:r>
        <w:rPr>
          <w:b/>
          <w:bCs/>
        </w:rPr>
        <w:t>Solution:</w:t>
      </w:r>
    </w:p>
    <w:p w14:paraId="00000152" w14:textId="77777777" w:rsidR="00404919" w:rsidRDefault="00E30665">
      <w:pPr>
        <w:ind w:left="720"/>
        <w:rPr>
          <w:b/>
          <w:bCs/>
        </w:rPr>
      </w:pPr>
      <w:r>
        <w:rPr>
          <w:b/>
          <w:bCs/>
          <w:color w:val="FF0000"/>
          <w:highlight w:val="white"/>
        </w:rPr>
        <w:t>Approach:</w:t>
      </w:r>
    </w:p>
    <w:p w14:paraId="254FBCEF" w14:textId="0E451C9E" w:rsidR="00743AE6" w:rsidRDefault="00743AE6" w:rsidP="00537990">
      <w:pPr>
        <w:ind w:left="720"/>
      </w:pPr>
      <w:r>
        <w:t xml:space="preserve">I used </w:t>
      </w:r>
      <w:r>
        <w:rPr>
          <w:b/>
          <w:bCs/>
        </w:rPr>
        <w:t xml:space="preserve">1 aggregated </w:t>
      </w:r>
      <w:r w:rsidRPr="00743AE6">
        <w:rPr>
          <w:b/>
          <w:bCs/>
        </w:rPr>
        <w:t>pivot</w:t>
      </w:r>
      <w:r>
        <w:rPr>
          <w:b/>
          <w:bCs/>
        </w:rPr>
        <w:t xml:space="preserve"> table</w:t>
      </w:r>
      <w:r>
        <w:t xml:space="preserve"> utilizing the </w:t>
      </w:r>
      <w:r w:rsidRPr="00743AE6">
        <w:rPr>
          <w:rStyle w:val="HTMLCode"/>
          <w:rFonts w:asciiTheme="majorHAnsi" w:eastAsia="Arial" w:hAnsiTheme="majorHAnsi" w:cstheme="majorHAnsi"/>
          <w:b/>
          <w:bCs/>
        </w:rPr>
        <w:t>COUNT</w:t>
      </w:r>
      <w:r>
        <w:t xml:space="preserve"> function (to calculate total daily call volumes) and the </w:t>
      </w:r>
      <w:r w:rsidRPr="00743AE6">
        <w:rPr>
          <w:rStyle w:val="HTMLCode"/>
          <w:rFonts w:asciiTheme="majorHAnsi" w:eastAsia="Arial" w:hAnsiTheme="majorHAnsi" w:cstheme="majorHAnsi"/>
          <w:b/>
          <w:bCs/>
        </w:rPr>
        <w:t>AVERAGE</w:t>
      </w:r>
      <w:r>
        <w:t xml:space="preserve"> function (to determine baseline volume and daily CSAT ratings)</w:t>
      </w:r>
      <w:r w:rsidR="00537990">
        <w:t xml:space="preserve"> and SUM function (to find total no of call volume)</w:t>
      </w:r>
      <w:r>
        <w:t>. This allowed me to track daily volume fluctuations and map them directly against customer satisfaction</w:t>
      </w:r>
      <w:r w:rsidR="00537990">
        <w:t xml:space="preserve"> </w:t>
      </w:r>
    </w:p>
    <w:p w14:paraId="00000154" w14:textId="2FCD5B8D" w:rsidR="00404919" w:rsidRDefault="00404919">
      <w:pPr>
        <w:ind w:left="720"/>
      </w:pPr>
    </w:p>
    <w:p w14:paraId="00000155" w14:textId="0CD3A0F1" w:rsidR="00404919" w:rsidRDefault="00E30665">
      <w:pPr>
        <w:ind w:left="720"/>
        <w:rPr>
          <w:b/>
          <w:bCs/>
        </w:rPr>
      </w:pPr>
      <w:r>
        <w:rPr>
          <w:b/>
          <w:bCs/>
          <w:color w:val="FF0000"/>
          <w:highlight w:val="white"/>
        </w:rPr>
        <w:t>Charts &amp; Tables:</w:t>
      </w:r>
    </w:p>
    <w:p w14:paraId="00000156" w14:textId="1FB0F44E" w:rsidR="00404919" w:rsidRDefault="00E30665">
      <w:pPr>
        <w:ind w:left="720"/>
      </w:pPr>
      <w:r>
        <w:t>- Table / Chart Name:</w:t>
      </w:r>
    </w:p>
    <w:p w14:paraId="40E3BFEA" w14:textId="117E6A1E" w:rsidR="00743AE6" w:rsidRDefault="00E30665">
      <w:pPr>
        <w:ind w:left="720"/>
      </w:pPr>
      <w:r>
        <w:t xml:space="preserve">  </w:t>
      </w:r>
      <w:r w:rsidR="00743AE6">
        <w:t>One Pivot Table</w:t>
      </w:r>
      <w:r w:rsidR="00537990">
        <w:t xml:space="preserve"> &amp;</w:t>
      </w:r>
      <w:r w:rsidR="00743AE6">
        <w:t xml:space="preserve"> </w:t>
      </w:r>
      <w:r w:rsidR="00537990">
        <w:t xml:space="preserve">Combo Line Chart </w:t>
      </w:r>
      <w:r w:rsidR="00743AE6">
        <w:t>(Q-4 I Subjective)</w:t>
      </w:r>
    </w:p>
    <w:p w14:paraId="52676A67" w14:textId="6BA4A964" w:rsidR="00743AE6" w:rsidRDefault="00743AE6">
      <w:pPr>
        <w:ind w:left="720"/>
      </w:pPr>
      <w:r>
        <w:t xml:space="preserve">  </w:t>
      </w:r>
    </w:p>
    <w:p w14:paraId="0B6C83CA" w14:textId="3DB6F3DE" w:rsidR="00556B82" w:rsidRDefault="00556B82">
      <w:pPr>
        <w:ind w:left="720"/>
      </w:pPr>
    </w:p>
    <w:p w14:paraId="2E750639" w14:textId="4F6CC0F7" w:rsidR="00556B82" w:rsidRDefault="00556B82">
      <w:pPr>
        <w:ind w:left="720"/>
      </w:pPr>
    </w:p>
    <w:p w14:paraId="429F8448" w14:textId="3CF6B6F9" w:rsidR="00A21248" w:rsidRDefault="00A21248">
      <w:pPr>
        <w:ind w:left="720"/>
      </w:pPr>
    </w:p>
    <w:p w14:paraId="069C4D11" w14:textId="0BBEF627" w:rsidR="00A21248" w:rsidRDefault="00A21248">
      <w:pPr>
        <w:ind w:left="720"/>
      </w:pPr>
    </w:p>
    <w:p w14:paraId="3E920E33" w14:textId="59B27526" w:rsidR="00A21248" w:rsidRDefault="00A21248">
      <w:pPr>
        <w:ind w:left="720"/>
      </w:pPr>
    </w:p>
    <w:p w14:paraId="61218464" w14:textId="2EB64E43" w:rsidR="00A21248" w:rsidRDefault="00537990">
      <w:pPr>
        <w:ind w:left="720"/>
      </w:pPr>
      <w:r>
        <w:rPr>
          <w:noProof/>
        </w:rPr>
        <w:lastRenderedPageBreak/>
        <w:drawing>
          <wp:anchor distT="0" distB="0" distL="114300" distR="114300" simplePos="0" relativeHeight="251662336" behindDoc="0" locked="0" layoutInCell="1" allowOverlap="1" wp14:anchorId="183A3D3A" wp14:editId="37CE97E6">
            <wp:simplePos x="0" y="0"/>
            <wp:positionH relativeFrom="margin">
              <wp:posOffset>-747423</wp:posOffset>
            </wp:positionH>
            <wp:positionV relativeFrom="paragraph">
              <wp:posOffset>-739471</wp:posOffset>
            </wp:positionV>
            <wp:extent cx="7227570" cy="3204375"/>
            <wp:effectExtent l="0" t="0" r="11430" b="15240"/>
            <wp:wrapNone/>
            <wp:docPr id="5" name="Chart 5">
              <a:extLst xmlns:a="http://schemas.openxmlformats.org/drawingml/2006/main">
                <a:ext uri="{FF2B5EF4-FFF2-40B4-BE49-F238E27FC236}">
                  <a16:creationId xmlns:a16="http://schemas.microsoft.com/office/drawing/2014/main" id="{98ECE338-7CD0-464C-824F-DE31C78F3F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157BBA44" w14:textId="46A5925A" w:rsidR="00537990" w:rsidRDefault="00537990">
      <w:pPr>
        <w:ind w:left="720"/>
      </w:pPr>
    </w:p>
    <w:p w14:paraId="58EC63C1" w14:textId="7FBBD3E0" w:rsidR="00537990" w:rsidRDefault="00537990">
      <w:pPr>
        <w:ind w:left="720"/>
      </w:pPr>
    </w:p>
    <w:p w14:paraId="63BC46BD" w14:textId="48F29EFF" w:rsidR="00537990" w:rsidRDefault="00537990">
      <w:pPr>
        <w:ind w:left="720"/>
      </w:pPr>
    </w:p>
    <w:p w14:paraId="1ECA6A6A" w14:textId="56612CD0" w:rsidR="00537990" w:rsidRDefault="00537990">
      <w:pPr>
        <w:ind w:left="720"/>
      </w:pPr>
    </w:p>
    <w:p w14:paraId="69010C44" w14:textId="77777777" w:rsidR="00537990" w:rsidRDefault="00537990">
      <w:pPr>
        <w:ind w:left="720"/>
      </w:pPr>
    </w:p>
    <w:p w14:paraId="16030AEA" w14:textId="6A6A3CB0" w:rsidR="00A21248" w:rsidRDefault="00A21248">
      <w:pPr>
        <w:ind w:left="720"/>
      </w:pPr>
    </w:p>
    <w:p w14:paraId="08A72D91" w14:textId="108BD04C" w:rsidR="00A21248" w:rsidRDefault="00A21248">
      <w:pPr>
        <w:ind w:left="720"/>
      </w:pPr>
    </w:p>
    <w:p w14:paraId="5EC2A50F" w14:textId="77777777" w:rsidR="00A21248" w:rsidRDefault="00A21248">
      <w:pPr>
        <w:ind w:left="720"/>
      </w:pPr>
    </w:p>
    <w:p w14:paraId="0FC3AFCF" w14:textId="77777777" w:rsidR="00A21248" w:rsidRDefault="00A21248">
      <w:pPr>
        <w:ind w:left="720"/>
      </w:pPr>
    </w:p>
    <w:p w14:paraId="60A603BA" w14:textId="5038F0A5" w:rsidR="00A21248" w:rsidRDefault="00A21248">
      <w:pPr>
        <w:ind w:left="720"/>
      </w:pPr>
    </w:p>
    <w:p w14:paraId="34C1D43F" w14:textId="77777777" w:rsidR="00A21248" w:rsidRDefault="00A21248">
      <w:pPr>
        <w:ind w:left="720"/>
      </w:pPr>
    </w:p>
    <w:p w14:paraId="005F0447" w14:textId="77777777" w:rsidR="00A21248" w:rsidRDefault="00A21248">
      <w:pPr>
        <w:ind w:left="720"/>
      </w:pPr>
    </w:p>
    <w:p w14:paraId="31D4EDBB" w14:textId="77777777" w:rsidR="00A21248" w:rsidRDefault="00A21248">
      <w:pPr>
        <w:ind w:left="720"/>
      </w:pPr>
    </w:p>
    <w:p w14:paraId="00000158" w14:textId="2EDB6596" w:rsidR="00404919" w:rsidRDefault="00E30665">
      <w:pPr>
        <w:ind w:left="720"/>
      </w:pPr>
      <w:r>
        <w:t>- Description:</w:t>
      </w:r>
    </w:p>
    <w:p w14:paraId="0000015A" w14:textId="090E6AE7" w:rsidR="00404919" w:rsidRDefault="00556B82" w:rsidP="00556B82">
      <w:pPr>
        <w:ind w:left="720"/>
        <w:jc w:val="both"/>
      </w:pPr>
      <w:r>
        <w:t>A detailed tabular matrix calculating daily call volume, average ratings, and day-to-day percentage changes across December and January and a combo line chart to show extreme operational volatility.</w:t>
      </w:r>
    </w:p>
    <w:p w14:paraId="5EA9BF9E" w14:textId="244B70CB" w:rsidR="00556B82" w:rsidRDefault="00556B82" w:rsidP="00556B82">
      <w:pPr>
        <w:ind w:left="1440"/>
      </w:pPr>
    </w:p>
    <w:p w14:paraId="32FCB945" w14:textId="77777777" w:rsidR="00556B82" w:rsidRDefault="00E30665" w:rsidP="00556B82">
      <w:pPr>
        <w:ind w:left="720"/>
        <w:rPr>
          <w:b/>
          <w:bCs/>
          <w:color w:val="FF0000"/>
        </w:rPr>
      </w:pPr>
      <w:r>
        <w:rPr>
          <w:b/>
          <w:bCs/>
          <w:color w:val="FF0000"/>
          <w:highlight w:val="white"/>
        </w:rPr>
        <w:t>Insights:</w:t>
      </w:r>
    </w:p>
    <w:p w14:paraId="47FD7A8B" w14:textId="5E1904F3" w:rsidR="00556B82" w:rsidRPr="00556B82" w:rsidRDefault="00556B82" w:rsidP="00556B82">
      <w:pPr>
        <w:ind w:left="720"/>
        <w:rPr>
          <w:b/>
          <w:bCs/>
        </w:rPr>
      </w:pPr>
      <w:r w:rsidRPr="00556B82">
        <w:rPr>
          <w:b/>
          <w:bCs/>
        </w:rPr>
        <w:t>Extreme Volatility:</w:t>
      </w:r>
      <w:r w:rsidRPr="00556B82">
        <w:t xml:space="preserve"> Volume surges unpredictably, peaking at 430 calls on Dec 10th (+172% above the daily average of ~250).</w:t>
      </w:r>
    </w:p>
    <w:p w14:paraId="0000015C" w14:textId="128E61AD" w:rsidR="00404919" w:rsidRPr="00556B82" w:rsidRDefault="00556B82" w:rsidP="007243C0">
      <w:pPr>
        <w:spacing w:before="100" w:beforeAutospacing="1" w:after="100" w:afterAutospacing="1" w:line="240" w:lineRule="auto"/>
        <w:ind w:left="720"/>
        <w:rPr>
          <w:rFonts w:eastAsia="Times New Roman"/>
          <w:lang w:val="en-US"/>
        </w:rPr>
      </w:pPr>
      <w:r w:rsidRPr="00556B82">
        <w:rPr>
          <w:rFonts w:eastAsia="Times New Roman"/>
          <w:b/>
          <w:bCs/>
          <w:lang w:val="en-US"/>
        </w:rPr>
        <w:t>Stagnant Quality:</w:t>
      </w:r>
      <w:r w:rsidRPr="00556B82">
        <w:rPr>
          <w:rFonts w:eastAsia="Times New Roman"/>
          <w:lang w:val="en-US"/>
        </w:rPr>
        <w:t xml:space="preserve"> Despite massive demand spikes, the average rating remains static at ~3.50, indicating agents are bottlenecked and cannot maintain premium service quality under pressure.</w:t>
      </w:r>
    </w:p>
    <w:p w14:paraId="0000015D" w14:textId="58D9338C" w:rsidR="00404919" w:rsidRDefault="00404919">
      <w:pPr>
        <w:ind w:left="720"/>
      </w:pPr>
    </w:p>
    <w:p w14:paraId="0000015E" w14:textId="675CDD5F" w:rsidR="00404919" w:rsidRDefault="00E30665">
      <w:pPr>
        <w:ind w:left="720"/>
        <w:rPr>
          <w:b/>
          <w:bCs/>
        </w:rPr>
      </w:pPr>
      <w:r>
        <w:rPr>
          <w:b/>
          <w:bCs/>
          <w:color w:val="FF0000"/>
          <w:highlight w:val="white"/>
        </w:rPr>
        <w:t>Recommendations:</w:t>
      </w:r>
    </w:p>
    <w:p w14:paraId="3EA2C5BC" w14:textId="7CEE5AEE" w:rsidR="00556B82" w:rsidRPr="00556B82" w:rsidRDefault="00556B82" w:rsidP="00556B82">
      <w:pPr>
        <w:pStyle w:val="NormalWeb"/>
        <w:ind w:left="720"/>
        <w:jc w:val="both"/>
        <w:rPr>
          <w:rFonts w:ascii="Arial" w:hAnsi="Arial" w:cs="Arial"/>
          <w:sz w:val="22"/>
          <w:szCs w:val="22"/>
        </w:rPr>
      </w:pPr>
      <w:r w:rsidRPr="00556B82">
        <w:rPr>
          <w:rFonts w:ascii="Arial" w:hAnsi="Arial" w:cs="Arial"/>
          <w:b/>
          <w:bCs/>
          <w:sz w:val="22"/>
          <w:szCs w:val="22"/>
        </w:rPr>
        <w:t>Dynamic Rostering:</w:t>
      </w:r>
      <w:r w:rsidRPr="00556B82">
        <w:rPr>
          <w:rFonts w:ascii="Arial" w:hAnsi="Arial" w:cs="Arial"/>
          <w:sz w:val="22"/>
          <w:szCs w:val="22"/>
        </w:rPr>
        <w:t xml:space="preserve"> Abandon static shifts and use flexible staffing to meet forecasted peak days.</w:t>
      </w:r>
    </w:p>
    <w:p w14:paraId="05889A70" w14:textId="071E3A3F" w:rsidR="00556B82" w:rsidRPr="00556B82" w:rsidRDefault="00556B82" w:rsidP="00556B82">
      <w:pPr>
        <w:spacing w:before="100" w:beforeAutospacing="1" w:after="100" w:afterAutospacing="1" w:line="240" w:lineRule="auto"/>
        <w:ind w:left="720"/>
        <w:jc w:val="both"/>
        <w:rPr>
          <w:rFonts w:eastAsia="Times New Roman"/>
          <w:lang w:val="en-US"/>
        </w:rPr>
      </w:pPr>
      <w:r w:rsidRPr="00556B82">
        <w:rPr>
          <w:rFonts w:eastAsia="Times New Roman"/>
          <w:b/>
          <w:bCs/>
          <w:lang w:val="en-US"/>
        </w:rPr>
        <w:t>Virtual Callback Queue:</w:t>
      </w:r>
      <w:r w:rsidRPr="00556B82">
        <w:rPr>
          <w:rFonts w:eastAsia="Times New Roman"/>
          <w:lang w:val="en-US"/>
        </w:rPr>
        <w:t xml:space="preserve"> Implement an automated callback system so customers do not wait on active hold during extreme 300+ call surge days.</w:t>
      </w:r>
    </w:p>
    <w:p w14:paraId="0000015F" w14:textId="6C432C27" w:rsidR="00404919" w:rsidRDefault="00404919">
      <w:pPr>
        <w:ind w:left="720"/>
      </w:pPr>
    </w:p>
    <w:p w14:paraId="6801D019" w14:textId="0BA61159" w:rsidR="00A21248" w:rsidRDefault="00A21248">
      <w:pPr>
        <w:ind w:left="720"/>
      </w:pPr>
    </w:p>
    <w:p w14:paraId="7CF43F0C" w14:textId="4123A6A5" w:rsidR="00537990" w:rsidRDefault="00537990">
      <w:pPr>
        <w:ind w:left="720"/>
      </w:pPr>
    </w:p>
    <w:p w14:paraId="0FBCE861" w14:textId="5D2B7BF2" w:rsidR="00537990" w:rsidRDefault="00537990">
      <w:pPr>
        <w:ind w:left="720"/>
      </w:pPr>
    </w:p>
    <w:p w14:paraId="683EE148" w14:textId="77777777" w:rsidR="00537990" w:rsidRDefault="00537990">
      <w:pPr>
        <w:ind w:left="720"/>
      </w:pPr>
    </w:p>
    <w:p w14:paraId="00000160" w14:textId="77777777" w:rsidR="00404919" w:rsidRDefault="00404919"/>
    <w:p w14:paraId="00000161" w14:textId="77777777" w:rsidR="00404919" w:rsidRDefault="00404919"/>
    <w:p w14:paraId="00000162" w14:textId="77777777" w:rsidR="00404919" w:rsidRDefault="00E30665">
      <w:pPr>
        <w:pStyle w:val="Heading2"/>
      </w:pPr>
      <w:bookmarkStart w:id="42" w:name="_aj8gd3u3mymy" w:colFirst="0" w:colLast="0"/>
      <w:bookmarkEnd w:id="42"/>
      <w:r>
        <w:rPr>
          <w:b/>
          <w:bCs/>
          <w:color w:val="FF0000"/>
        </w:rPr>
        <w:lastRenderedPageBreak/>
        <w:t>Question 5: Based on historical data, what strategic initiatives should be prioritized to improve efficiency and customer satisfaction?</w:t>
      </w:r>
    </w:p>
    <w:p w14:paraId="00000163" w14:textId="77777777" w:rsidR="00404919" w:rsidRDefault="00404919"/>
    <w:p w14:paraId="00000164" w14:textId="77777777" w:rsidR="00404919" w:rsidRDefault="00E30665">
      <w:pPr>
        <w:pStyle w:val="Heading2"/>
        <w:rPr>
          <w:b/>
          <w:bCs/>
        </w:rPr>
      </w:pPr>
      <w:bookmarkStart w:id="43" w:name="_67y1xenl56rb" w:colFirst="0" w:colLast="0"/>
      <w:bookmarkEnd w:id="43"/>
      <w:r>
        <w:rPr>
          <w:b/>
          <w:bCs/>
        </w:rPr>
        <w:t>Solution:</w:t>
      </w:r>
    </w:p>
    <w:p w14:paraId="00000165" w14:textId="77777777" w:rsidR="00404919" w:rsidRDefault="00404919"/>
    <w:p w14:paraId="00000166" w14:textId="77777777" w:rsidR="00404919" w:rsidRDefault="00E30665">
      <w:pPr>
        <w:ind w:left="720"/>
        <w:rPr>
          <w:b/>
          <w:bCs/>
        </w:rPr>
      </w:pPr>
      <w:r>
        <w:rPr>
          <w:b/>
          <w:bCs/>
          <w:color w:val="FF0000"/>
          <w:highlight w:val="white"/>
        </w:rPr>
        <w:t>Approach:</w:t>
      </w:r>
    </w:p>
    <w:p w14:paraId="00000168" w14:textId="69AA9A05" w:rsidR="00404919" w:rsidRDefault="00556B82">
      <w:pPr>
        <w:ind w:left="720"/>
      </w:pPr>
      <w:r>
        <w:t xml:space="preserve">I used </w:t>
      </w:r>
      <w:r>
        <w:rPr>
          <w:b/>
          <w:bCs/>
        </w:rPr>
        <w:t>3 aggregated data tables</w:t>
      </w:r>
      <w:r>
        <w:t xml:space="preserve"> utilizing the </w:t>
      </w:r>
      <w:r w:rsidRPr="00A21248">
        <w:rPr>
          <w:rStyle w:val="HTMLCode"/>
          <w:rFonts w:ascii="Arial" w:eastAsia="Arial" w:hAnsi="Arial" w:cs="Arial"/>
          <w:b/>
          <w:bCs/>
        </w:rPr>
        <w:t>COUNT</w:t>
      </w:r>
      <w:r>
        <w:t xml:space="preserve"> function (for call volumes and repeat user frequencies), the </w:t>
      </w:r>
      <w:r w:rsidRPr="00A21248">
        <w:rPr>
          <w:rStyle w:val="HTMLCode"/>
          <w:rFonts w:ascii="Arial" w:eastAsia="Arial" w:hAnsi="Arial" w:cs="Arial"/>
          <w:b/>
          <w:bCs/>
        </w:rPr>
        <w:t>AVERAGE</w:t>
      </w:r>
      <w:r>
        <w:t xml:space="preserve"> function (for CSAT ratings), and a </w:t>
      </w:r>
      <w:r w:rsidRPr="00A21248">
        <w:rPr>
          <w:rStyle w:val="HTMLCode"/>
          <w:rFonts w:ascii="Arial" w:eastAsia="Arial" w:hAnsi="Arial" w:cs="Arial"/>
        </w:rPr>
        <w:t>% of Total</w:t>
      </w:r>
      <w:r>
        <w:t xml:space="preserve"> calculation. This allowed me to holistically evaluate call completion rates, repeat traffic, and agent workload distribution.</w:t>
      </w:r>
    </w:p>
    <w:p w14:paraId="50E3A2A8" w14:textId="77777777" w:rsidR="00A21248" w:rsidRDefault="00A21248">
      <w:pPr>
        <w:ind w:left="720"/>
      </w:pPr>
    </w:p>
    <w:p w14:paraId="00000169" w14:textId="77777777" w:rsidR="00404919" w:rsidRDefault="00E30665">
      <w:pPr>
        <w:ind w:left="720"/>
        <w:rPr>
          <w:b/>
          <w:bCs/>
        </w:rPr>
      </w:pPr>
      <w:r>
        <w:rPr>
          <w:b/>
          <w:bCs/>
          <w:color w:val="FF0000"/>
          <w:highlight w:val="white"/>
        </w:rPr>
        <w:t>Charts &amp; Tables:</w:t>
      </w:r>
    </w:p>
    <w:p w14:paraId="0000016A" w14:textId="77777777" w:rsidR="00404919" w:rsidRDefault="00E30665">
      <w:pPr>
        <w:ind w:left="720"/>
      </w:pPr>
      <w:r>
        <w:t>- Table / Chart Name:</w:t>
      </w:r>
    </w:p>
    <w:p w14:paraId="0000016B" w14:textId="6556F3DF" w:rsidR="00404919" w:rsidRDefault="00E30665">
      <w:pPr>
        <w:ind w:left="720"/>
      </w:pPr>
      <w:r>
        <w:t xml:space="preserve">  </w:t>
      </w:r>
      <w:r w:rsidR="00A21248">
        <w:t>3 Pivot tables (Q-5 I Subjective)</w:t>
      </w:r>
    </w:p>
    <w:p w14:paraId="53D6961D" w14:textId="77777777" w:rsidR="007243C0" w:rsidRDefault="007243C0">
      <w:pPr>
        <w:ind w:left="720"/>
      </w:pPr>
    </w:p>
    <w:p w14:paraId="0000016C" w14:textId="77777777" w:rsidR="00404919" w:rsidRDefault="00E30665">
      <w:pPr>
        <w:ind w:left="720"/>
      </w:pPr>
      <w:r>
        <w:t>- Description:</w:t>
      </w:r>
    </w:p>
    <w:p w14:paraId="03FAEA51" w14:textId="77777777" w:rsidR="00A21248" w:rsidRDefault="00E30665">
      <w:pPr>
        <w:ind w:left="720"/>
      </w:pPr>
      <w:r>
        <w:t xml:space="preserve">  </w:t>
      </w:r>
      <w:r w:rsidR="00A21248">
        <w:rPr>
          <w:b/>
          <w:bCs/>
        </w:rPr>
        <w:t>3 Tables</w:t>
      </w:r>
      <w:r w:rsidR="00A21248">
        <w:t xml:space="preserve"> were made for this question, tracking: </w:t>
      </w:r>
    </w:p>
    <w:p w14:paraId="6EF8F607" w14:textId="77777777" w:rsidR="00A21248" w:rsidRDefault="00A21248" w:rsidP="00A21248">
      <w:pPr>
        <w:pStyle w:val="ListParagraph"/>
        <w:numPr>
          <w:ilvl w:val="0"/>
          <w:numId w:val="8"/>
        </w:numPr>
      </w:pPr>
      <w:r>
        <w:t xml:space="preserve">Call Status / Completion Efficiency </w:t>
      </w:r>
    </w:p>
    <w:p w14:paraId="39919E70" w14:textId="2277FCD7" w:rsidR="00A21248" w:rsidRDefault="00A21248" w:rsidP="00A21248">
      <w:pPr>
        <w:pStyle w:val="ListParagraph"/>
        <w:numPr>
          <w:ilvl w:val="0"/>
          <w:numId w:val="8"/>
        </w:numPr>
      </w:pPr>
      <w:r>
        <w:t xml:space="preserve">Repeat Caller Frequency </w:t>
      </w:r>
    </w:p>
    <w:p w14:paraId="0000016E" w14:textId="3F9797D2" w:rsidR="00404919" w:rsidRDefault="00A21248" w:rsidP="00A21248">
      <w:pPr>
        <w:pStyle w:val="ListParagraph"/>
        <w:numPr>
          <w:ilvl w:val="0"/>
          <w:numId w:val="8"/>
        </w:numPr>
      </w:pPr>
      <w:r>
        <w:t>Top Agent Workloads &amp; Ratings</w:t>
      </w:r>
    </w:p>
    <w:p w14:paraId="35A833A6" w14:textId="77777777" w:rsidR="00A21248" w:rsidRDefault="00A21248" w:rsidP="00A21248">
      <w:pPr>
        <w:pStyle w:val="ListParagraph"/>
        <w:ind w:left="1440"/>
      </w:pPr>
    </w:p>
    <w:p w14:paraId="0000016F" w14:textId="77777777" w:rsidR="00404919" w:rsidRDefault="00E30665">
      <w:pPr>
        <w:ind w:left="720"/>
        <w:rPr>
          <w:b/>
          <w:bCs/>
        </w:rPr>
      </w:pPr>
      <w:r>
        <w:rPr>
          <w:b/>
          <w:bCs/>
          <w:color w:val="FF0000"/>
          <w:highlight w:val="white"/>
        </w:rPr>
        <w:t>Insights:</w:t>
      </w:r>
    </w:p>
    <w:p w14:paraId="367F76E7" w14:textId="5337EDBF" w:rsidR="00A21248" w:rsidRPr="00A21248" w:rsidRDefault="00A21248" w:rsidP="007243C0">
      <w:pPr>
        <w:pStyle w:val="NormalWeb"/>
        <w:ind w:left="720"/>
        <w:rPr>
          <w:rFonts w:ascii="Arial" w:hAnsi="Arial" w:cs="Arial"/>
          <w:sz w:val="22"/>
          <w:szCs w:val="22"/>
        </w:rPr>
      </w:pPr>
      <w:r w:rsidRPr="00A21248">
        <w:rPr>
          <w:rFonts w:ascii="Arial" w:hAnsi="Arial" w:cs="Arial"/>
          <w:b/>
          <w:bCs/>
          <w:sz w:val="22"/>
          <w:szCs w:val="22"/>
        </w:rPr>
        <w:t>Infrastructure Friction:</w:t>
      </w:r>
      <w:r w:rsidRPr="00A21248">
        <w:rPr>
          <w:rFonts w:ascii="Arial" w:hAnsi="Arial" w:cs="Arial"/>
          <w:sz w:val="22"/>
          <w:szCs w:val="22"/>
        </w:rPr>
        <w:t xml:space="preserve"> Only ~40.5% of calls successfully "completed". A massive segment of attempts resulted in "busy," "failed," or "no-answer" statuses.</w:t>
      </w:r>
    </w:p>
    <w:p w14:paraId="53013B0B" w14:textId="02553307" w:rsidR="00A21248" w:rsidRPr="00A21248" w:rsidRDefault="00A21248" w:rsidP="007243C0">
      <w:pPr>
        <w:spacing w:before="100" w:beforeAutospacing="1" w:after="100" w:afterAutospacing="1" w:line="240" w:lineRule="auto"/>
        <w:ind w:left="720"/>
        <w:rPr>
          <w:rFonts w:eastAsia="Times New Roman"/>
          <w:lang w:val="en-US"/>
        </w:rPr>
      </w:pPr>
      <w:r w:rsidRPr="00A21248">
        <w:rPr>
          <w:rFonts w:eastAsia="Times New Roman"/>
          <w:b/>
          <w:bCs/>
          <w:lang w:val="en-US"/>
        </w:rPr>
        <w:t>Low</w:t>
      </w:r>
      <w:r w:rsidR="007243C0">
        <w:rPr>
          <w:rFonts w:eastAsia="Times New Roman"/>
          <w:b/>
          <w:bCs/>
          <w:lang w:val="en-US"/>
        </w:rPr>
        <w:t xml:space="preserve"> </w:t>
      </w:r>
      <w:r w:rsidRPr="00A21248">
        <w:rPr>
          <w:rFonts w:eastAsia="Times New Roman"/>
          <w:b/>
          <w:bCs/>
          <w:lang w:val="en-US"/>
        </w:rPr>
        <w:t>First Contact Resolution (FCR):</w:t>
      </w:r>
      <w:r w:rsidRPr="00A21248">
        <w:rPr>
          <w:rFonts w:eastAsia="Times New Roman"/>
          <w:lang w:val="en-US"/>
        </w:rPr>
        <w:t xml:space="preserve"> 72.36% of total call volume originates from repeat callers, indicating initial queries are frequently unresolved.</w:t>
      </w:r>
    </w:p>
    <w:p w14:paraId="7143034A" w14:textId="56FF78BC" w:rsidR="00A21248" w:rsidRPr="00A21248" w:rsidRDefault="00A21248" w:rsidP="007243C0">
      <w:pPr>
        <w:spacing w:before="100" w:beforeAutospacing="1" w:after="100" w:afterAutospacing="1" w:line="240" w:lineRule="auto"/>
        <w:ind w:left="720"/>
        <w:rPr>
          <w:rFonts w:eastAsia="Times New Roman"/>
          <w:lang w:val="en-US"/>
        </w:rPr>
      </w:pPr>
      <w:r w:rsidRPr="00A21248">
        <w:rPr>
          <w:rFonts w:eastAsia="Times New Roman"/>
          <w:b/>
          <w:bCs/>
          <w:lang w:val="en-US"/>
        </w:rPr>
        <w:t>Workload Bottlenecks:</w:t>
      </w:r>
      <w:r w:rsidRPr="00A21248">
        <w:rPr>
          <w:rFonts w:eastAsia="Times New Roman"/>
          <w:lang w:val="en-US"/>
        </w:rPr>
        <w:t xml:space="preserve"> Traffic is severely concentrated; a single top agent (Astro Shalini) handled 1,060 calls (12.5% of all volume), risking rapid burnout.</w:t>
      </w:r>
    </w:p>
    <w:p w14:paraId="00000171" w14:textId="77777777" w:rsidR="00404919" w:rsidRDefault="00404919">
      <w:pPr>
        <w:ind w:left="720"/>
      </w:pPr>
    </w:p>
    <w:p w14:paraId="00000172" w14:textId="77777777" w:rsidR="00404919" w:rsidRDefault="00E30665">
      <w:pPr>
        <w:ind w:left="720"/>
        <w:rPr>
          <w:b/>
          <w:bCs/>
        </w:rPr>
      </w:pPr>
      <w:r>
        <w:rPr>
          <w:b/>
          <w:bCs/>
          <w:color w:val="FF0000"/>
          <w:highlight w:val="white"/>
        </w:rPr>
        <w:t>Recommendations:</w:t>
      </w:r>
    </w:p>
    <w:p w14:paraId="2661C3F0" w14:textId="0A5222AE" w:rsidR="007243C0" w:rsidRPr="007243C0" w:rsidRDefault="007243C0" w:rsidP="007243C0">
      <w:pPr>
        <w:pStyle w:val="NormalWeb"/>
        <w:ind w:left="720"/>
        <w:rPr>
          <w:rFonts w:ascii="Arial" w:hAnsi="Arial" w:cs="Arial"/>
          <w:sz w:val="22"/>
          <w:szCs w:val="22"/>
        </w:rPr>
      </w:pPr>
      <w:r w:rsidRPr="007243C0">
        <w:rPr>
          <w:rFonts w:ascii="Arial" w:hAnsi="Arial" w:cs="Arial"/>
          <w:b/>
          <w:bCs/>
          <w:sz w:val="22"/>
          <w:szCs w:val="22"/>
        </w:rPr>
        <w:t>Platform Stabilization:</w:t>
      </w:r>
      <w:r w:rsidRPr="007243C0">
        <w:rPr>
          <w:rFonts w:ascii="Arial" w:hAnsi="Arial" w:cs="Arial"/>
          <w:sz w:val="22"/>
          <w:szCs w:val="22"/>
        </w:rPr>
        <w:t xml:space="preserve"> Prioritize a technical infrastructure upgrade to reduce the high rate of dropped, failed, and busy calls.</w:t>
      </w:r>
    </w:p>
    <w:p w14:paraId="0FA6A1E3" w14:textId="0C091D65" w:rsidR="007243C0" w:rsidRPr="007243C0" w:rsidRDefault="007243C0" w:rsidP="007243C0">
      <w:pPr>
        <w:spacing w:before="100" w:beforeAutospacing="1" w:after="100" w:afterAutospacing="1" w:line="240" w:lineRule="auto"/>
        <w:ind w:left="720"/>
        <w:rPr>
          <w:rFonts w:eastAsia="Times New Roman"/>
          <w:lang w:val="en-US"/>
        </w:rPr>
      </w:pPr>
      <w:r w:rsidRPr="007243C0">
        <w:rPr>
          <w:rFonts w:eastAsia="Times New Roman"/>
          <w:b/>
          <w:bCs/>
          <w:lang w:val="en-US"/>
        </w:rPr>
        <w:t>First Contact Resolution (FCR) Initiatives:</w:t>
      </w:r>
      <w:r w:rsidRPr="007243C0">
        <w:rPr>
          <w:rFonts w:eastAsia="Times New Roman"/>
          <w:lang w:val="en-US"/>
        </w:rPr>
        <w:t xml:space="preserve"> Implement training programs focused on fully resolving issues on the first call to reduce the massive 72% repeat call volume.</w:t>
      </w:r>
    </w:p>
    <w:p w14:paraId="069D30D3" w14:textId="54B9574C" w:rsidR="007243C0" w:rsidRPr="007243C0" w:rsidRDefault="007243C0" w:rsidP="007243C0">
      <w:pPr>
        <w:spacing w:before="100" w:beforeAutospacing="1" w:after="100" w:afterAutospacing="1" w:line="240" w:lineRule="auto"/>
        <w:ind w:left="720"/>
        <w:rPr>
          <w:rFonts w:eastAsia="Times New Roman"/>
          <w:lang w:val="en-US"/>
        </w:rPr>
      </w:pPr>
      <w:r w:rsidRPr="007243C0">
        <w:rPr>
          <w:rFonts w:eastAsia="Times New Roman"/>
          <w:b/>
          <w:bCs/>
          <w:lang w:val="en-US"/>
        </w:rPr>
        <w:t>Smart Routing Algorithms:</w:t>
      </w:r>
      <w:r w:rsidRPr="007243C0">
        <w:rPr>
          <w:rFonts w:eastAsia="Times New Roman"/>
          <w:lang w:val="en-US"/>
        </w:rPr>
        <w:t xml:space="preserve"> Deploy automated call routing to distribute traffic away from heavily bottlenecked top agents to adequately utilized lower-tier agents.</w:t>
      </w:r>
    </w:p>
    <w:p w14:paraId="00000176" w14:textId="77777777" w:rsidR="00404919" w:rsidRDefault="00E30665">
      <w:pPr>
        <w:pStyle w:val="Heading2"/>
        <w:rPr>
          <w:b/>
          <w:bCs/>
          <w:color w:val="FF0000"/>
        </w:rPr>
      </w:pPr>
      <w:bookmarkStart w:id="44" w:name="_5sgc1d97t8ah" w:colFirst="0" w:colLast="0"/>
      <w:bookmarkEnd w:id="44"/>
      <w:r>
        <w:rPr>
          <w:b/>
          <w:bCs/>
          <w:color w:val="FF0000"/>
        </w:rPr>
        <w:lastRenderedPageBreak/>
        <w:t>Question 6: What can be the key factors contributing to high customer satisfaction scores, and how can these be leveraged to improve overall performance?</w:t>
      </w:r>
    </w:p>
    <w:p w14:paraId="00000177" w14:textId="77777777" w:rsidR="00404919" w:rsidRDefault="00E30665">
      <w:pPr>
        <w:pStyle w:val="Heading2"/>
      </w:pPr>
      <w:bookmarkStart w:id="45" w:name="_sk314f6u5h6s" w:colFirst="0" w:colLast="0"/>
      <w:bookmarkEnd w:id="45"/>
      <w:r>
        <w:rPr>
          <w:b/>
          <w:bCs/>
          <w:color w:val="FF0000"/>
        </w:rPr>
        <w:t>What is the basis for the suggestions? And mention how you decided if the satisfaction score affects the ratings.</w:t>
      </w:r>
    </w:p>
    <w:p w14:paraId="00000178" w14:textId="77777777" w:rsidR="00404919" w:rsidRDefault="00E30665">
      <w:pPr>
        <w:pStyle w:val="Heading2"/>
        <w:rPr>
          <w:b/>
          <w:bCs/>
        </w:rPr>
      </w:pPr>
      <w:bookmarkStart w:id="46" w:name="_u1tplpv8h0p4" w:colFirst="0" w:colLast="0"/>
      <w:bookmarkEnd w:id="46"/>
      <w:r>
        <w:rPr>
          <w:b/>
          <w:bCs/>
        </w:rPr>
        <w:t>Solution:</w:t>
      </w:r>
    </w:p>
    <w:p w14:paraId="00000179" w14:textId="77777777" w:rsidR="00404919" w:rsidRDefault="00404919"/>
    <w:p w14:paraId="0000017A" w14:textId="77777777" w:rsidR="00404919" w:rsidRDefault="00E30665">
      <w:pPr>
        <w:ind w:left="720"/>
        <w:rPr>
          <w:b/>
          <w:bCs/>
        </w:rPr>
      </w:pPr>
      <w:r>
        <w:rPr>
          <w:b/>
          <w:bCs/>
          <w:color w:val="FF0000"/>
          <w:highlight w:val="white"/>
        </w:rPr>
        <w:t>Approach:</w:t>
      </w:r>
    </w:p>
    <w:p w14:paraId="0000017C" w14:textId="47BF1786" w:rsidR="00404919" w:rsidRDefault="007243C0">
      <w:pPr>
        <w:ind w:left="720"/>
      </w:pPr>
      <w:r>
        <w:t xml:space="preserve">I used </w:t>
      </w:r>
      <w:r>
        <w:rPr>
          <w:b/>
          <w:bCs/>
        </w:rPr>
        <w:t>2 aggregated data tables</w:t>
      </w:r>
      <w:r>
        <w:t xml:space="preserve"> utilizing the </w:t>
      </w:r>
      <w:r>
        <w:rPr>
          <w:rStyle w:val="HTMLCode"/>
          <w:rFonts w:eastAsia="Arial"/>
          <w:b/>
          <w:bCs/>
        </w:rPr>
        <w:t>CORREL</w:t>
      </w:r>
      <w:r>
        <w:t xml:space="preserve"> function (to determine the statistical relationship between Call Duration and Ratings) and the </w:t>
      </w:r>
      <w:r>
        <w:rPr>
          <w:rStyle w:val="HTMLCode"/>
          <w:rFonts w:eastAsia="Arial"/>
          <w:b/>
          <w:bCs/>
        </w:rPr>
        <w:t>AVERAGE</w:t>
      </w:r>
      <w:r>
        <w:t xml:space="preserve"> function (to calculate CSAT scores across different agents and duration tiers).</w:t>
      </w:r>
    </w:p>
    <w:p w14:paraId="08F64686" w14:textId="77777777" w:rsidR="007243C0" w:rsidRDefault="007243C0">
      <w:pPr>
        <w:ind w:left="720"/>
      </w:pPr>
    </w:p>
    <w:p w14:paraId="0000017D" w14:textId="77777777" w:rsidR="00404919" w:rsidRDefault="00E30665">
      <w:pPr>
        <w:ind w:left="720"/>
        <w:rPr>
          <w:b/>
          <w:bCs/>
        </w:rPr>
      </w:pPr>
      <w:r>
        <w:rPr>
          <w:b/>
          <w:bCs/>
          <w:color w:val="FF0000"/>
          <w:highlight w:val="white"/>
        </w:rPr>
        <w:t>Charts &amp; Tables:</w:t>
      </w:r>
    </w:p>
    <w:p w14:paraId="0000017E" w14:textId="77777777" w:rsidR="00404919" w:rsidRDefault="00E30665">
      <w:pPr>
        <w:ind w:left="720"/>
      </w:pPr>
      <w:r>
        <w:t>- Table / Chart Name:</w:t>
      </w:r>
    </w:p>
    <w:p w14:paraId="0000017F" w14:textId="6EDDDF30" w:rsidR="00404919" w:rsidRDefault="00E30665">
      <w:pPr>
        <w:ind w:left="720"/>
      </w:pPr>
      <w:r>
        <w:t xml:space="preserve">  </w:t>
      </w:r>
      <w:r w:rsidR="007243C0">
        <w:t xml:space="preserve">  2 Pivot Tables (Q-6 I Subjective)</w:t>
      </w:r>
    </w:p>
    <w:p w14:paraId="4F160AC7" w14:textId="52CF3E1E" w:rsidR="007243C0" w:rsidRDefault="007243C0">
      <w:pPr>
        <w:ind w:left="720"/>
      </w:pPr>
      <w:r>
        <w:rPr>
          <w:noProof/>
        </w:rPr>
        <w:drawing>
          <wp:anchor distT="0" distB="0" distL="114300" distR="114300" simplePos="0" relativeHeight="251663360" behindDoc="0" locked="0" layoutInCell="1" allowOverlap="1" wp14:anchorId="5E18A388" wp14:editId="31F719CB">
            <wp:simplePos x="0" y="0"/>
            <wp:positionH relativeFrom="page">
              <wp:posOffset>246490</wp:posOffset>
            </wp:positionH>
            <wp:positionV relativeFrom="paragraph">
              <wp:posOffset>245828</wp:posOffset>
            </wp:positionV>
            <wp:extent cx="7100018" cy="3751944"/>
            <wp:effectExtent l="0" t="0" r="571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23951" cy="3764591"/>
                    </a:xfrm>
                    <a:prstGeom prst="rect">
                      <a:avLst/>
                    </a:prstGeom>
                    <a:noFill/>
                  </pic:spPr>
                </pic:pic>
              </a:graphicData>
            </a:graphic>
            <wp14:sizeRelH relativeFrom="margin">
              <wp14:pctWidth>0</wp14:pctWidth>
            </wp14:sizeRelH>
            <wp14:sizeRelV relativeFrom="margin">
              <wp14:pctHeight>0</wp14:pctHeight>
            </wp14:sizeRelV>
          </wp:anchor>
        </w:drawing>
      </w:r>
      <w:r>
        <w:t xml:space="preserve">    </w:t>
      </w:r>
      <w:r w:rsidR="00FE5B0C">
        <w:t>1</w:t>
      </w:r>
      <w:r>
        <w:t xml:space="preserve"> Combo Bar and Line Chart </w:t>
      </w:r>
      <w:r w:rsidR="00FE5B0C">
        <w:t>(Q-6 I Subjective)</w:t>
      </w:r>
    </w:p>
    <w:p w14:paraId="296D106F" w14:textId="696034AA" w:rsidR="007243C0" w:rsidRDefault="007243C0">
      <w:pPr>
        <w:ind w:left="720"/>
      </w:pPr>
    </w:p>
    <w:p w14:paraId="203FA702" w14:textId="0C31C1A6" w:rsidR="007243C0" w:rsidRDefault="007243C0">
      <w:pPr>
        <w:ind w:left="720"/>
      </w:pPr>
    </w:p>
    <w:p w14:paraId="463AF9C0" w14:textId="6D9C4512" w:rsidR="007243C0" w:rsidRDefault="007243C0">
      <w:pPr>
        <w:ind w:left="720"/>
      </w:pPr>
    </w:p>
    <w:p w14:paraId="1EC79675" w14:textId="69E3C751" w:rsidR="007243C0" w:rsidRDefault="007243C0">
      <w:pPr>
        <w:ind w:left="720"/>
      </w:pPr>
    </w:p>
    <w:p w14:paraId="62624CD5" w14:textId="702A827C" w:rsidR="007243C0" w:rsidRDefault="007243C0">
      <w:pPr>
        <w:ind w:left="720"/>
      </w:pPr>
    </w:p>
    <w:p w14:paraId="29DCB999" w14:textId="13C8E173" w:rsidR="007243C0" w:rsidRDefault="007243C0">
      <w:pPr>
        <w:ind w:left="720"/>
      </w:pPr>
    </w:p>
    <w:p w14:paraId="1C7DBB77" w14:textId="1E8D9109" w:rsidR="007243C0" w:rsidRDefault="007243C0">
      <w:pPr>
        <w:ind w:left="720"/>
      </w:pPr>
    </w:p>
    <w:p w14:paraId="3801C0B7" w14:textId="364AFA08" w:rsidR="007243C0" w:rsidRDefault="007243C0">
      <w:pPr>
        <w:ind w:left="720"/>
      </w:pPr>
    </w:p>
    <w:p w14:paraId="7566DEAB" w14:textId="06793731" w:rsidR="007243C0" w:rsidRDefault="007243C0">
      <w:pPr>
        <w:ind w:left="720"/>
      </w:pPr>
    </w:p>
    <w:p w14:paraId="73470A05" w14:textId="07585D01" w:rsidR="007243C0" w:rsidRDefault="007243C0">
      <w:pPr>
        <w:ind w:left="720"/>
      </w:pPr>
    </w:p>
    <w:p w14:paraId="63F49427" w14:textId="38E47D20" w:rsidR="007243C0" w:rsidRDefault="007243C0">
      <w:pPr>
        <w:ind w:left="720"/>
      </w:pPr>
    </w:p>
    <w:p w14:paraId="30A1101D" w14:textId="2DF3FA0F" w:rsidR="007243C0" w:rsidRDefault="007243C0">
      <w:pPr>
        <w:ind w:left="720"/>
      </w:pPr>
    </w:p>
    <w:p w14:paraId="03CCDCE8" w14:textId="65436062" w:rsidR="007243C0" w:rsidRDefault="007243C0">
      <w:pPr>
        <w:ind w:left="720"/>
      </w:pPr>
    </w:p>
    <w:p w14:paraId="64D580F7" w14:textId="6DC17D1D" w:rsidR="007243C0" w:rsidRDefault="007243C0">
      <w:pPr>
        <w:ind w:left="720"/>
      </w:pPr>
    </w:p>
    <w:p w14:paraId="32E9A544" w14:textId="4875F28D" w:rsidR="007243C0" w:rsidRDefault="007243C0">
      <w:pPr>
        <w:ind w:left="720"/>
      </w:pPr>
    </w:p>
    <w:p w14:paraId="6FE6E4AF" w14:textId="07E00922" w:rsidR="007243C0" w:rsidRDefault="007243C0">
      <w:pPr>
        <w:ind w:left="720"/>
      </w:pPr>
    </w:p>
    <w:p w14:paraId="38CB250F" w14:textId="77777777" w:rsidR="007243C0" w:rsidRDefault="007243C0">
      <w:pPr>
        <w:ind w:left="720"/>
      </w:pPr>
    </w:p>
    <w:p w14:paraId="18F1C12A" w14:textId="77777777" w:rsidR="007243C0" w:rsidRDefault="007243C0">
      <w:pPr>
        <w:ind w:left="720"/>
      </w:pPr>
    </w:p>
    <w:p w14:paraId="1B42FC81" w14:textId="77777777" w:rsidR="00537990" w:rsidRDefault="00537990">
      <w:pPr>
        <w:ind w:left="720"/>
      </w:pPr>
    </w:p>
    <w:p w14:paraId="178AB407" w14:textId="77777777" w:rsidR="00537990" w:rsidRDefault="00537990">
      <w:pPr>
        <w:ind w:left="720"/>
      </w:pPr>
    </w:p>
    <w:p w14:paraId="2C0C3AD0" w14:textId="77777777" w:rsidR="00537990" w:rsidRDefault="00537990">
      <w:pPr>
        <w:ind w:left="720"/>
      </w:pPr>
    </w:p>
    <w:p w14:paraId="00000180" w14:textId="3F293CBF" w:rsidR="00404919" w:rsidRDefault="00E30665">
      <w:pPr>
        <w:ind w:left="720"/>
      </w:pPr>
      <w:r>
        <w:t>- Description:</w:t>
      </w:r>
    </w:p>
    <w:p w14:paraId="00000182" w14:textId="68BDC966" w:rsidR="00404919" w:rsidRDefault="00E30665">
      <w:pPr>
        <w:ind w:left="720"/>
      </w:pPr>
      <w:r>
        <w:t xml:space="preserve">  </w:t>
      </w:r>
      <w:r w:rsidR="007243C0">
        <w:rPr>
          <w:b/>
          <w:bCs/>
        </w:rPr>
        <w:t xml:space="preserve">2 </w:t>
      </w:r>
      <w:r w:rsidR="00537990">
        <w:rPr>
          <w:b/>
          <w:bCs/>
        </w:rPr>
        <w:t xml:space="preserve">Pivot </w:t>
      </w:r>
      <w:r w:rsidR="007243C0">
        <w:rPr>
          <w:b/>
          <w:bCs/>
        </w:rPr>
        <w:t>Tables</w:t>
      </w:r>
      <w:r w:rsidR="007243C0">
        <w:t xml:space="preserve"> were made for this question. One evaluates average call durations against specific rating tiers (0 to 5), and the other ranks individual agents by their aggregated average rating.</w:t>
      </w:r>
    </w:p>
    <w:p w14:paraId="38B3D52A" w14:textId="3D6727BE" w:rsidR="007243C0" w:rsidRDefault="00173854">
      <w:pPr>
        <w:ind w:left="720"/>
      </w:pPr>
      <w:r>
        <w:lastRenderedPageBreak/>
        <w:t xml:space="preserve">The </w:t>
      </w:r>
      <w:r w:rsidRPr="00173854">
        <w:rPr>
          <w:b/>
          <w:bCs/>
        </w:rPr>
        <w:t>Combo Bar and Line Chart</w:t>
      </w:r>
      <w:r>
        <w:t xml:space="preserve"> visually graphs individual user on-call durations directly against their given satisfaction ratings to illustrate the density and lack of trend line between the two metrics.</w:t>
      </w:r>
    </w:p>
    <w:p w14:paraId="396C7014" w14:textId="77777777" w:rsidR="00173854" w:rsidRDefault="00173854">
      <w:pPr>
        <w:ind w:left="720"/>
      </w:pPr>
    </w:p>
    <w:p w14:paraId="00000183" w14:textId="4591A2A1" w:rsidR="00404919" w:rsidRDefault="00E30665">
      <w:pPr>
        <w:ind w:left="720"/>
        <w:rPr>
          <w:b/>
          <w:bCs/>
        </w:rPr>
      </w:pPr>
      <w:r>
        <w:rPr>
          <w:b/>
          <w:bCs/>
          <w:color w:val="FF0000"/>
          <w:highlight w:val="white"/>
        </w:rPr>
        <w:t>Insights:</w:t>
      </w:r>
    </w:p>
    <w:p w14:paraId="25986526" w14:textId="259326E1" w:rsidR="00173854" w:rsidRPr="00173854" w:rsidRDefault="00173854" w:rsidP="00173854">
      <w:pPr>
        <w:pStyle w:val="NormalWeb"/>
        <w:ind w:left="720"/>
        <w:rPr>
          <w:rFonts w:ascii="Arial" w:hAnsi="Arial" w:cs="Arial"/>
          <w:sz w:val="22"/>
          <w:szCs w:val="22"/>
        </w:rPr>
      </w:pPr>
      <w:r w:rsidRPr="00173854">
        <w:rPr>
          <w:rFonts w:ascii="Arial" w:hAnsi="Arial" w:cs="Arial"/>
          <w:b/>
          <w:bCs/>
          <w:sz w:val="22"/>
          <w:szCs w:val="22"/>
        </w:rPr>
        <w:t>Basis &amp; Decision:</w:t>
      </w:r>
      <w:r w:rsidRPr="00173854">
        <w:rPr>
          <w:rFonts w:ascii="Arial" w:hAnsi="Arial" w:cs="Arial"/>
          <w:sz w:val="22"/>
          <w:szCs w:val="22"/>
        </w:rPr>
        <w:t xml:space="preserve"> I decided if call duration affects ratings by running a correlation coefficient between </w:t>
      </w:r>
      <w:proofErr w:type="spellStart"/>
      <w:r w:rsidRPr="00173854">
        <w:rPr>
          <w:rFonts w:ascii="Arial" w:hAnsi="Arial" w:cs="Arial"/>
          <w:sz w:val="22"/>
          <w:szCs w:val="22"/>
        </w:rPr>
        <w:t>timeDuration</w:t>
      </w:r>
      <w:proofErr w:type="spellEnd"/>
      <w:r w:rsidRPr="00173854">
        <w:rPr>
          <w:rFonts w:ascii="Arial" w:hAnsi="Arial" w:cs="Arial"/>
          <w:sz w:val="22"/>
          <w:szCs w:val="22"/>
        </w:rPr>
        <w:t xml:space="preserve"> and rating. The result of </w:t>
      </w:r>
      <w:r w:rsidRPr="00173854">
        <w:rPr>
          <w:rFonts w:ascii="Arial" w:hAnsi="Arial" w:cs="Arial"/>
          <w:b/>
          <w:bCs/>
          <w:sz w:val="22"/>
          <w:szCs w:val="22"/>
        </w:rPr>
        <w:t>-0.0002</w:t>
      </w:r>
      <w:r w:rsidRPr="00173854">
        <w:rPr>
          <w:rFonts w:ascii="Arial" w:hAnsi="Arial" w:cs="Arial"/>
          <w:sz w:val="22"/>
          <w:szCs w:val="22"/>
        </w:rPr>
        <w:t xml:space="preserve"> mathematically proves that call length has </w:t>
      </w:r>
      <w:r w:rsidRPr="00173854">
        <w:rPr>
          <w:rFonts w:ascii="Arial" w:hAnsi="Arial" w:cs="Arial"/>
          <w:i/>
          <w:iCs/>
          <w:sz w:val="22"/>
          <w:szCs w:val="22"/>
        </w:rPr>
        <w:t>no statistical effect</w:t>
      </w:r>
      <w:r w:rsidRPr="00173854">
        <w:rPr>
          <w:rFonts w:ascii="Arial" w:hAnsi="Arial" w:cs="Arial"/>
          <w:sz w:val="22"/>
          <w:szCs w:val="22"/>
        </w:rPr>
        <w:t xml:space="preserve"> on ratings. Concise ~2-minute answers rated just as high (5.0) as longer calls.</w:t>
      </w:r>
    </w:p>
    <w:p w14:paraId="737FCB4B" w14:textId="53E43262" w:rsidR="00C41902" w:rsidRPr="00C41902" w:rsidRDefault="00173854" w:rsidP="00537990">
      <w:pPr>
        <w:spacing w:before="100" w:beforeAutospacing="1" w:after="100" w:afterAutospacing="1" w:line="240" w:lineRule="auto"/>
        <w:ind w:left="720"/>
        <w:rPr>
          <w:rFonts w:eastAsia="Times New Roman"/>
          <w:lang w:val="en-US"/>
        </w:rPr>
      </w:pPr>
      <w:r w:rsidRPr="00173854">
        <w:rPr>
          <w:rFonts w:eastAsia="Times New Roman"/>
          <w:b/>
          <w:bCs/>
          <w:lang w:val="en-US"/>
        </w:rPr>
        <w:t>Agent Variance:</w:t>
      </w:r>
      <w:r w:rsidRPr="00173854">
        <w:rPr>
          <w:rFonts w:eastAsia="Times New Roman"/>
          <w:lang w:val="en-US"/>
        </w:rPr>
        <w:t xml:space="preserve"> The primary driver of satisfaction is individual agent competence, evidenced by a massive 7.50-point rating spread across agents (Astro </w:t>
      </w:r>
      <w:proofErr w:type="spellStart"/>
      <w:r w:rsidRPr="00173854">
        <w:rPr>
          <w:rFonts w:eastAsia="Times New Roman"/>
          <w:lang w:val="en-US"/>
        </w:rPr>
        <w:t>Pujaa</w:t>
      </w:r>
      <w:proofErr w:type="spellEnd"/>
      <w:r w:rsidRPr="00173854">
        <w:rPr>
          <w:rFonts w:eastAsia="Times New Roman"/>
          <w:lang w:val="en-US"/>
        </w:rPr>
        <w:t xml:space="preserve"> Rai at 7.5 vs. Tarot </w:t>
      </w:r>
      <w:proofErr w:type="spellStart"/>
      <w:r w:rsidRPr="00173854">
        <w:rPr>
          <w:rFonts w:eastAsia="Times New Roman"/>
          <w:lang w:val="en-US"/>
        </w:rPr>
        <w:t>Rittika</w:t>
      </w:r>
      <w:proofErr w:type="spellEnd"/>
      <w:r w:rsidRPr="00173854">
        <w:rPr>
          <w:rFonts w:eastAsia="Times New Roman"/>
          <w:lang w:val="en-US"/>
        </w:rPr>
        <w:t xml:space="preserve"> at 0.0).</w:t>
      </w:r>
    </w:p>
    <w:p w14:paraId="00000186" w14:textId="196910A5" w:rsidR="00404919" w:rsidRDefault="00E30665">
      <w:pPr>
        <w:ind w:left="720"/>
        <w:rPr>
          <w:b/>
          <w:bCs/>
        </w:rPr>
      </w:pPr>
      <w:r>
        <w:rPr>
          <w:b/>
          <w:bCs/>
          <w:color w:val="FF0000"/>
          <w:highlight w:val="white"/>
        </w:rPr>
        <w:t>Recommendations:</w:t>
      </w:r>
    </w:p>
    <w:p w14:paraId="17EBD144" w14:textId="47486D6E" w:rsidR="00173854" w:rsidRDefault="00173854" w:rsidP="00173854">
      <w:pPr>
        <w:pStyle w:val="NormalWeb"/>
        <w:ind w:left="720"/>
        <w:rPr>
          <w:rFonts w:ascii="Arial" w:hAnsi="Arial" w:cs="Arial"/>
          <w:sz w:val="22"/>
          <w:szCs w:val="22"/>
        </w:rPr>
      </w:pPr>
      <w:r w:rsidRPr="00173854">
        <w:rPr>
          <w:rFonts w:ascii="Arial" w:hAnsi="Arial" w:cs="Arial"/>
          <w:b/>
          <w:bCs/>
          <w:sz w:val="22"/>
          <w:szCs w:val="22"/>
        </w:rPr>
        <w:t>Shift KPIs to Quality over Time:</w:t>
      </w:r>
      <w:r w:rsidRPr="00173854">
        <w:rPr>
          <w:rFonts w:ascii="Arial" w:hAnsi="Arial" w:cs="Arial"/>
          <w:sz w:val="22"/>
          <w:szCs w:val="22"/>
        </w:rPr>
        <w:t xml:space="preserve"> Do not penalize agents for short calls or push for longer interactions, as duration is completely irrelevant to the customer.</w:t>
      </w:r>
    </w:p>
    <w:p w14:paraId="28D43C16" w14:textId="04D72B81" w:rsidR="00C41902" w:rsidRDefault="00173854" w:rsidP="00C41902">
      <w:pPr>
        <w:pStyle w:val="NormalWeb"/>
        <w:ind w:left="720"/>
        <w:rPr>
          <w:rFonts w:ascii="Arial" w:hAnsi="Arial" w:cs="Arial"/>
          <w:sz w:val="22"/>
          <w:szCs w:val="22"/>
        </w:rPr>
      </w:pPr>
      <w:r w:rsidRPr="00173854">
        <w:rPr>
          <w:rFonts w:ascii="Arial" w:hAnsi="Arial" w:cs="Arial"/>
          <w:b/>
          <w:bCs/>
          <w:sz w:val="22"/>
          <w:szCs w:val="22"/>
        </w:rPr>
        <w:t>Leverage Top Performers:</w:t>
      </w:r>
      <w:r w:rsidRPr="00173854">
        <w:rPr>
          <w:rFonts w:ascii="Arial" w:hAnsi="Arial" w:cs="Arial"/>
          <w:sz w:val="22"/>
          <w:szCs w:val="22"/>
        </w:rPr>
        <w:t xml:space="preserve"> Identify the conversational techniques used by outlier top agents (like Astro </w:t>
      </w:r>
      <w:proofErr w:type="spellStart"/>
      <w:r w:rsidRPr="00173854">
        <w:rPr>
          <w:rFonts w:ascii="Arial" w:hAnsi="Arial" w:cs="Arial"/>
          <w:sz w:val="22"/>
          <w:szCs w:val="22"/>
        </w:rPr>
        <w:t>Pujaa</w:t>
      </w:r>
      <w:proofErr w:type="spellEnd"/>
      <w:r w:rsidRPr="00173854">
        <w:rPr>
          <w:rFonts w:ascii="Arial" w:hAnsi="Arial" w:cs="Arial"/>
          <w:sz w:val="22"/>
          <w:szCs w:val="22"/>
        </w:rPr>
        <w:t xml:space="preserve"> Rai) and integrate them into mandatory training for the bottom quartile of agents to lift the overall 2.81 baseline CSAT score.</w:t>
      </w:r>
    </w:p>
    <w:p w14:paraId="4DAC967B" w14:textId="77777777" w:rsidR="00C41902" w:rsidRPr="00173854" w:rsidRDefault="00C41902" w:rsidP="00C41902">
      <w:pPr>
        <w:pStyle w:val="NormalWeb"/>
        <w:ind w:left="720"/>
        <w:rPr>
          <w:rFonts w:ascii="Arial" w:hAnsi="Arial" w:cs="Arial"/>
          <w:sz w:val="22"/>
          <w:szCs w:val="22"/>
        </w:rPr>
      </w:pPr>
    </w:p>
    <w:p w14:paraId="0000018A" w14:textId="541C9D78" w:rsidR="00404919" w:rsidRDefault="00E30665">
      <w:pPr>
        <w:pStyle w:val="Heading2"/>
        <w:rPr>
          <w:b/>
          <w:bCs/>
          <w:color w:val="FF0000"/>
        </w:rPr>
      </w:pPr>
      <w:bookmarkStart w:id="47" w:name="_l8lcwebv1dm0" w:colFirst="0" w:colLast="0"/>
      <w:bookmarkEnd w:id="47"/>
      <w:r>
        <w:rPr>
          <w:b/>
          <w:bCs/>
          <w:color w:val="FF0000"/>
        </w:rPr>
        <w:t xml:space="preserve">Question 7: How should the call </w:t>
      </w:r>
      <w:proofErr w:type="spellStart"/>
      <w:r>
        <w:rPr>
          <w:b/>
          <w:bCs/>
          <w:color w:val="FF0000"/>
        </w:rPr>
        <w:t>center</w:t>
      </w:r>
      <w:proofErr w:type="spellEnd"/>
      <w:r>
        <w:rPr>
          <w:b/>
          <w:bCs/>
          <w:color w:val="FF0000"/>
        </w:rPr>
        <w:t xml:space="preserve"> balance the workload among agents to ensure optimal performance and avoid burnout?</w:t>
      </w:r>
    </w:p>
    <w:p w14:paraId="0000018B" w14:textId="1DAA1C97" w:rsidR="00404919" w:rsidRDefault="00E30665">
      <w:pPr>
        <w:pStyle w:val="Heading2"/>
      </w:pPr>
      <w:bookmarkStart w:id="48" w:name="_s2ifrs2wtfjy" w:colFirst="0" w:colLast="0"/>
      <w:bookmarkEnd w:id="48"/>
      <w:r>
        <w:rPr>
          <w:b/>
          <w:bCs/>
          <w:color w:val="FF0000"/>
        </w:rPr>
        <w:t>Mention your approach and spreadsheet function for the answer.</w:t>
      </w:r>
    </w:p>
    <w:p w14:paraId="0000018C" w14:textId="274F6CAD" w:rsidR="00404919" w:rsidRDefault="00E30665">
      <w:pPr>
        <w:pStyle w:val="Heading2"/>
        <w:rPr>
          <w:b/>
          <w:bCs/>
        </w:rPr>
      </w:pPr>
      <w:bookmarkStart w:id="49" w:name="_fzkbyjg6o5w" w:colFirst="0" w:colLast="0"/>
      <w:bookmarkEnd w:id="49"/>
      <w:r>
        <w:rPr>
          <w:b/>
          <w:bCs/>
        </w:rPr>
        <w:t>Solution:</w:t>
      </w:r>
    </w:p>
    <w:p w14:paraId="0000018D" w14:textId="77777777" w:rsidR="00404919" w:rsidRDefault="00404919"/>
    <w:p w14:paraId="0000018E" w14:textId="77777777" w:rsidR="00404919" w:rsidRDefault="00E30665">
      <w:pPr>
        <w:ind w:left="720"/>
        <w:rPr>
          <w:b/>
          <w:bCs/>
        </w:rPr>
      </w:pPr>
      <w:r>
        <w:rPr>
          <w:b/>
          <w:bCs/>
          <w:color w:val="FF0000"/>
          <w:highlight w:val="white"/>
        </w:rPr>
        <w:t>Approach:</w:t>
      </w:r>
    </w:p>
    <w:p w14:paraId="00000190" w14:textId="2CFC854F" w:rsidR="00404919" w:rsidRDefault="00173854">
      <w:pPr>
        <w:ind w:left="720"/>
      </w:pPr>
      <w:r>
        <w:t xml:space="preserve">I used </w:t>
      </w:r>
      <w:r>
        <w:rPr>
          <w:b/>
          <w:bCs/>
        </w:rPr>
        <w:t>1 aggregated data table</w:t>
      </w:r>
      <w:r>
        <w:t xml:space="preserve"> and </w:t>
      </w:r>
      <w:r>
        <w:rPr>
          <w:b/>
          <w:bCs/>
        </w:rPr>
        <w:t>1 chart</w:t>
      </w:r>
      <w:r>
        <w:t xml:space="preserve">, utilizing the </w:t>
      </w:r>
      <w:r w:rsidRPr="00FE5B0C">
        <w:rPr>
          <w:rStyle w:val="HTMLCode"/>
          <w:rFonts w:ascii="Arial" w:eastAsia="Arial" w:hAnsi="Arial" w:cs="Arial"/>
          <w:b/>
          <w:bCs/>
        </w:rPr>
        <w:t>MAX</w:t>
      </w:r>
      <w:r w:rsidRPr="00FE5B0C">
        <w:t xml:space="preserve"> </w:t>
      </w:r>
      <w:r>
        <w:t>function (to identify the highest individual workload of 1,060 calls)</w:t>
      </w:r>
      <w:r w:rsidR="00FE5B0C">
        <w:t>,</w:t>
      </w:r>
      <w:r>
        <w:t xml:space="preserve"> the </w:t>
      </w:r>
      <w:r w:rsidRPr="00FE5B0C">
        <w:rPr>
          <w:rStyle w:val="HTMLCode"/>
          <w:rFonts w:ascii="Arial" w:eastAsia="Arial" w:hAnsi="Arial" w:cs="Arial"/>
          <w:b/>
          <w:bCs/>
        </w:rPr>
        <w:t>AVERAGE</w:t>
      </w:r>
      <w:r>
        <w:t xml:space="preserve"> function (to determine the baseline agent workload of ~66.5 calls)</w:t>
      </w:r>
      <w:r w:rsidR="00FE5B0C">
        <w:t xml:space="preserve"> and the </w:t>
      </w:r>
      <w:r w:rsidR="00FE5B0C" w:rsidRPr="00FE5B0C">
        <w:rPr>
          <w:b/>
          <w:bCs/>
        </w:rPr>
        <w:t>SUM</w:t>
      </w:r>
      <w:r w:rsidR="00FE5B0C">
        <w:t xml:space="preserve"> function (to identify the total no of Calls Made 8508)</w:t>
      </w:r>
      <w:r>
        <w:t xml:space="preserve"> </w:t>
      </w:r>
      <w:r w:rsidR="00FE5B0C">
        <w:br/>
      </w:r>
      <w:r>
        <w:t>This allowed me to quantify the severe skew between top-performing star agents and underutilized agents.</w:t>
      </w:r>
    </w:p>
    <w:p w14:paraId="227F4E93" w14:textId="77777777" w:rsidR="00FE5B0C" w:rsidRDefault="00FE5B0C">
      <w:pPr>
        <w:ind w:left="720"/>
      </w:pPr>
    </w:p>
    <w:p w14:paraId="00000191" w14:textId="23BEEA6E" w:rsidR="00404919" w:rsidRDefault="00E30665">
      <w:pPr>
        <w:ind w:left="720"/>
        <w:rPr>
          <w:b/>
          <w:bCs/>
        </w:rPr>
      </w:pPr>
      <w:r>
        <w:rPr>
          <w:b/>
          <w:bCs/>
          <w:color w:val="FF0000"/>
          <w:highlight w:val="white"/>
        </w:rPr>
        <w:t>Charts &amp; Tables:</w:t>
      </w:r>
    </w:p>
    <w:p w14:paraId="00000192" w14:textId="77777777" w:rsidR="00404919" w:rsidRDefault="00E30665">
      <w:pPr>
        <w:ind w:left="720"/>
      </w:pPr>
      <w:r>
        <w:t>- Table / Chart Name:</w:t>
      </w:r>
    </w:p>
    <w:p w14:paraId="00000193" w14:textId="3D42CE51" w:rsidR="00404919" w:rsidRDefault="00E30665" w:rsidP="00537990">
      <w:pPr>
        <w:ind w:left="720"/>
      </w:pPr>
      <w:r>
        <w:t xml:space="preserve">  </w:t>
      </w:r>
      <w:r w:rsidR="00FE5B0C">
        <w:t>1 Summary Table</w:t>
      </w:r>
      <w:r w:rsidR="00537990">
        <w:t xml:space="preserve"> &amp; </w:t>
      </w:r>
      <w:r w:rsidR="00FE5B0C">
        <w:t>1 Horizontal Bar Chart</w:t>
      </w:r>
      <w:r w:rsidR="00FE5B0C" w:rsidRPr="00FE5B0C">
        <w:t xml:space="preserve"> </w:t>
      </w:r>
      <w:r w:rsidR="00FE5B0C">
        <w:t>(Q-7 I Subjective)</w:t>
      </w:r>
    </w:p>
    <w:p w14:paraId="5BFE9F34" w14:textId="7D5E159B" w:rsidR="00FE5B0C" w:rsidRDefault="00797C14">
      <w:pPr>
        <w:ind w:left="720"/>
      </w:pPr>
      <w:r>
        <w:rPr>
          <w:noProof/>
        </w:rPr>
        <w:lastRenderedPageBreak/>
        <w:drawing>
          <wp:anchor distT="0" distB="0" distL="114300" distR="114300" simplePos="0" relativeHeight="251674624" behindDoc="0" locked="0" layoutInCell="1" allowOverlap="1" wp14:anchorId="1D6FCEB3" wp14:editId="17A3FBFD">
            <wp:simplePos x="0" y="0"/>
            <wp:positionH relativeFrom="column">
              <wp:posOffset>-866775</wp:posOffset>
            </wp:positionH>
            <wp:positionV relativeFrom="paragraph">
              <wp:posOffset>-859486</wp:posOffset>
            </wp:positionV>
            <wp:extent cx="7465722" cy="2120193"/>
            <wp:effectExtent l="0" t="0" r="190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465722" cy="2120193"/>
                    </a:xfrm>
                    <a:prstGeom prst="rect">
                      <a:avLst/>
                    </a:prstGeom>
                    <a:noFill/>
                  </pic:spPr>
                </pic:pic>
              </a:graphicData>
            </a:graphic>
            <wp14:sizeRelH relativeFrom="margin">
              <wp14:pctWidth>0</wp14:pctWidth>
            </wp14:sizeRelH>
            <wp14:sizeRelV relativeFrom="margin">
              <wp14:pctHeight>0</wp14:pctHeight>
            </wp14:sizeRelV>
          </wp:anchor>
        </w:drawing>
      </w:r>
    </w:p>
    <w:p w14:paraId="5B174E0B" w14:textId="6DF66E28" w:rsidR="00FE5B0C" w:rsidRDefault="00FE5B0C">
      <w:pPr>
        <w:ind w:left="720"/>
      </w:pPr>
    </w:p>
    <w:p w14:paraId="5EC3899F" w14:textId="148CFE53" w:rsidR="000D6F62" w:rsidRDefault="000D6F62">
      <w:pPr>
        <w:ind w:left="720"/>
      </w:pPr>
    </w:p>
    <w:p w14:paraId="0BC82EE7" w14:textId="4724FD59" w:rsidR="000D6F62" w:rsidRDefault="000D6F62">
      <w:pPr>
        <w:ind w:left="720"/>
      </w:pPr>
    </w:p>
    <w:p w14:paraId="5D12C3C2" w14:textId="73F959EA" w:rsidR="000D6F62" w:rsidRDefault="000D6F62">
      <w:pPr>
        <w:ind w:left="720"/>
      </w:pPr>
    </w:p>
    <w:p w14:paraId="20BCA1AE" w14:textId="531ADEED" w:rsidR="000D6F62" w:rsidRDefault="000D6F62">
      <w:pPr>
        <w:ind w:left="720"/>
      </w:pPr>
    </w:p>
    <w:p w14:paraId="394DFD85" w14:textId="0C8C2139" w:rsidR="00611129" w:rsidRDefault="00611129" w:rsidP="00797C14"/>
    <w:p w14:paraId="76E3485E" w14:textId="77777777" w:rsidR="00797C14" w:rsidRDefault="00797C14" w:rsidP="00797C14"/>
    <w:p w14:paraId="00000194" w14:textId="0E1E3E70" w:rsidR="00404919" w:rsidRDefault="00E30665">
      <w:pPr>
        <w:ind w:left="720"/>
      </w:pPr>
      <w:r>
        <w:t>- Description:</w:t>
      </w:r>
    </w:p>
    <w:p w14:paraId="7A1CDF3F" w14:textId="53910857" w:rsidR="00FE5B0C" w:rsidRDefault="00FE5B0C" w:rsidP="00FE5B0C">
      <w:pPr>
        <w:ind w:left="720"/>
      </w:pPr>
      <w:r>
        <w:t xml:space="preserve">The </w:t>
      </w:r>
      <w:r>
        <w:rPr>
          <w:b/>
          <w:bCs/>
        </w:rPr>
        <w:t>Pivot table</w:t>
      </w:r>
      <w:r>
        <w:t xml:space="preserve"> summarizes the workload concentration, highlighting the call volumes of the Top 10 versus the Bottom 10 agents. </w:t>
      </w:r>
    </w:p>
    <w:p w14:paraId="00000195" w14:textId="55D64839" w:rsidR="00404919" w:rsidRDefault="00FE5B0C" w:rsidP="00FE5B0C">
      <w:pPr>
        <w:ind w:left="720"/>
      </w:pPr>
      <w:r>
        <w:t xml:space="preserve">The </w:t>
      </w:r>
      <w:r>
        <w:rPr>
          <w:b/>
          <w:bCs/>
        </w:rPr>
        <w:t>Horizontal bar chart</w:t>
      </w:r>
      <w:r>
        <w:t xml:space="preserve"> visually contrasts this massive volume disparity, illustrating the extreme skew where a single agent handles significantly more traffic than dozens of lower-tier agents combined.</w:t>
      </w:r>
    </w:p>
    <w:p w14:paraId="00000196" w14:textId="77777777" w:rsidR="00404919" w:rsidRDefault="00404919">
      <w:pPr>
        <w:ind w:left="720"/>
      </w:pPr>
    </w:p>
    <w:p w14:paraId="00000197" w14:textId="77777777" w:rsidR="00404919" w:rsidRDefault="00E30665">
      <w:pPr>
        <w:ind w:left="720"/>
        <w:rPr>
          <w:b/>
          <w:bCs/>
        </w:rPr>
      </w:pPr>
      <w:r>
        <w:rPr>
          <w:b/>
          <w:bCs/>
          <w:color w:val="FF0000"/>
          <w:highlight w:val="white"/>
        </w:rPr>
        <w:t>Insights:</w:t>
      </w:r>
    </w:p>
    <w:p w14:paraId="7C695C3D" w14:textId="183B2B52" w:rsidR="00FE5B0C" w:rsidRPr="00FE5B0C" w:rsidRDefault="00FE5B0C" w:rsidP="00FE5B0C">
      <w:pPr>
        <w:pStyle w:val="NormalWeb"/>
        <w:ind w:left="720"/>
        <w:rPr>
          <w:rFonts w:ascii="Arial" w:hAnsi="Arial" w:cs="Arial"/>
          <w:sz w:val="22"/>
          <w:szCs w:val="22"/>
        </w:rPr>
      </w:pPr>
      <w:r w:rsidRPr="00FE5B0C">
        <w:rPr>
          <w:rFonts w:ascii="Arial" w:hAnsi="Arial" w:cs="Arial"/>
          <w:b/>
          <w:bCs/>
          <w:sz w:val="22"/>
          <w:szCs w:val="22"/>
        </w:rPr>
        <w:t>Severe Workload Bottlenecks:</w:t>
      </w:r>
      <w:r w:rsidRPr="00FE5B0C">
        <w:rPr>
          <w:rFonts w:ascii="Arial" w:hAnsi="Arial" w:cs="Arial"/>
          <w:sz w:val="22"/>
          <w:szCs w:val="22"/>
        </w:rPr>
        <w:t xml:space="preserve"> The workload distribution is highly uneven. While the average is ~66.5 calls per agent, the top agent (Astro Shalini) handled 1,060 calls.</w:t>
      </w:r>
    </w:p>
    <w:p w14:paraId="71049CF3" w14:textId="2B1000CB" w:rsidR="00FE5B0C" w:rsidRPr="00FE5B0C" w:rsidRDefault="00FE5B0C" w:rsidP="00FE5B0C">
      <w:pPr>
        <w:spacing w:before="100" w:beforeAutospacing="1" w:after="100" w:afterAutospacing="1" w:line="240" w:lineRule="auto"/>
        <w:ind w:left="720"/>
        <w:rPr>
          <w:rFonts w:eastAsia="Times New Roman"/>
          <w:lang w:val="en-US"/>
        </w:rPr>
      </w:pPr>
      <w:r w:rsidRPr="00FE5B0C">
        <w:rPr>
          <w:rFonts w:eastAsia="Times New Roman"/>
          <w:b/>
          <w:bCs/>
          <w:lang w:val="en-US"/>
        </w:rPr>
        <w:t>High Burnout Risk:</w:t>
      </w:r>
      <w:r w:rsidRPr="00FE5B0C">
        <w:rPr>
          <w:rFonts w:eastAsia="Times New Roman"/>
          <w:lang w:val="en-US"/>
        </w:rPr>
        <w:t xml:space="preserve"> Relying on a tiny fraction of top agents to process massive chunks of the total call volume is unsustainable. It guarantees rapid burnout for top revenue generators while leaving the bottom tier completely underutilized.</w:t>
      </w:r>
    </w:p>
    <w:p w14:paraId="00000199" w14:textId="5905FBCE" w:rsidR="00404919" w:rsidRDefault="00404919">
      <w:pPr>
        <w:ind w:left="720"/>
      </w:pPr>
    </w:p>
    <w:p w14:paraId="0000019A" w14:textId="77777777" w:rsidR="00404919" w:rsidRDefault="00E30665">
      <w:pPr>
        <w:ind w:left="720"/>
        <w:rPr>
          <w:b/>
          <w:bCs/>
        </w:rPr>
      </w:pPr>
      <w:r>
        <w:rPr>
          <w:b/>
          <w:bCs/>
          <w:color w:val="FF0000"/>
          <w:highlight w:val="white"/>
        </w:rPr>
        <w:t>Recommendations:</w:t>
      </w:r>
    </w:p>
    <w:p w14:paraId="35AB3CF8" w14:textId="1FFB45D0" w:rsidR="00FE5B0C" w:rsidRPr="00FE5B0C" w:rsidRDefault="00FE5B0C" w:rsidP="00FE5B0C">
      <w:pPr>
        <w:pStyle w:val="NormalWeb"/>
        <w:ind w:left="720"/>
        <w:rPr>
          <w:rFonts w:ascii="Arial" w:hAnsi="Arial" w:cs="Arial"/>
          <w:sz w:val="22"/>
          <w:szCs w:val="22"/>
        </w:rPr>
      </w:pPr>
      <w:r w:rsidRPr="00FE5B0C">
        <w:rPr>
          <w:rFonts w:ascii="Arial" w:hAnsi="Arial" w:cs="Arial"/>
          <w:b/>
          <w:bCs/>
          <w:sz w:val="22"/>
          <w:szCs w:val="22"/>
        </w:rPr>
        <w:t>Implement Smart-Routing Algorithms:</w:t>
      </w:r>
      <w:r w:rsidRPr="00FE5B0C">
        <w:rPr>
          <w:rFonts w:ascii="Arial" w:hAnsi="Arial" w:cs="Arial"/>
          <w:sz w:val="22"/>
          <w:szCs w:val="22"/>
        </w:rPr>
        <w:t xml:space="preserve"> Shift away from letting all volume flow natively to the most popular gurus. Distribute baseline or generalized queries evenly to lower-volume agents.</w:t>
      </w:r>
    </w:p>
    <w:p w14:paraId="054ED76E" w14:textId="05B1FCC8" w:rsidR="00FE5B0C" w:rsidRPr="00FE5B0C" w:rsidRDefault="00FE5B0C" w:rsidP="00FE5B0C">
      <w:pPr>
        <w:spacing w:before="100" w:beforeAutospacing="1" w:after="100" w:afterAutospacing="1" w:line="240" w:lineRule="auto"/>
        <w:ind w:left="720"/>
        <w:rPr>
          <w:rFonts w:eastAsia="Times New Roman"/>
          <w:lang w:val="en-US"/>
        </w:rPr>
      </w:pPr>
      <w:r w:rsidRPr="00FE5B0C">
        <w:rPr>
          <w:rFonts w:eastAsia="Times New Roman"/>
          <w:b/>
          <w:bCs/>
          <w:lang w:val="en-US"/>
        </w:rPr>
        <w:t>Mandatory Daily Thresholds:</w:t>
      </w:r>
      <w:r w:rsidRPr="00FE5B0C">
        <w:rPr>
          <w:rFonts w:eastAsia="Times New Roman"/>
          <w:lang w:val="en-US"/>
        </w:rPr>
        <w:t xml:space="preserve"> Institute a volume cap or mandatory cool-down periods for agents who exceed a specific daily threshold of active calls to physically prevent burnout.</w:t>
      </w:r>
    </w:p>
    <w:p w14:paraId="0000019B" w14:textId="3CAB4890" w:rsidR="00404919" w:rsidRDefault="00404919">
      <w:pPr>
        <w:ind w:left="720"/>
      </w:pPr>
    </w:p>
    <w:p w14:paraId="0000019C" w14:textId="77777777" w:rsidR="00404919" w:rsidRDefault="00404919"/>
    <w:p w14:paraId="0000019D" w14:textId="457DD60F" w:rsidR="00404919" w:rsidRDefault="00404919"/>
    <w:p w14:paraId="74A98DBB" w14:textId="4BE139E4" w:rsidR="00537990" w:rsidRDefault="00537990">
      <w:pPr>
        <w:pStyle w:val="Heading2"/>
        <w:rPr>
          <w:b/>
          <w:bCs/>
          <w:color w:val="FF0000"/>
        </w:rPr>
      </w:pPr>
      <w:bookmarkStart w:id="50" w:name="_11938p744swi" w:colFirst="0" w:colLast="0"/>
      <w:bookmarkEnd w:id="50"/>
      <w:r>
        <w:rPr>
          <w:b/>
          <w:bCs/>
          <w:color w:val="FF0000"/>
        </w:rPr>
        <w:t xml:space="preserve"> </w:t>
      </w:r>
    </w:p>
    <w:p w14:paraId="1A76BE3E" w14:textId="77777777" w:rsidR="00537990" w:rsidRPr="00537990" w:rsidRDefault="00537990" w:rsidP="00537990"/>
    <w:p w14:paraId="0000019E" w14:textId="7F492C73" w:rsidR="00404919" w:rsidRDefault="00E30665">
      <w:pPr>
        <w:pStyle w:val="Heading2"/>
      </w:pPr>
      <w:r>
        <w:rPr>
          <w:b/>
          <w:bCs/>
          <w:color w:val="FF0000"/>
        </w:rPr>
        <w:lastRenderedPageBreak/>
        <w:t xml:space="preserve">Question 8: What new technologies or tools could be implemented to enhance call </w:t>
      </w:r>
      <w:proofErr w:type="spellStart"/>
      <w:r>
        <w:rPr>
          <w:b/>
          <w:bCs/>
          <w:color w:val="FF0000"/>
        </w:rPr>
        <w:t>center</w:t>
      </w:r>
      <w:proofErr w:type="spellEnd"/>
      <w:r>
        <w:rPr>
          <w:b/>
          <w:bCs/>
          <w:color w:val="FF0000"/>
        </w:rPr>
        <w:t xml:space="preserve"> operations and customer service?</w:t>
      </w:r>
    </w:p>
    <w:p w14:paraId="0000019F" w14:textId="77777777" w:rsidR="00404919" w:rsidRDefault="00404919"/>
    <w:p w14:paraId="000001A0" w14:textId="77777777" w:rsidR="00404919" w:rsidRDefault="00E30665">
      <w:pPr>
        <w:pStyle w:val="Heading2"/>
        <w:rPr>
          <w:b/>
          <w:bCs/>
        </w:rPr>
      </w:pPr>
      <w:bookmarkStart w:id="51" w:name="_y8agc5juf465" w:colFirst="0" w:colLast="0"/>
      <w:bookmarkEnd w:id="51"/>
      <w:r>
        <w:rPr>
          <w:b/>
          <w:bCs/>
        </w:rPr>
        <w:t>Solution:</w:t>
      </w:r>
    </w:p>
    <w:p w14:paraId="000001A1" w14:textId="77777777" w:rsidR="00404919" w:rsidRDefault="00404919"/>
    <w:p w14:paraId="000001A2" w14:textId="77777777" w:rsidR="00404919" w:rsidRDefault="00E30665">
      <w:pPr>
        <w:ind w:left="720"/>
        <w:rPr>
          <w:b/>
          <w:bCs/>
        </w:rPr>
      </w:pPr>
      <w:r>
        <w:rPr>
          <w:b/>
          <w:bCs/>
          <w:color w:val="FF0000"/>
          <w:highlight w:val="white"/>
        </w:rPr>
        <w:t>Approach:</w:t>
      </w:r>
    </w:p>
    <w:p w14:paraId="000001A4" w14:textId="33EE9B4C" w:rsidR="00404919" w:rsidRDefault="003B1412" w:rsidP="000D6F62">
      <w:pPr>
        <w:ind w:left="720"/>
      </w:pPr>
      <w:r>
        <w:t xml:space="preserve">I used </w:t>
      </w:r>
      <w:r>
        <w:rPr>
          <w:b/>
          <w:bCs/>
        </w:rPr>
        <w:t>1 aggregated data table</w:t>
      </w:r>
      <w:r>
        <w:t xml:space="preserve"> and </w:t>
      </w:r>
      <w:r>
        <w:rPr>
          <w:b/>
          <w:bCs/>
        </w:rPr>
        <w:t>1 chart</w:t>
      </w:r>
      <w:r>
        <w:t xml:space="preserve">, utilizing the </w:t>
      </w:r>
      <w:r>
        <w:rPr>
          <w:rStyle w:val="HTMLCode"/>
          <w:rFonts w:eastAsia="Arial"/>
          <w:b/>
          <w:bCs/>
        </w:rPr>
        <w:t>COUNT</w:t>
      </w:r>
      <w:r>
        <w:t xml:space="preserve"> function to </w:t>
      </w:r>
      <w:proofErr w:type="spellStart"/>
      <w:r>
        <w:t>analyze</w:t>
      </w:r>
      <w:proofErr w:type="spellEnd"/>
      <w:r>
        <w:t xml:space="preserve"> the </w:t>
      </w:r>
      <w:proofErr w:type="spellStart"/>
      <w:r w:rsidRPr="003B1412">
        <w:rPr>
          <w:rStyle w:val="HTMLCode"/>
          <w:rFonts w:ascii="Arial" w:eastAsia="Arial" w:hAnsi="Arial" w:cs="Arial"/>
          <w:b/>
          <w:bCs/>
        </w:rPr>
        <w:t>callStatus</w:t>
      </w:r>
      <w:proofErr w:type="spellEnd"/>
      <w:r>
        <w:t xml:space="preserve"> distribution specifically across voice interactions. This allowed me to pinpoint exact infrastructure friction points</w:t>
      </w:r>
      <w:r w:rsidR="000D6F62">
        <w:t xml:space="preserve"> (</w:t>
      </w:r>
      <w:r>
        <w:t>like uncompleted or dropped calls</w:t>
      </w:r>
      <w:r w:rsidR="000D6F62">
        <w:t xml:space="preserve">) </w:t>
      </w:r>
      <w:r>
        <w:t>that justify new technology investments.</w:t>
      </w:r>
    </w:p>
    <w:p w14:paraId="6F802263" w14:textId="77777777" w:rsidR="003B1412" w:rsidRDefault="003B1412">
      <w:pPr>
        <w:ind w:left="720"/>
      </w:pPr>
    </w:p>
    <w:p w14:paraId="000001A5" w14:textId="77777777" w:rsidR="00404919" w:rsidRDefault="00E30665">
      <w:pPr>
        <w:ind w:left="720"/>
        <w:rPr>
          <w:b/>
          <w:bCs/>
        </w:rPr>
      </w:pPr>
      <w:r>
        <w:rPr>
          <w:b/>
          <w:bCs/>
          <w:color w:val="FF0000"/>
          <w:highlight w:val="white"/>
        </w:rPr>
        <w:t>Charts &amp; Tables:</w:t>
      </w:r>
    </w:p>
    <w:p w14:paraId="000001A6" w14:textId="77777777" w:rsidR="00404919" w:rsidRDefault="00E30665">
      <w:pPr>
        <w:ind w:left="720"/>
      </w:pPr>
      <w:r>
        <w:t>- Table / Chart Name:</w:t>
      </w:r>
    </w:p>
    <w:p w14:paraId="63BE3ABD" w14:textId="42686447" w:rsidR="000D6F62" w:rsidRDefault="00E30665">
      <w:pPr>
        <w:ind w:left="720"/>
      </w:pPr>
      <w:r>
        <w:t xml:space="preserve">  </w:t>
      </w:r>
      <w:r w:rsidR="000D6F62">
        <w:t>Q-8 I Subjective (A Data Table and a Horizontal Bar Chart)</w:t>
      </w:r>
    </w:p>
    <w:p w14:paraId="591297EB" w14:textId="04D243AE" w:rsidR="000D6F62" w:rsidRDefault="00C41902">
      <w:pPr>
        <w:ind w:left="720"/>
      </w:pPr>
      <w:r>
        <w:rPr>
          <w:noProof/>
        </w:rPr>
        <w:drawing>
          <wp:anchor distT="0" distB="0" distL="114300" distR="114300" simplePos="0" relativeHeight="251664384" behindDoc="0" locked="0" layoutInCell="1" allowOverlap="1" wp14:anchorId="4C4299D2" wp14:editId="11589FC2">
            <wp:simplePos x="0" y="0"/>
            <wp:positionH relativeFrom="margin">
              <wp:align>left</wp:align>
            </wp:positionH>
            <wp:positionV relativeFrom="paragraph">
              <wp:posOffset>185144</wp:posOffset>
            </wp:positionV>
            <wp:extent cx="5971430" cy="370332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974232" cy="3705058"/>
                    </a:xfrm>
                    <a:prstGeom prst="rect">
                      <a:avLst/>
                    </a:prstGeom>
                  </pic:spPr>
                </pic:pic>
              </a:graphicData>
            </a:graphic>
            <wp14:sizeRelH relativeFrom="margin">
              <wp14:pctWidth>0</wp14:pctWidth>
            </wp14:sizeRelH>
            <wp14:sizeRelV relativeFrom="margin">
              <wp14:pctHeight>0</wp14:pctHeight>
            </wp14:sizeRelV>
          </wp:anchor>
        </w:drawing>
      </w:r>
    </w:p>
    <w:p w14:paraId="71721649" w14:textId="6F8CBA41" w:rsidR="000D6F62" w:rsidRDefault="000D6F62">
      <w:pPr>
        <w:ind w:left="720"/>
      </w:pPr>
    </w:p>
    <w:p w14:paraId="34946040" w14:textId="7F0F23C2" w:rsidR="000D6F62" w:rsidRDefault="000D6F62">
      <w:pPr>
        <w:ind w:left="720"/>
      </w:pPr>
    </w:p>
    <w:p w14:paraId="3B510609" w14:textId="7284424B" w:rsidR="000D6F62" w:rsidRDefault="000D6F62">
      <w:pPr>
        <w:ind w:left="720"/>
      </w:pPr>
    </w:p>
    <w:p w14:paraId="68056A48" w14:textId="463E97CA" w:rsidR="000D6F62" w:rsidRDefault="000D6F62">
      <w:pPr>
        <w:ind w:left="720"/>
      </w:pPr>
    </w:p>
    <w:p w14:paraId="3B432258" w14:textId="399C16DC" w:rsidR="000D6F62" w:rsidRDefault="000D6F62">
      <w:pPr>
        <w:ind w:left="720"/>
      </w:pPr>
    </w:p>
    <w:p w14:paraId="48B257C2" w14:textId="61E4996C" w:rsidR="000D6F62" w:rsidRDefault="000D6F62">
      <w:pPr>
        <w:ind w:left="720"/>
      </w:pPr>
    </w:p>
    <w:p w14:paraId="576C7951" w14:textId="5012AEEE" w:rsidR="000D6F62" w:rsidRDefault="000D6F62">
      <w:pPr>
        <w:ind w:left="720"/>
      </w:pPr>
    </w:p>
    <w:p w14:paraId="28DCF084" w14:textId="3F03BBEA" w:rsidR="000D6F62" w:rsidRDefault="000D6F62">
      <w:pPr>
        <w:ind w:left="720"/>
      </w:pPr>
    </w:p>
    <w:p w14:paraId="0D4CD02F" w14:textId="4B4E92AA" w:rsidR="000D6F62" w:rsidRDefault="000D6F62">
      <w:pPr>
        <w:ind w:left="720"/>
      </w:pPr>
    </w:p>
    <w:p w14:paraId="40927794" w14:textId="77777777" w:rsidR="000D6F62" w:rsidRDefault="000D6F62">
      <w:pPr>
        <w:ind w:left="720"/>
      </w:pPr>
    </w:p>
    <w:p w14:paraId="450D4526" w14:textId="77777777" w:rsidR="000D6F62" w:rsidRDefault="000D6F62">
      <w:pPr>
        <w:ind w:left="720"/>
      </w:pPr>
    </w:p>
    <w:p w14:paraId="2F2B1FC3" w14:textId="77777777" w:rsidR="000D6F62" w:rsidRDefault="000D6F62">
      <w:pPr>
        <w:ind w:left="720"/>
      </w:pPr>
    </w:p>
    <w:p w14:paraId="64FFF2D4" w14:textId="77777777" w:rsidR="000D6F62" w:rsidRDefault="000D6F62">
      <w:pPr>
        <w:ind w:left="720"/>
      </w:pPr>
    </w:p>
    <w:p w14:paraId="6BC37C3A" w14:textId="77777777" w:rsidR="000D6F62" w:rsidRDefault="000D6F62">
      <w:pPr>
        <w:ind w:left="720"/>
      </w:pPr>
    </w:p>
    <w:p w14:paraId="1A8F577A" w14:textId="77777777" w:rsidR="000D6F62" w:rsidRDefault="000D6F62">
      <w:pPr>
        <w:ind w:left="720"/>
      </w:pPr>
    </w:p>
    <w:p w14:paraId="2B5B2BF9" w14:textId="77777777" w:rsidR="000D6F62" w:rsidRDefault="000D6F62">
      <w:pPr>
        <w:ind w:left="720"/>
      </w:pPr>
    </w:p>
    <w:p w14:paraId="7834D980" w14:textId="77777777" w:rsidR="00C41902" w:rsidRDefault="00C41902">
      <w:pPr>
        <w:ind w:left="720"/>
      </w:pPr>
    </w:p>
    <w:p w14:paraId="061E47A5" w14:textId="77777777" w:rsidR="00C41902" w:rsidRDefault="00C41902">
      <w:pPr>
        <w:ind w:left="720"/>
      </w:pPr>
    </w:p>
    <w:p w14:paraId="0E86D5C3" w14:textId="77777777" w:rsidR="00C41902" w:rsidRDefault="00C41902">
      <w:pPr>
        <w:ind w:left="720"/>
      </w:pPr>
    </w:p>
    <w:p w14:paraId="0EEA6014" w14:textId="77777777" w:rsidR="00C41902" w:rsidRDefault="00C41902">
      <w:pPr>
        <w:ind w:left="720"/>
      </w:pPr>
    </w:p>
    <w:p w14:paraId="22B87A00" w14:textId="77777777" w:rsidR="00C41902" w:rsidRDefault="00C41902">
      <w:pPr>
        <w:ind w:left="720"/>
      </w:pPr>
    </w:p>
    <w:p w14:paraId="57CAA67D" w14:textId="77777777" w:rsidR="00797C14" w:rsidRDefault="00797C14">
      <w:pPr>
        <w:ind w:left="720"/>
      </w:pPr>
    </w:p>
    <w:p w14:paraId="000001A8" w14:textId="5AC1CC62" w:rsidR="00404919" w:rsidRDefault="00E30665">
      <w:pPr>
        <w:ind w:left="720"/>
      </w:pPr>
      <w:r>
        <w:t>- Description:</w:t>
      </w:r>
    </w:p>
    <w:p w14:paraId="44796697" w14:textId="7432FFD7" w:rsidR="000D6F62" w:rsidRDefault="000D6F62" w:rsidP="000D6F62">
      <w:pPr>
        <w:ind w:left="720"/>
      </w:pPr>
      <w:r>
        <w:t xml:space="preserve">The </w:t>
      </w:r>
      <w:r>
        <w:rPr>
          <w:b/>
          <w:bCs/>
        </w:rPr>
        <w:t>Data Table</w:t>
      </w:r>
      <w:r>
        <w:t xml:space="preserve"> summarizes the raw frequency of each connection outcome. </w:t>
      </w:r>
    </w:p>
    <w:p w14:paraId="000001AA" w14:textId="6F186BCB" w:rsidR="00404919" w:rsidRDefault="000D6F62" w:rsidP="000D6F62">
      <w:pPr>
        <w:ind w:left="720"/>
      </w:pPr>
      <w:r>
        <w:t>The</w:t>
      </w:r>
      <w:r>
        <w:rPr>
          <w:b/>
          <w:bCs/>
        </w:rPr>
        <w:t xml:space="preserve"> bar chart</w:t>
      </w:r>
      <w:r>
        <w:t xml:space="preserve"> visually highlights the alarming volume of 'no-answer', 'busy', and 'failed' interactions compared to successfully 'completed' calls.</w:t>
      </w:r>
    </w:p>
    <w:p w14:paraId="38021C5D" w14:textId="0174068D" w:rsidR="000D6F62" w:rsidRDefault="000D6F62" w:rsidP="000D6F62">
      <w:pPr>
        <w:ind w:left="720"/>
      </w:pPr>
    </w:p>
    <w:p w14:paraId="272901D0" w14:textId="77777777" w:rsidR="00537990" w:rsidRDefault="00537990">
      <w:pPr>
        <w:ind w:left="720"/>
        <w:rPr>
          <w:b/>
          <w:bCs/>
          <w:color w:val="FF0000"/>
          <w:highlight w:val="white"/>
        </w:rPr>
      </w:pPr>
    </w:p>
    <w:p w14:paraId="000001AB" w14:textId="70AC904E" w:rsidR="00404919" w:rsidRDefault="00E30665">
      <w:pPr>
        <w:ind w:left="720"/>
        <w:rPr>
          <w:b/>
          <w:bCs/>
        </w:rPr>
      </w:pPr>
      <w:r>
        <w:rPr>
          <w:b/>
          <w:bCs/>
          <w:color w:val="FF0000"/>
          <w:highlight w:val="white"/>
        </w:rPr>
        <w:lastRenderedPageBreak/>
        <w:t>Insights:</w:t>
      </w:r>
    </w:p>
    <w:p w14:paraId="5D82F4C5" w14:textId="5E7582BB" w:rsidR="000D6F62" w:rsidRPr="000D6F62" w:rsidRDefault="000D6F62" w:rsidP="00745DC3">
      <w:pPr>
        <w:pStyle w:val="NormalWeb"/>
        <w:ind w:left="720"/>
        <w:rPr>
          <w:rFonts w:ascii="Arial" w:hAnsi="Arial" w:cs="Arial"/>
          <w:sz w:val="22"/>
          <w:szCs w:val="22"/>
        </w:rPr>
      </w:pPr>
      <w:r w:rsidRPr="000D6F62">
        <w:rPr>
          <w:rFonts w:ascii="Arial" w:hAnsi="Arial" w:cs="Arial"/>
          <w:b/>
          <w:bCs/>
          <w:sz w:val="22"/>
          <w:szCs w:val="22"/>
        </w:rPr>
        <w:t>High Connection Friction:</w:t>
      </w:r>
      <w:r w:rsidRPr="000D6F62">
        <w:rPr>
          <w:rFonts w:ascii="Arial" w:hAnsi="Arial" w:cs="Arial"/>
          <w:sz w:val="22"/>
          <w:szCs w:val="22"/>
        </w:rPr>
        <w:t xml:space="preserve"> More than 50% of voice attempts fail to connect successfully resulting in a status of 'no-answer', 'busy', or 'failed'. This indicates severe telecom bottlenecks and poor queue management.</w:t>
      </w:r>
    </w:p>
    <w:p w14:paraId="42A1A236" w14:textId="5AAC13CE" w:rsidR="00C41902" w:rsidRPr="00C41902" w:rsidRDefault="000D6F62" w:rsidP="00C41902">
      <w:pPr>
        <w:spacing w:before="100" w:beforeAutospacing="1" w:after="100" w:afterAutospacing="1" w:line="240" w:lineRule="auto"/>
        <w:ind w:left="720"/>
        <w:rPr>
          <w:rFonts w:eastAsia="Times New Roman"/>
          <w:lang w:val="en-US"/>
        </w:rPr>
      </w:pPr>
      <w:r w:rsidRPr="000D6F62">
        <w:rPr>
          <w:rFonts w:eastAsia="Times New Roman"/>
          <w:b/>
          <w:bCs/>
          <w:lang w:val="en-US"/>
        </w:rPr>
        <w:t>Automation Gaps:</w:t>
      </w:r>
      <w:r w:rsidRPr="000D6F62">
        <w:rPr>
          <w:rFonts w:eastAsia="Times New Roman"/>
          <w:lang w:val="en-US"/>
        </w:rPr>
        <w:t xml:space="preserve"> A massive portion of overall platform interactions occur via text (chat), representing a prime, untapped target for conversational automation before live agents are required.</w:t>
      </w:r>
    </w:p>
    <w:p w14:paraId="45C0AA94" w14:textId="77777777" w:rsidR="00745DC3" w:rsidRDefault="00E30665" w:rsidP="00745DC3">
      <w:pPr>
        <w:ind w:left="720"/>
        <w:rPr>
          <w:b/>
          <w:bCs/>
          <w:color w:val="FF0000"/>
        </w:rPr>
      </w:pPr>
      <w:r>
        <w:rPr>
          <w:b/>
          <w:bCs/>
          <w:color w:val="FF0000"/>
          <w:highlight w:val="white"/>
        </w:rPr>
        <w:t>Recommendations:</w:t>
      </w:r>
    </w:p>
    <w:p w14:paraId="7F2E0DD1" w14:textId="77777777" w:rsidR="00745DC3" w:rsidRDefault="00745DC3" w:rsidP="00745DC3">
      <w:pPr>
        <w:ind w:left="720"/>
        <w:rPr>
          <w:b/>
          <w:bCs/>
          <w:color w:val="FF0000"/>
        </w:rPr>
      </w:pPr>
    </w:p>
    <w:p w14:paraId="07F2C73F" w14:textId="0B5CB8E6" w:rsidR="00745DC3" w:rsidRPr="00745DC3" w:rsidRDefault="00745DC3" w:rsidP="00745DC3">
      <w:pPr>
        <w:ind w:left="720"/>
        <w:rPr>
          <w:b/>
          <w:bCs/>
        </w:rPr>
      </w:pPr>
      <w:r w:rsidRPr="000D6F62">
        <w:t>Virtual</w:t>
      </w:r>
      <w:r w:rsidR="000D6F62" w:rsidRPr="000D6F62">
        <w:rPr>
          <w:b/>
          <w:bCs/>
        </w:rPr>
        <w:t xml:space="preserve"> </w:t>
      </w:r>
      <w:proofErr w:type="spellStart"/>
      <w:r w:rsidR="000D6F62" w:rsidRPr="000D6F62">
        <w:rPr>
          <w:b/>
          <w:bCs/>
        </w:rPr>
        <w:t>Callback</w:t>
      </w:r>
      <w:proofErr w:type="spellEnd"/>
      <w:r w:rsidR="000D6F62" w:rsidRPr="000D6F62">
        <w:rPr>
          <w:b/>
          <w:bCs/>
        </w:rPr>
        <w:t xml:space="preserve"> &amp; Smart IVR Tech:</w:t>
      </w:r>
      <w:r w:rsidR="000D6F62" w:rsidRPr="000D6F62">
        <w:t xml:space="preserve"> Implement an intelligent IVR queue system. When all lines are busy, the system should allow customers to hold their place in line via an automated callback rather than returning a "busy" or "failed" signal.</w:t>
      </w:r>
    </w:p>
    <w:p w14:paraId="28254A25" w14:textId="4C5F880A" w:rsidR="000D6F62" w:rsidRPr="000D6F62" w:rsidRDefault="000D6F62" w:rsidP="00745DC3">
      <w:pPr>
        <w:pStyle w:val="NormalWeb"/>
        <w:ind w:left="720"/>
        <w:rPr>
          <w:rFonts w:ascii="Arial" w:hAnsi="Arial" w:cs="Arial"/>
          <w:sz w:val="22"/>
          <w:szCs w:val="22"/>
        </w:rPr>
      </w:pPr>
      <w:r w:rsidRPr="000D6F62">
        <w:rPr>
          <w:rFonts w:ascii="Arial" w:hAnsi="Arial" w:cs="Arial"/>
          <w:b/>
          <w:bCs/>
          <w:sz w:val="22"/>
          <w:szCs w:val="22"/>
        </w:rPr>
        <w:t>AI Triage Chatbots:</w:t>
      </w:r>
      <w:r w:rsidRPr="000D6F62">
        <w:rPr>
          <w:rFonts w:ascii="Arial" w:hAnsi="Arial" w:cs="Arial"/>
          <w:sz w:val="22"/>
          <w:szCs w:val="22"/>
        </w:rPr>
        <w:t xml:space="preserve"> Deploy NLP-driven AI chatbots to handle initial greetings, customer intake, and simple text-based queries to reduce the manual administrative burden on live agents.</w:t>
      </w:r>
    </w:p>
    <w:p w14:paraId="000001AF" w14:textId="399A379F" w:rsidR="00404919" w:rsidRDefault="00404919">
      <w:pPr>
        <w:ind w:left="720"/>
      </w:pPr>
    </w:p>
    <w:p w14:paraId="000001B0" w14:textId="77777777" w:rsidR="00404919" w:rsidRDefault="00404919"/>
    <w:p w14:paraId="000001B1" w14:textId="77777777" w:rsidR="00404919" w:rsidRDefault="00404919"/>
    <w:p w14:paraId="000001B2" w14:textId="4FDFE0D9" w:rsidR="00404919" w:rsidRDefault="00E30665">
      <w:pPr>
        <w:pStyle w:val="Heading2"/>
      </w:pPr>
      <w:r>
        <w:rPr>
          <w:b/>
          <w:bCs/>
          <w:color w:val="FF0000"/>
        </w:rPr>
        <w:t xml:space="preserve">Question 9: What metrics should be included in the final dashboard to comprehensively view call </w:t>
      </w:r>
      <w:proofErr w:type="spellStart"/>
      <w:r>
        <w:rPr>
          <w:b/>
          <w:bCs/>
          <w:color w:val="FF0000"/>
        </w:rPr>
        <w:t>center</w:t>
      </w:r>
      <w:proofErr w:type="spellEnd"/>
      <w:r>
        <w:rPr>
          <w:b/>
          <w:bCs/>
          <w:color w:val="FF0000"/>
        </w:rPr>
        <w:t xml:space="preserve"> performance and guide investment decisions?</w:t>
      </w:r>
    </w:p>
    <w:p w14:paraId="000001B3" w14:textId="77777777" w:rsidR="00404919" w:rsidRDefault="00404919"/>
    <w:p w14:paraId="000001B4" w14:textId="77777777" w:rsidR="00404919" w:rsidRDefault="00E30665">
      <w:pPr>
        <w:pStyle w:val="Heading2"/>
        <w:rPr>
          <w:b/>
          <w:bCs/>
        </w:rPr>
      </w:pPr>
      <w:bookmarkStart w:id="52" w:name="_pb330cj6tk55" w:colFirst="0" w:colLast="0"/>
      <w:bookmarkEnd w:id="52"/>
      <w:r>
        <w:rPr>
          <w:b/>
          <w:bCs/>
        </w:rPr>
        <w:t>Solution:</w:t>
      </w:r>
    </w:p>
    <w:p w14:paraId="000001B5" w14:textId="77777777" w:rsidR="00404919" w:rsidRDefault="00404919"/>
    <w:p w14:paraId="000001B6" w14:textId="77777777" w:rsidR="00404919" w:rsidRDefault="00E30665">
      <w:pPr>
        <w:ind w:left="720"/>
        <w:rPr>
          <w:b/>
          <w:bCs/>
        </w:rPr>
      </w:pPr>
      <w:r>
        <w:rPr>
          <w:b/>
          <w:bCs/>
          <w:color w:val="FF0000"/>
          <w:highlight w:val="white"/>
        </w:rPr>
        <w:t>Approach:</w:t>
      </w:r>
    </w:p>
    <w:p w14:paraId="000001B8" w14:textId="745F61A2" w:rsidR="00404919" w:rsidRDefault="00C02ACA">
      <w:pPr>
        <w:ind w:left="720"/>
      </w:pPr>
      <w:r>
        <w:t xml:space="preserve">To comprehensively view the call </w:t>
      </w:r>
      <w:proofErr w:type="spellStart"/>
      <w:r>
        <w:t>center's</w:t>
      </w:r>
      <w:proofErr w:type="spellEnd"/>
      <w:r>
        <w:t xml:space="preserve"> performance and confidently guide investment decisions, I recommend tracking metrics across agent utilization, revenue generation, and infrastructure stability. I evaluated a total of </w:t>
      </w:r>
      <w:r>
        <w:rPr>
          <w:b/>
          <w:bCs/>
        </w:rPr>
        <w:t>6 distinct pivot tables</w:t>
      </w:r>
      <w:r>
        <w:t>. By mapping each of these tables directly to the operational questions they solve, this framework provides all the necessary metrics to justify capital allocation without requiring additional visual charts.</w:t>
      </w:r>
    </w:p>
    <w:p w14:paraId="20799BEC" w14:textId="77777777" w:rsidR="00C02ACA" w:rsidRDefault="00C02ACA">
      <w:pPr>
        <w:ind w:left="720"/>
      </w:pPr>
    </w:p>
    <w:p w14:paraId="000001B9" w14:textId="77777777" w:rsidR="00404919" w:rsidRDefault="00E30665">
      <w:pPr>
        <w:ind w:left="720"/>
        <w:rPr>
          <w:b/>
          <w:bCs/>
        </w:rPr>
      </w:pPr>
      <w:r>
        <w:rPr>
          <w:b/>
          <w:bCs/>
          <w:color w:val="FF0000"/>
          <w:highlight w:val="white"/>
        </w:rPr>
        <w:t>Charts &amp; Tables:</w:t>
      </w:r>
    </w:p>
    <w:p w14:paraId="000001BA" w14:textId="77777777" w:rsidR="00404919" w:rsidRDefault="00E30665">
      <w:pPr>
        <w:ind w:left="720"/>
      </w:pPr>
      <w:r>
        <w:t>- Table / Chart Name:</w:t>
      </w:r>
    </w:p>
    <w:p w14:paraId="000001BB" w14:textId="48A8079C" w:rsidR="00404919" w:rsidRDefault="00E30665">
      <w:pPr>
        <w:ind w:left="720"/>
      </w:pPr>
      <w:r>
        <w:t xml:space="preserve"> </w:t>
      </w:r>
      <w:r w:rsidR="00C02ACA">
        <w:t>6 Distinct Pivot Tables</w:t>
      </w:r>
      <w:r w:rsidR="00611129">
        <w:t xml:space="preserve"> (Dashboard</w:t>
      </w:r>
      <w:r w:rsidR="00C02ACA">
        <w:t>)</w:t>
      </w:r>
    </w:p>
    <w:p w14:paraId="14C393AD" w14:textId="77777777" w:rsidR="00CC284A" w:rsidRDefault="00CC284A" w:rsidP="00CC284A">
      <w:pPr>
        <w:ind w:left="720"/>
      </w:pPr>
    </w:p>
    <w:p w14:paraId="40841C77" w14:textId="2744C844" w:rsidR="00CC284A" w:rsidRDefault="00E30665" w:rsidP="00CC284A">
      <w:pPr>
        <w:ind w:left="720"/>
      </w:pPr>
      <w:r>
        <w:t>- Description:</w:t>
      </w:r>
    </w:p>
    <w:p w14:paraId="37F5DF56" w14:textId="3D033E91" w:rsidR="00C02ACA" w:rsidRPr="00C02ACA" w:rsidRDefault="00C02ACA" w:rsidP="00CC284A">
      <w:pPr>
        <w:ind w:left="720"/>
      </w:pPr>
      <w:r w:rsidRPr="00C02ACA">
        <w:t>The final dashboard utilizes the 6 distinct pivot tables currently present in the sheet, mapped directly to the questions they answer:</w:t>
      </w:r>
    </w:p>
    <w:p w14:paraId="2FC70FC7" w14:textId="4D22F682" w:rsidR="00C02ACA" w:rsidRPr="00C02ACA" w:rsidRDefault="00C02ACA" w:rsidP="00C02ACA">
      <w:pPr>
        <w:pStyle w:val="NormalWeb"/>
        <w:numPr>
          <w:ilvl w:val="0"/>
          <w:numId w:val="9"/>
        </w:numPr>
        <w:rPr>
          <w:rFonts w:ascii="Arial" w:hAnsi="Arial" w:cs="Arial"/>
          <w:sz w:val="22"/>
          <w:szCs w:val="22"/>
        </w:rPr>
      </w:pPr>
      <w:r w:rsidRPr="00C02ACA">
        <w:rPr>
          <w:rFonts w:ascii="Arial" w:hAnsi="Arial" w:cs="Arial"/>
          <w:b/>
          <w:bCs/>
          <w:sz w:val="22"/>
          <w:szCs w:val="22"/>
        </w:rPr>
        <w:lastRenderedPageBreak/>
        <w:t>Agent Workload Distribution:</w:t>
      </w:r>
      <w:r w:rsidRPr="00C02ACA">
        <w:rPr>
          <w:rFonts w:ascii="Arial" w:hAnsi="Arial" w:cs="Arial"/>
          <w:sz w:val="22"/>
          <w:szCs w:val="22"/>
        </w:rPr>
        <w:t xml:space="preserve"> Answers calls per agent, highest/lowest CSAT, and workload balancing.</w:t>
      </w:r>
    </w:p>
    <w:p w14:paraId="1841442E" w14:textId="77777777" w:rsidR="00C02ACA" w:rsidRPr="00C02ACA" w:rsidRDefault="00C02ACA" w:rsidP="00C02ACA">
      <w:pPr>
        <w:pStyle w:val="NormalWeb"/>
        <w:numPr>
          <w:ilvl w:val="0"/>
          <w:numId w:val="9"/>
        </w:numPr>
        <w:rPr>
          <w:rFonts w:ascii="Arial" w:hAnsi="Arial" w:cs="Arial"/>
          <w:sz w:val="22"/>
          <w:szCs w:val="22"/>
        </w:rPr>
      </w:pPr>
      <w:r w:rsidRPr="00C02ACA">
        <w:rPr>
          <w:rFonts w:ascii="Arial" w:hAnsi="Arial" w:cs="Arial"/>
          <w:b/>
          <w:bCs/>
          <w:sz w:val="22"/>
          <w:szCs w:val="22"/>
        </w:rPr>
        <w:t>Daily Call Volume &amp; Avg Rating:</w:t>
      </w:r>
      <w:r w:rsidRPr="00C02ACA">
        <w:rPr>
          <w:rFonts w:ascii="Arial" w:hAnsi="Arial" w:cs="Arial"/>
          <w:sz w:val="22"/>
          <w:szCs w:val="22"/>
        </w:rPr>
        <w:t xml:space="preserve"> Answers daily volume averages and handling peak periods.</w:t>
      </w:r>
    </w:p>
    <w:p w14:paraId="1AE15661" w14:textId="77777777" w:rsidR="00C02ACA" w:rsidRPr="00C02ACA" w:rsidRDefault="00C02ACA" w:rsidP="00C02ACA">
      <w:pPr>
        <w:pStyle w:val="NormalWeb"/>
        <w:numPr>
          <w:ilvl w:val="0"/>
          <w:numId w:val="9"/>
        </w:numPr>
        <w:rPr>
          <w:rFonts w:ascii="Arial" w:hAnsi="Arial" w:cs="Arial"/>
          <w:sz w:val="22"/>
          <w:szCs w:val="22"/>
        </w:rPr>
      </w:pPr>
      <w:r w:rsidRPr="00C02ACA">
        <w:rPr>
          <w:rFonts w:ascii="Arial" w:hAnsi="Arial" w:cs="Arial"/>
          <w:b/>
          <w:bCs/>
          <w:sz w:val="22"/>
          <w:szCs w:val="22"/>
        </w:rPr>
        <w:t>Caller Type Sales &amp; Count:</w:t>
      </w:r>
      <w:r w:rsidRPr="00C02ACA">
        <w:rPr>
          <w:rFonts w:ascii="Arial" w:hAnsi="Arial" w:cs="Arial"/>
          <w:sz w:val="22"/>
          <w:szCs w:val="22"/>
        </w:rPr>
        <w:t xml:space="preserve"> Answers repeat caller percentage, efficiency, and customer loyalty.</w:t>
      </w:r>
    </w:p>
    <w:p w14:paraId="51BB8D85" w14:textId="77777777" w:rsidR="00C02ACA" w:rsidRPr="00C02ACA" w:rsidRDefault="00C02ACA" w:rsidP="00C02ACA">
      <w:pPr>
        <w:pStyle w:val="NormalWeb"/>
        <w:numPr>
          <w:ilvl w:val="0"/>
          <w:numId w:val="9"/>
        </w:numPr>
        <w:rPr>
          <w:rFonts w:ascii="Arial" w:hAnsi="Arial" w:cs="Arial"/>
          <w:sz w:val="22"/>
          <w:szCs w:val="22"/>
        </w:rPr>
      </w:pPr>
      <w:r w:rsidRPr="00C02ACA">
        <w:rPr>
          <w:rFonts w:ascii="Arial" w:hAnsi="Arial" w:cs="Arial"/>
          <w:b/>
          <w:bCs/>
          <w:sz w:val="22"/>
          <w:szCs w:val="22"/>
        </w:rPr>
        <w:t>Total Sales by Consultation Type:</w:t>
      </w:r>
      <w:r w:rsidRPr="00C02ACA">
        <w:rPr>
          <w:rFonts w:ascii="Arial" w:hAnsi="Arial" w:cs="Arial"/>
          <w:sz w:val="22"/>
          <w:szCs w:val="22"/>
        </w:rPr>
        <w:t xml:space="preserve"> Answers sales per product category.</w:t>
      </w:r>
    </w:p>
    <w:p w14:paraId="23310FB2" w14:textId="77777777" w:rsidR="00C02ACA" w:rsidRPr="00C02ACA" w:rsidRDefault="00C02ACA" w:rsidP="00C02ACA">
      <w:pPr>
        <w:pStyle w:val="NormalWeb"/>
        <w:numPr>
          <w:ilvl w:val="0"/>
          <w:numId w:val="9"/>
        </w:numPr>
        <w:rPr>
          <w:rFonts w:ascii="Arial" w:hAnsi="Arial" w:cs="Arial"/>
          <w:sz w:val="22"/>
          <w:szCs w:val="22"/>
        </w:rPr>
      </w:pPr>
      <w:r w:rsidRPr="00C02ACA">
        <w:rPr>
          <w:rFonts w:ascii="Arial" w:hAnsi="Arial" w:cs="Arial"/>
          <w:b/>
          <w:bCs/>
          <w:sz w:val="22"/>
          <w:szCs w:val="22"/>
        </w:rPr>
        <w:t>Call Status Breakdown:</w:t>
      </w:r>
      <w:r w:rsidRPr="00C02ACA">
        <w:rPr>
          <w:rFonts w:ascii="Arial" w:hAnsi="Arial" w:cs="Arial"/>
          <w:sz w:val="22"/>
          <w:szCs w:val="22"/>
        </w:rPr>
        <w:t xml:space="preserve"> Answers technical friction and automation gaps.</w:t>
      </w:r>
    </w:p>
    <w:p w14:paraId="000001BE" w14:textId="649E5435" w:rsidR="00404919" w:rsidRPr="00C02ACA" w:rsidRDefault="00C02ACA" w:rsidP="00C02ACA">
      <w:pPr>
        <w:pStyle w:val="NormalWeb"/>
        <w:numPr>
          <w:ilvl w:val="0"/>
          <w:numId w:val="9"/>
        </w:numPr>
        <w:rPr>
          <w:rFonts w:ascii="Arial" w:hAnsi="Arial" w:cs="Arial"/>
          <w:sz w:val="22"/>
          <w:szCs w:val="22"/>
        </w:rPr>
      </w:pPr>
      <w:r w:rsidRPr="00C02ACA">
        <w:rPr>
          <w:rFonts w:ascii="Arial" w:hAnsi="Arial" w:cs="Arial"/>
          <w:b/>
          <w:bCs/>
          <w:sz w:val="22"/>
          <w:szCs w:val="22"/>
        </w:rPr>
        <w:t>Consultations by Month &amp; Day:</w:t>
      </w:r>
      <w:r w:rsidRPr="00C02ACA">
        <w:rPr>
          <w:rFonts w:ascii="Arial" w:hAnsi="Arial" w:cs="Arial"/>
          <w:sz w:val="22"/>
          <w:szCs w:val="22"/>
        </w:rPr>
        <w:t xml:space="preserve"> Answers highest and lowest call volume periods.</w:t>
      </w:r>
    </w:p>
    <w:p w14:paraId="000001BF" w14:textId="77777777" w:rsidR="00404919" w:rsidRDefault="00E30665">
      <w:pPr>
        <w:ind w:left="720"/>
        <w:rPr>
          <w:b/>
          <w:bCs/>
        </w:rPr>
      </w:pPr>
      <w:r>
        <w:rPr>
          <w:b/>
          <w:bCs/>
          <w:color w:val="FF0000"/>
          <w:highlight w:val="white"/>
        </w:rPr>
        <w:t>Insights:</w:t>
      </w:r>
    </w:p>
    <w:p w14:paraId="661125B0" w14:textId="5C0E664D" w:rsidR="00C02ACA" w:rsidRPr="00C02ACA" w:rsidRDefault="00C02ACA" w:rsidP="00C02ACA">
      <w:pPr>
        <w:pStyle w:val="NormalWeb"/>
        <w:ind w:left="720"/>
        <w:rPr>
          <w:rFonts w:ascii="Arial" w:hAnsi="Arial" w:cs="Arial"/>
          <w:sz w:val="22"/>
          <w:szCs w:val="22"/>
        </w:rPr>
      </w:pPr>
      <w:r w:rsidRPr="00C02ACA">
        <w:rPr>
          <w:rFonts w:ascii="Arial" w:hAnsi="Arial" w:cs="Arial"/>
          <w:b/>
          <w:bCs/>
          <w:sz w:val="22"/>
          <w:szCs w:val="22"/>
        </w:rPr>
        <w:t>Revenue is Dependent on Loyalty:</w:t>
      </w:r>
      <w:r w:rsidRPr="00C02ACA">
        <w:rPr>
          <w:rFonts w:ascii="Arial" w:hAnsi="Arial" w:cs="Arial"/>
          <w:sz w:val="22"/>
          <w:szCs w:val="22"/>
        </w:rPr>
        <w:t xml:space="preserve"> </w:t>
      </w:r>
      <w:r w:rsidRPr="00C02ACA">
        <w:rPr>
          <w:rFonts w:ascii="Arial" w:hAnsi="Arial" w:cs="Arial"/>
          <w:b/>
          <w:bCs/>
          <w:sz w:val="22"/>
          <w:szCs w:val="22"/>
        </w:rPr>
        <w:t>The Caller Type</w:t>
      </w:r>
      <w:r w:rsidRPr="00C02ACA">
        <w:rPr>
          <w:rFonts w:ascii="Arial" w:hAnsi="Arial" w:cs="Arial"/>
          <w:sz w:val="22"/>
          <w:szCs w:val="22"/>
        </w:rPr>
        <w:t xml:space="preserve"> table reveals that Repeating Users drive nearly 98% of total platform sales (₹2,09,417), making retention the ultimate profitability driver.</w:t>
      </w:r>
    </w:p>
    <w:p w14:paraId="3ADFB15F" w14:textId="2F779135" w:rsidR="00C02ACA" w:rsidRPr="00C02ACA" w:rsidRDefault="00C02ACA" w:rsidP="00C02ACA">
      <w:pPr>
        <w:spacing w:before="100" w:beforeAutospacing="1" w:after="100" w:afterAutospacing="1" w:line="240" w:lineRule="auto"/>
        <w:ind w:left="720"/>
        <w:rPr>
          <w:rFonts w:eastAsia="Times New Roman"/>
          <w:lang w:val="en-US"/>
        </w:rPr>
      </w:pPr>
      <w:r w:rsidRPr="00C02ACA">
        <w:rPr>
          <w:rFonts w:eastAsia="Times New Roman"/>
          <w:b/>
          <w:bCs/>
          <w:lang w:val="en-US"/>
        </w:rPr>
        <w:t>Critical Operational Failure:</w:t>
      </w:r>
      <w:r w:rsidRPr="00C02ACA">
        <w:rPr>
          <w:rFonts w:eastAsia="Times New Roman"/>
          <w:lang w:val="en-US"/>
        </w:rPr>
        <w:t xml:space="preserve"> </w:t>
      </w:r>
      <w:r w:rsidRPr="00C02ACA">
        <w:rPr>
          <w:rFonts w:eastAsia="Times New Roman"/>
          <w:b/>
          <w:bCs/>
          <w:lang w:val="en-US"/>
        </w:rPr>
        <w:t>The Call Status</w:t>
      </w:r>
      <w:r w:rsidRPr="00C02ACA">
        <w:rPr>
          <w:rFonts w:eastAsia="Times New Roman"/>
          <w:lang w:val="en-US"/>
        </w:rPr>
        <w:t xml:space="preserve"> table flags a massive technical bottleneck; only 40.4% of interactions are successfully "completed," leaving nearly 60% of traffic lost to failed, busy, or no-answer states.</w:t>
      </w:r>
    </w:p>
    <w:p w14:paraId="000001C0" w14:textId="190A740D" w:rsidR="00404919" w:rsidRPr="00C02ACA" w:rsidRDefault="00C02ACA" w:rsidP="00C02ACA">
      <w:pPr>
        <w:spacing w:before="100" w:beforeAutospacing="1" w:after="100" w:afterAutospacing="1" w:line="240" w:lineRule="auto"/>
        <w:ind w:left="720"/>
        <w:rPr>
          <w:rFonts w:eastAsia="Times New Roman"/>
          <w:lang w:val="en-US"/>
        </w:rPr>
      </w:pPr>
      <w:r w:rsidRPr="00C02ACA">
        <w:rPr>
          <w:rFonts w:eastAsia="Times New Roman"/>
          <w:b/>
          <w:bCs/>
          <w:lang w:val="en-US"/>
        </w:rPr>
        <w:t>Volume vs. Quality Friction:</w:t>
      </w:r>
      <w:r w:rsidRPr="00C02ACA">
        <w:rPr>
          <w:rFonts w:eastAsia="Times New Roman"/>
          <w:lang w:val="en-US"/>
        </w:rPr>
        <w:t xml:space="preserve"> </w:t>
      </w:r>
      <w:r w:rsidRPr="00C02ACA">
        <w:rPr>
          <w:rFonts w:eastAsia="Times New Roman"/>
          <w:b/>
          <w:bCs/>
          <w:lang w:val="en-US"/>
        </w:rPr>
        <w:t>The Daily Call Volume &amp; Avg</w:t>
      </w:r>
      <w:r w:rsidRPr="00C02ACA">
        <w:rPr>
          <w:rFonts w:eastAsia="Times New Roman"/>
          <w:i/>
          <w:iCs/>
          <w:lang w:val="en-US"/>
        </w:rPr>
        <w:t xml:space="preserve"> </w:t>
      </w:r>
      <w:r w:rsidRPr="00C02ACA">
        <w:rPr>
          <w:rFonts w:eastAsia="Times New Roman"/>
          <w:b/>
          <w:bCs/>
          <w:lang w:val="en-US"/>
        </w:rPr>
        <w:t>Rating</w:t>
      </w:r>
      <w:r w:rsidRPr="00C02ACA">
        <w:rPr>
          <w:rFonts w:eastAsia="Times New Roman"/>
          <w:lang w:val="en-US"/>
        </w:rPr>
        <w:t xml:space="preserve"> table proves that during peak traffic days, the average CSAT rating statically drops or stagnates, showing the workforce cannot scale quality under pressure.</w:t>
      </w:r>
    </w:p>
    <w:p w14:paraId="000001C1" w14:textId="77777777" w:rsidR="00404919" w:rsidRDefault="00404919">
      <w:pPr>
        <w:ind w:left="720"/>
      </w:pPr>
    </w:p>
    <w:p w14:paraId="000001C2" w14:textId="77777777" w:rsidR="00404919" w:rsidRDefault="00E30665">
      <w:pPr>
        <w:ind w:left="720"/>
        <w:rPr>
          <w:b/>
          <w:bCs/>
        </w:rPr>
      </w:pPr>
      <w:r>
        <w:rPr>
          <w:b/>
          <w:bCs/>
          <w:color w:val="FF0000"/>
          <w:highlight w:val="white"/>
        </w:rPr>
        <w:t>Recommendations:</w:t>
      </w:r>
    </w:p>
    <w:p w14:paraId="2CD39BF1" w14:textId="4112C960" w:rsidR="00C02ACA" w:rsidRPr="00C02ACA" w:rsidRDefault="00C02ACA" w:rsidP="00C02ACA">
      <w:pPr>
        <w:pStyle w:val="NormalWeb"/>
        <w:ind w:left="720"/>
        <w:rPr>
          <w:rFonts w:ascii="Arial" w:hAnsi="Arial" w:cs="Arial"/>
          <w:sz w:val="22"/>
          <w:szCs w:val="22"/>
        </w:rPr>
      </w:pPr>
      <w:r w:rsidRPr="00C02ACA">
        <w:rPr>
          <w:rFonts w:ascii="Arial" w:hAnsi="Arial" w:cs="Arial"/>
          <w:b/>
          <w:bCs/>
          <w:sz w:val="22"/>
          <w:szCs w:val="22"/>
        </w:rPr>
        <w:t>Monitor Infrastructure via Call Status:</w:t>
      </w:r>
      <w:r w:rsidRPr="00C02ACA">
        <w:rPr>
          <w:rFonts w:ascii="Arial" w:hAnsi="Arial" w:cs="Arial"/>
          <w:sz w:val="22"/>
          <w:szCs w:val="22"/>
        </w:rPr>
        <w:t xml:space="preserve"> The dashboard must prominently feature the "Call Status" breakdown. Investment decisions (like upgrading telecom servers or funding AI chatbots) should be directly triggered by the failure rates shown in this specific table.</w:t>
      </w:r>
    </w:p>
    <w:p w14:paraId="4D124770" w14:textId="08C439A0" w:rsidR="00C02ACA" w:rsidRPr="00C02ACA" w:rsidRDefault="00C02ACA" w:rsidP="00C02ACA">
      <w:pPr>
        <w:spacing w:before="100" w:beforeAutospacing="1" w:after="100" w:afterAutospacing="1" w:line="240" w:lineRule="auto"/>
        <w:ind w:left="720"/>
        <w:rPr>
          <w:rFonts w:eastAsia="Times New Roman"/>
          <w:lang w:val="en-US"/>
        </w:rPr>
      </w:pPr>
      <w:r w:rsidRPr="00C02ACA">
        <w:rPr>
          <w:rFonts w:eastAsia="Times New Roman"/>
          <w:b/>
          <w:bCs/>
          <w:lang w:val="en-US"/>
        </w:rPr>
        <w:t>Track Revenue Concentration:</w:t>
      </w:r>
      <w:r w:rsidRPr="00C02ACA">
        <w:rPr>
          <w:rFonts w:eastAsia="Times New Roman"/>
          <w:lang w:val="en-US"/>
        </w:rPr>
        <w:t xml:space="preserve"> Keep the "Caller Type" table centralized so management can continuously monitor the VIP repeat caller base.</w:t>
      </w:r>
    </w:p>
    <w:p w14:paraId="514B7A30" w14:textId="6AE3691E" w:rsidR="00C02ACA" w:rsidRPr="00C02ACA" w:rsidRDefault="00C02ACA" w:rsidP="00C02ACA">
      <w:pPr>
        <w:spacing w:before="100" w:beforeAutospacing="1" w:after="100" w:afterAutospacing="1" w:line="240" w:lineRule="auto"/>
        <w:ind w:left="720"/>
        <w:rPr>
          <w:rFonts w:eastAsia="Times New Roman"/>
          <w:lang w:val="en-US"/>
        </w:rPr>
      </w:pPr>
      <w:r w:rsidRPr="00C02ACA">
        <w:rPr>
          <w:rFonts w:eastAsia="Times New Roman"/>
          <w:b/>
          <w:bCs/>
          <w:lang w:val="en-US"/>
        </w:rPr>
        <w:t>Prevent Burnout via Agent Workload:</w:t>
      </w:r>
      <w:r w:rsidRPr="00C02ACA">
        <w:rPr>
          <w:rFonts w:eastAsia="Times New Roman"/>
          <w:lang w:val="en-US"/>
        </w:rPr>
        <w:t xml:space="preserve"> Use the "Agent Workload Distribution" table to track top earners (like Dr. </w:t>
      </w:r>
      <w:proofErr w:type="spellStart"/>
      <w:r w:rsidRPr="00C02ACA">
        <w:rPr>
          <w:rFonts w:eastAsia="Times New Roman"/>
          <w:lang w:val="en-US"/>
        </w:rPr>
        <w:t>Balkrisna</w:t>
      </w:r>
      <w:proofErr w:type="spellEnd"/>
      <w:r w:rsidRPr="00C02ACA">
        <w:rPr>
          <w:rFonts w:eastAsia="Times New Roman"/>
          <w:lang w:val="en-US"/>
        </w:rPr>
        <w:t>) against their average CSAT ratings to enforce automatic load-balancing when high volume begins to erode their service quality.</w:t>
      </w:r>
    </w:p>
    <w:p w14:paraId="000001C3" w14:textId="579B6FDC" w:rsidR="00404919" w:rsidRDefault="00404919">
      <w:pPr>
        <w:ind w:left="720"/>
      </w:pPr>
    </w:p>
    <w:p w14:paraId="000001C4" w14:textId="77777777" w:rsidR="00404919" w:rsidRDefault="00404919"/>
    <w:p w14:paraId="000001C5" w14:textId="1F130A63" w:rsidR="00404919" w:rsidRDefault="00C02ACA">
      <w:r>
        <w:t xml:space="preserve"> </w:t>
      </w:r>
    </w:p>
    <w:p w14:paraId="38823F13" w14:textId="77BA7DD6" w:rsidR="00C02ACA" w:rsidRDefault="00C02ACA"/>
    <w:p w14:paraId="487A74F3" w14:textId="1CE57202" w:rsidR="00C02ACA" w:rsidRDefault="00C02ACA"/>
    <w:p w14:paraId="29538780" w14:textId="77777777" w:rsidR="00C02ACA" w:rsidRDefault="00C02ACA"/>
    <w:p w14:paraId="000001C6" w14:textId="77777777" w:rsidR="00404919" w:rsidRDefault="00E30665">
      <w:pPr>
        <w:pStyle w:val="Heading2"/>
        <w:rPr>
          <w:b/>
          <w:bCs/>
          <w:color w:val="FF0000"/>
        </w:rPr>
      </w:pPr>
      <w:bookmarkStart w:id="53" w:name="_ct4s06h4wf5" w:colFirst="0" w:colLast="0"/>
      <w:bookmarkEnd w:id="53"/>
      <w:r>
        <w:rPr>
          <w:b/>
          <w:bCs/>
          <w:color w:val="FF0000"/>
        </w:rPr>
        <w:lastRenderedPageBreak/>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404919" w:rsidRDefault="00E30665">
      <w:pPr>
        <w:pStyle w:val="Heading2"/>
      </w:pPr>
      <w:bookmarkStart w:id="54" w:name="_z84x8bfom64e" w:colFirst="0" w:colLast="0"/>
      <w:bookmarkEnd w:id="54"/>
      <w:r>
        <w:rPr>
          <w:b/>
          <w:bCs/>
          <w:color w:val="FF0000"/>
        </w:rPr>
        <w:t>[you have to give bullet pointers to answer this question]</w:t>
      </w:r>
    </w:p>
    <w:p w14:paraId="000001C8" w14:textId="77777777" w:rsidR="00404919" w:rsidRDefault="00E30665">
      <w:pPr>
        <w:pStyle w:val="Heading2"/>
        <w:rPr>
          <w:b/>
          <w:bCs/>
        </w:rPr>
      </w:pPr>
      <w:bookmarkStart w:id="55" w:name="_kugji7bipw4" w:colFirst="0" w:colLast="0"/>
      <w:bookmarkEnd w:id="55"/>
      <w:r>
        <w:rPr>
          <w:b/>
          <w:bCs/>
        </w:rPr>
        <w:t>Solution:</w:t>
      </w:r>
    </w:p>
    <w:p w14:paraId="000001C9" w14:textId="77777777" w:rsidR="00404919" w:rsidRDefault="00404919"/>
    <w:p w14:paraId="000001CA" w14:textId="54CD7ED5" w:rsidR="00404919" w:rsidRDefault="00E30665">
      <w:pPr>
        <w:ind w:left="720"/>
        <w:rPr>
          <w:b/>
          <w:bCs/>
        </w:rPr>
      </w:pPr>
      <w:r>
        <w:rPr>
          <w:b/>
          <w:bCs/>
          <w:color w:val="FF0000"/>
          <w:highlight w:val="white"/>
        </w:rPr>
        <w:t>Approach:</w:t>
      </w:r>
    </w:p>
    <w:p w14:paraId="000001CC" w14:textId="70F799C4" w:rsidR="00404919" w:rsidRDefault="00C02ACA">
      <w:pPr>
        <w:ind w:left="720"/>
      </w:pPr>
      <w:r>
        <w:t xml:space="preserve">To optimize the 1 crore rupee investment, I evaluated the financial and operational bottlenecks highlighted in the </w:t>
      </w:r>
      <w:r w:rsidRPr="00EA089F">
        <w:rPr>
          <w:rStyle w:val="HTMLCode"/>
          <w:rFonts w:ascii="Arial" w:eastAsia="Arial" w:hAnsi="Arial" w:cs="Arial"/>
          <w:sz w:val="22"/>
          <w:szCs w:val="22"/>
        </w:rPr>
        <w:t>Dashboard</w:t>
      </w:r>
      <w:r>
        <w:t xml:space="preserve"> tab. I mapped the extreme revenue concentration (Repeating Users driving ~98% of sales) against the critical infrastructure failure rate (nearly 60% of calls lost to busy, failed, or no-answer statuses). This data-driven approach ensures capital is allocated proportionally to fix the largest profit leaks and protect the most valuable user base.</w:t>
      </w:r>
    </w:p>
    <w:p w14:paraId="5DB5A6B2" w14:textId="0C685384" w:rsidR="00C02ACA" w:rsidRDefault="00C02ACA">
      <w:pPr>
        <w:ind w:left="720"/>
      </w:pPr>
    </w:p>
    <w:p w14:paraId="000001CD" w14:textId="5B6B657A" w:rsidR="00404919" w:rsidRDefault="00E30665">
      <w:pPr>
        <w:ind w:left="720"/>
        <w:rPr>
          <w:b/>
          <w:bCs/>
        </w:rPr>
      </w:pPr>
      <w:r>
        <w:rPr>
          <w:b/>
          <w:bCs/>
          <w:color w:val="FF0000"/>
          <w:highlight w:val="white"/>
        </w:rPr>
        <w:t>Charts &amp; Tables:</w:t>
      </w:r>
    </w:p>
    <w:p w14:paraId="000001CE" w14:textId="0560747F" w:rsidR="00404919" w:rsidRDefault="00E30665">
      <w:pPr>
        <w:ind w:left="720"/>
      </w:pPr>
      <w:r>
        <w:t>- Table / Chart Name:</w:t>
      </w:r>
    </w:p>
    <w:p w14:paraId="000001CF" w14:textId="6061EAA0" w:rsidR="00404919" w:rsidRDefault="00EA089F">
      <w:pPr>
        <w:ind w:left="720"/>
      </w:pPr>
      <w:r>
        <w:rPr>
          <w:noProof/>
        </w:rPr>
        <w:drawing>
          <wp:anchor distT="0" distB="0" distL="114300" distR="114300" simplePos="0" relativeHeight="251667456" behindDoc="0" locked="0" layoutInCell="1" allowOverlap="1" wp14:anchorId="61D9A1BE" wp14:editId="34722833">
            <wp:simplePos x="0" y="0"/>
            <wp:positionH relativeFrom="margin">
              <wp:posOffset>-824230</wp:posOffset>
            </wp:positionH>
            <wp:positionV relativeFrom="paragraph">
              <wp:posOffset>209219</wp:posOffset>
            </wp:positionV>
            <wp:extent cx="7393940" cy="285369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393940" cy="2853690"/>
                    </a:xfrm>
                    <a:prstGeom prst="rect">
                      <a:avLst/>
                    </a:prstGeom>
                    <a:noFill/>
                  </pic:spPr>
                </pic:pic>
              </a:graphicData>
            </a:graphic>
            <wp14:sizeRelH relativeFrom="page">
              <wp14:pctWidth>0</wp14:pctWidth>
            </wp14:sizeRelH>
            <wp14:sizeRelV relativeFrom="page">
              <wp14:pctHeight>0</wp14:pctHeight>
            </wp14:sizeRelV>
          </wp:anchor>
        </w:drawing>
      </w:r>
      <w:r w:rsidR="00E30665">
        <w:t xml:space="preserve">  </w:t>
      </w:r>
      <w:r>
        <w:t>Dashboard &amp; Investment Allocation Breakdown</w:t>
      </w:r>
    </w:p>
    <w:p w14:paraId="25566D8C" w14:textId="77777777" w:rsidR="00EA089F" w:rsidRDefault="00EA089F">
      <w:pPr>
        <w:ind w:left="720"/>
      </w:pPr>
    </w:p>
    <w:p w14:paraId="6CD40DFE" w14:textId="77777777" w:rsidR="00EA089F" w:rsidRDefault="00EA089F">
      <w:pPr>
        <w:ind w:left="720"/>
      </w:pPr>
    </w:p>
    <w:p w14:paraId="4165BE9F" w14:textId="77777777" w:rsidR="00EA089F" w:rsidRDefault="00EA089F">
      <w:pPr>
        <w:ind w:left="720"/>
      </w:pPr>
    </w:p>
    <w:p w14:paraId="237D7367" w14:textId="77777777" w:rsidR="00EA089F" w:rsidRDefault="00EA089F">
      <w:pPr>
        <w:ind w:left="720"/>
      </w:pPr>
    </w:p>
    <w:p w14:paraId="6A190504" w14:textId="77777777" w:rsidR="00EA089F" w:rsidRDefault="00EA089F">
      <w:pPr>
        <w:ind w:left="720"/>
      </w:pPr>
    </w:p>
    <w:p w14:paraId="72FA9988" w14:textId="77777777" w:rsidR="00EA089F" w:rsidRDefault="00EA089F">
      <w:pPr>
        <w:ind w:left="720"/>
      </w:pPr>
    </w:p>
    <w:p w14:paraId="59286A06" w14:textId="77777777" w:rsidR="00EA089F" w:rsidRDefault="00EA089F">
      <w:pPr>
        <w:ind w:left="720"/>
      </w:pPr>
    </w:p>
    <w:p w14:paraId="69104E63" w14:textId="77777777" w:rsidR="00EA089F" w:rsidRDefault="00EA089F">
      <w:pPr>
        <w:ind w:left="720"/>
      </w:pPr>
    </w:p>
    <w:p w14:paraId="4E4ECB31" w14:textId="77777777" w:rsidR="00EA089F" w:rsidRDefault="00EA089F">
      <w:pPr>
        <w:ind w:left="720"/>
      </w:pPr>
    </w:p>
    <w:p w14:paraId="0CBFDDCA" w14:textId="77777777" w:rsidR="00EA089F" w:rsidRDefault="00EA089F">
      <w:pPr>
        <w:ind w:left="720"/>
      </w:pPr>
    </w:p>
    <w:p w14:paraId="66DA616B" w14:textId="77777777" w:rsidR="00EA089F" w:rsidRDefault="00EA089F">
      <w:pPr>
        <w:ind w:left="720"/>
      </w:pPr>
    </w:p>
    <w:p w14:paraId="1C3EED03" w14:textId="77777777" w:rsidR="00EA089F" w:rsidRDefault="00EA089F">
      <w:pPr>
        <w:ind w:left="720"/>
      </w:pPr>
    </w:p>
    <w:p w14:paraId="57B4F1EF" w14:textId="77777777" w:rsidR="00EA089F" w:rsidRDefault="00EA089F">
      <w:pPr>
        <w:ind w:left="720"/>
      </w:pPr>
    </w:p>
    <w:p w14:paraId="77D77D60" w14:textId="77777777" w:rsidR="00EA089F" w:rsidRDefault="00EA089F">
      <w:pPr>
        <w:ind w:left="720"/>
      </w:pPr>
    </w:p>
    <w:p w14:paraId="74211030" w14:textId="77777777" w:rsidR="00EA089F" w:rsidRDefault="00EA089F">
      <w:pPr>
        <w:ind w:left="720"/>
      </w:pPr>
    </w:p>
    <w:p w14:paraId="1865CCDC" w14:textId="77777777" w:rsidR="00EA089F" w:rsidRDefault="00EA089F" w:rsidP="00EA089F"/>
    <w:p w14:paraId="29740A79" w14:textId="77777777" w:rsidR="00611129" w:rsidRDefault="00611129">
      <w:pPr>
        <w:ind w:left="720"/>
      </w:pPr>
    </w:p>
    <w:p w14:paraId="000001D0" w14:textId="7138C1E9" w:rsidR="00404919" w:rsidRDefault="00E30665">
      <w:pPr>
        <w:ind w:left="720"/>
      </w:pPr>
      <w:r>
        <w:t>- Description:</w:t>
      </w:r>
    </w:p>
    <w:p w14:paraId="0106AB17" w14:textId="465EBCE5" w:rsidR="00EA089F" w:rsidRDefault="00EA089F" w:rsidP="00EA089F">
      <w:pPr>
        <w:ind w:left="720"/>
      </w:pPr>
      <w:r>
        <w:t>This visual represents the current operational state (Call Status, Caller Type Sales, Agent Workload) which serves as the justification for the capital distribution percentages.</w:t>
      </w:r>
    </w:p>
    <w:p w14:paraId="6F7B753C" w14:textId="63C27D20" w:rsidR="00EA089F" w:rsidRDefault="00EA089F" w:rsidP="00EA089F"/>
    <w:p w14:paraId="3747252B" w14:textId="77777777" w:rsidR="00611129" w:rsidRDefault="00611129" w:rsidP="00EA089F"/>
    <w:p w14:paraId="000001D3" w14:textId="77777777" w:rsidR="00404919" w:rsidRDefault="00E30665">
      <w:pPr>
        <w:ind w:left="720"/>
        <w:rPr>
          <w:b/>
          <w:bCs/>
        </w:rPr>
      </w:pPr>
      <w:r>
        <w:rPr>
          <w:b/>
          <w:bCs/>
          <w:color w:val="FF0000"/>
          <w:highlight w:val="white"/>
        </w:rPr>
        <w:lastRenderedPageBreak/>
        <w:t>Insights:</w:t>
      </w:r>
    </w:p>
    <w:p w14:paraId="081F8218" w14:textId="65F81CA9" w:rsidR="00EA089F" w:rsidRPr="00326E85" w:rsidRDefault="00EA089F" w:rsidP="00797C14">
      <w:pPr>
        <w:pStyle w:val="NormalWeb"/>
        <w:numPr>
          <w:ilvl w:val="0"/>
          <w:numId w:val="11"/>
        </w:numPr>
        <w:rPr>
          <w:rFonts w:ascii="Arial" w:hAnsi="Arial" w:cs="Arial"/>
          <w:sz w:val="22"/>
          <w:szCs w:val="22"/>
        </w:rPr>
      </w:pPr>
      <w:r w:rsidRPr="00326E85">
        <w:rPr>
          <w:rFonts w:ascii="Arial" w:hAnsi="Arial" w:cs="Arial"/>
          <w:b/>
          <w:bCs/>
          <w:sz w:val="22"/>
          <w:szCs w:val="22"/>
        </w:rPr>
        <w:t>Infrastructure Leakage:</w:t>
      </w:r>
      <w:r w:rsidRPr="00326E85">
        <w:rPr>
          <w:rFonts w:ascii="Arial" w:hAnsi="Arial" w:cs="Arial"/>
          <w:sz w:val="22"/>
          <w:szCs w:val="22"/>
        </w:rPr>
        <w:t xml:space="preserve"> Roughly 60% of all call attempts fail to connect successfully, representing a massive daily loss in potential billable minutes and severely damaging the customer experience.</w:t>
      </w:r>
    </w:p>
    <w:p w14:paraId="3BCE7D0E" w14:textId="7A70637F" w:rsidR="00EA089F" w:rsidRPr="00797C14" w:rsidRDefault="00EA089F" w:rsidP="00797C14">
      <w:pPr>
        <w:pStyle w:val="ListParagraph"/>
        <w:numPr>
          <w:ilvl w:val="0"/>
          <w:numId w:val="11"/>
        </w:numPr>
        <w:spacing w:before="100" w:beforeAutospacing="1" w:after="100" w:afterAutospacing="1" w:line="240" w:lineRule="auto"/>
        <w:rPr>
          <w:rFonts w:eastAsia="Times New Roman"/>
          <w:lang w:val="en-US"/>
        </w:rPr>
      </w:pPr>
      <w:r w:rsidRPr="00797C14">
        <w:rPr>
          <w:rFonts w:eastAsia="Times New Roman"/>
          <w:b/>
          <w:bCs/>
          <w:lang w:val="en-US"/>
        </w:rPr>
        <w:t>Revenue Dependency:</w:t>
      </w:r>
      <w:r w:rsidRPr="00797C14">
        <w:rPr>
          <w:rFonts w:eastAsia="Times New Roman"/>
          <w:lang w:val="en-US"/>
        </w:rPr>
        <w:t xml:space="preserve"> Repeating Users generate ₹2,09,417 (97.8% of total sales). The platform's entire profitability relies on retaining this specific VIP segment.</w:t>
      </w:r>
    </w:p>
    <w:p w14:paraId="7BA04D9C" w14:textId="12981008" w:rsidR="00EA089F" w:rsidRPr="00797C14" w:rsidRDefault="00EA089F" w:rsidP="00797C14">
      <w:pPr>
        <w:pStyle w:val="ListParagraph"/>
        <w:numPr>
          <w:ilvl w:val="0"/>
          <w:numId w:val="11"/>
        </w:numPr>
        <w:spacing w:before="100" w:beforeAutospacing="1" w:after="100" w:afterAutospacing="1" w:line="240" w:lineRule="auto"/>
        <w:rPr>
          <w:rFonts w:eastAsia="Times New Roman"/>
          <w:lang w:val="en-US"/>
        </w:rPr>
      </w:pPr>
      <w:r w:rsidRPr="00797C14">
        <w:rPr>
          <w:rFonts w:eastAsia="Times New Roman"/>
          <w:b/>
          <w:bCs/>
          <w:lang w:val="en-US"/>
        </w:rPr>
        <w:t>Quality/Volume Friction:</w:t>
      </w:r>
      <w:r w:rsidRPr="00797C14">
        <w:rPr>
          <w:rFonts w:eastAsia="Times New Roman"/>
          <w:lang w:val="en-US"/>
        </w:rPr>
        <w:t xml:space="preserve"> The highest-grossing individual agents (like Dr. </w:t>
      </w:r>
      <w:proofErr w:type="spellStart"/>
      <w:r w:rsidRPr="00797C14">
        <w:rPr>
          <w:rFonts w:eastAsia="Times New Roman"/>
          <w:lang w:val="en-US"/>
        </w:rPr>
        <w:t>Balkrisna</w:t>
      </w:r>
      <w:proofErr w:type="spellEnd"/>
      <w:r w:rsidRPr="00797C14">
        <w:rPr>
          <w:rFonts w:eastAsia="Times New Roman"/>
          <w:lang w:val="en-US"/>
        </w:rPr>
        <w:t>) suffer from notably poor CSAT ratings (~2.59) due to extreme workload concentration, risking the churn of the valuable repeat callers they interact with</w:t>
      </w:r>
      <w:r w:rsidR="00326E85" w:rsidRPr="00797C14">
        <w:rPr>
          <w:rFonts w:eastAsia="Times New Roman"/>
          <w:lang w:val="en-US"/>
        </w:rPr>
        <w:t xml:space="preserve"> and not becoming the top performer.</w:t>
      </w:r>
    </w:p>
    <w:p w14:paraId="000001D5" w14:textId="32990E0B" w:rsidR="00404919" w:rsidRDefault="00404919" w:rsidP="00326E85"/>
    <w:p w14:paraId="34BC8B0C" w14:textId="402F228A" w:rsidR="00326E85" w:rsidRDefault="00326E85" w:rsidP="00326E85"/>
    <w:p w14:paraId="6B4CDBCA" w14:textId="77777777" w:rsidR="00326E85" w:rsidRDefault="00326E85" w:rsidP="00326E85"/>
    <w:p w14:paraId="000001D6" w14:textId="77777777" w:rsidR="00404919" w:rsidRDefault="00E30665">
      <w:pPr>
        <w:ind w:left="720"/>
        <w:rPr>
          <w:b/>
          <w:bCs/>
        </w:rPr>
      </w:pPr>
      <w:r>
        <w:rPr>
          <w:b/>
          <w:bCs/>
          <w:color w:val="FF0000"/>
          <w:highlight w:val="white"/>
        </w:rPr>
        <w:t>Recommendations:</w:t>
      </w:r>
    </w:p>
    <w:p w14:paraId="17BD6158" w14:textId="3F14AF67" w:rsidR="00326E85" w:rsidRPr="00326E85" w:rsidRDefault="00326E85" w:rsidP="00797C14">
      <w:pPr>
        <w:pStyle w:val="NormalWeb"/>
        <w:numPr>
          <w:ilvl w:val="0"/>
          <w:numId w:val="10"/>
        </w:numPr>
        <w:rPr>
          <w:rFonts w:ascii="Arial" w:hAnsi="Arial" w:cs="Arial"/>
          <w:sz w:val="22"/>
          <w:szCs w:val="22"/>
        </w:rPr>
      </w:pPr>
      <w:r w:rsidRPr="00326E85">
        <w:rPr>
          <w:rFonts w:ascii="Arial" w:hAnsi="Arial" w:cs="Arial"/>
          <w:b/>
          <w:bCs/>
          <w:sz w:val="22"/>
          <w:szCs w:val="22"/>
        </w:rPr>
        <w:t>40 Lakhs (40%) - Infrastructure &amp; Tech Upgrades:</w:t>
      </w:r>
      <w:r w:rsidRPr="00326E85">
        <w:rPr>
          <w:rFonts w:ascii="Arial" w:hAnsi="Arial" w:cs="Arial"/>
          <w:sz w:val="22"/>
          <w:szCs w:val="22"/>
        </w:rPr>
        <w:t xml:space="preserve"> Direct the largest portion of the investment to overhaul the telephony and server routing infrastructure. Reclaiming the 60% of calls lost to "busy" or "failed" statuses will instantly yield a massive boost in operational efficiency and gross profitability.</w:t>
      </w:r>
    </w:p>
    <w:p w14:paraId="574C32EA" w14:textId="1799C568" w:rsidR="00326E85" w:rsidRPr="00797C14" w:rsidRDefault="00326E85" w:rsidP="00797C14">
      <w:pPr>
        <w:pStyle w:val="ListParagraph"/>
        <w:numPr>
          <w:ilvl w:val="0"/>
          <w:numId w:val="10"/>
        </w:numPr>
        <w:spacing w:before="100" w:beforeAutospacing="1" w:after="100" w:afterAutospacing="1" w:line="240" w:lineRule="auto"/>
        <w:rPr>
          <w:rFonts w:eastAsia="Times New Roman"/>
          <w:lang w:val="en-US"/>
        </w:rPr>
      </w:pPr>
      <w:r w:rsidRPr="00797C14">
        <w:rPr>
          <w:rFonts w:eastAsia="Times New Roman"/>
          <w:b/>
          <w:bCs/>
          <w:lang w:val="en-US"/>
        </w:rPr>
        <w:t>30 Lakhs (30%) - VIP Retention &amp; Priority Queues:</w:t>
      </w:r>
      <w:r w:rsidRPr="00797C14">
        <w:rPr>
          <w:rFonts w:eastAsia="Times New Roman"/>
          <w:lang w:val="en-US"/>
        </w:rPr>
        <w:t xml:space="preserve"> Since Repeat Callers drive nearly 98% of all revenue, deploy funds to build a "VIP Priority Queue." This ensures high-spending repeat customers bypass standard wait times and are instantly routed to top-rated agents, safeguarding customer satisfaction.</w:t>
      </w:r>
    </w:p>
    <w:p w14:paraId="214A1736" w14:textId="0136E919" w:rsidR="00326E85" w:rsidRPr="00797C14" w:rsidRDefault="00326E85" w:rsidP="00797C14">
      <w:pPr>
        <w:pStyle w:val="ListParagraph"/>
        <w:numPr>
          <w:ilvl w:val="0"/>
          <w:numId w:val="10"/>
        </w:numPr>
        <w:spacing w:before="100" w:beforeAutospacing="1" w:after="100" w:afterAutospacing="1" w:line="240" w:lineRule="auto"/>
        <w:rPr>
          <w:rFonts w:eastAsia="Times New Roman"/>
          <w:lang w:val="en-US"/>
        </w:rPr>
      </w:pPr>
      <w:r w:rsidRPr="00797C14">
        <w:rPr>
          <w:rFonts w:eastAsia="Times New Roman"/>
          <w:b/>
          <w:bCs/>
          <w:lang w:val="en-US"/>
        </w:rPr>
        <w:t>30 Lakhs (30%) - Agent Training &amp; Load Balancing:</w:t>
      </w:r>
      <w:r w:rsidRPr="00797C14">
        <w:rPr>
          <w:rFonts w:eastAsia="Times New Roman"/>
          <w:lang w:val="en-US"/>
        </w:rPr>
        <w:t xml:space="preserve"> Allocate capital to upskill mid-tier agents to handle excess volume, and institute mandatory quality-assurance training for top earners. This balances the workload, aligns high sales volume with higher CSAT ratings, and physically prevents top-agent burnout.</w:t>
      </w:r>
    </w:p>
    <w:p w14:paraId="000001D7" w14:textId="32692678" w:rsidR="00404919" w:rsidRDefault="00404919">
      <w:pPr>
        <w:ind w:left="720"/>
      </w:pPr>
    </w:p>
    <w:p w14:paraId="000001D8" w14:textId="77777777" w:rsidR="00404919" w:rsidRDefault="00404919"/>
    <w:p w14:paraId="000001D9" w14:textId="77777777" w:rsidR="00404919" w:rsidRDefault="00404919"/>
    <w:sectPr w:rsidR="004049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F6D06B-9370-423D-881D-C92382D13E28}"/>
    <w:embedBold r:id="rId2" w:fontKey="{2D20CC5F-9AC2-4980-B641-809023D5E15B}"/>
  </w:font>
  <w:font w:name="Cambria">
    <w:panose1 w:val="02040503050406030204"/>
    <w:charset w:val="00"/>
    <w:family w:val="roman"/>
    <w:pitch w:val="variable"/>
    <w:sig w:usb0="E00006FF" w:usb1="420024FF" w:usb2="02000000" w:usb3="00000000" w:csb0="0000019F" w:csb1="00000000"/>
    <w:embedRegular r:id="rId3" w:fontKey="{CD6DE852-7557-4A03-B193-AE05175C58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9B6"/>
    <w:multiLevelType w:val="hybridMultilevel"/>
    <w:tmpl w:val="4FF00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AC575F"/>
    <w:multiLevelType w:val="hybridMultilevel"/>
    <w:tmpl w:val="5B3C8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DA3E88"/>
    <w:multiLevelType w:val="multilevel"/>
    <w:tmpl w:val="757EC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55545"/>
    <w:multiLevelType w:val="hybridMultilevel"/>
    <w:tmpl w:val="EB0CE9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20703E"/>
    <w:multiLevelType w:val="hybridMultilevel"/>
    <w:tmpl w:val="8A52D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4515A8"/>
    <w:multiLevelType w:val="hybridMultilevel"/>
    <w:tmpl w:val="11AA22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B130C1"/>
    <w:multiLevelType w:val="hybridMultilevel"/>
    <w:tmpl w:val="1DB63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AD3811"/>
    <w:multiLevelType w:val="hybridMultilevel"/>
    <w:tmpl w:val="3698F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014773"/>
    <w:multiLevelType w:val="hybridMultilevel"/>
    <w:tmpl w:val="99FA8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C5C59"/>
    <w:multiLevelType w:val="hybridMultilevel"/>
    <w:tmpl w:val="088EA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F6A4F71"/>
    <w:multiLevelType w:val="hybridMultilevel"/>
    <w:tmpl w:val="CCE89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8323DF"/>
    <w:multiLevelType w:val="multilevel"/>
    <w:tmpl w:val="9558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257067"/>
    <w:multiLevelType w:val="hybridMultilevel"/>
    <w:tmpl w:val="F0E2C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6C30208"/>
    <w:multiLevelType w:val="hybridMultilevel"/>
    <w:tmpl w:val="537630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2"/>
  </w:num>
  <w:num w:numId="3">
    <w:abstractNumId w:val="13"/>
  </w:num>
  <w:num w:numId="4">
    <w:abstractNumId w:val="7"/>
  </w:num>
  <w:num w:numId="5">
    <w:abstractNumId w:val="9"/>
  </w:num>
  <w:num w:numId="6">
    <w:abstractNumId w:val="0"/>
  </w:num>
  <w:num w:numId="7">
    <w:abstractNumId w:val="1"/>
  </w:num>
  <w:num w:numId="8">
    <w:abstractNumId w:val="4"/>
  </w:num>
  <w:num w:numId="9">
    <w:abstractNumId w:val="11"/>
  </w:num>
  <w:num w:numId="10">
    <w:abstractNumId w:val="6"/>
  </w:num>
  <w:num w:numId="11">
    <w:abstractNumId w:val="10"/>
  </w:num>
  <w:num w:numId="12">
    <w:abstractNumId w:val="3"/>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919"/>
    <w:rsid w:val="00061B2F"/>
    <w:rsid w:val="000D6F62"/>
    <w:rsid w:val="00173854"/>
    <w:rsid w:val="001878FF"/>
    <w:rsid w:val="002A18A7"/>
    <w:rsid w:val="002D01E8"/>
    <w:rsid w:val="00305C87"/>
    <w:rsid w:val="00326E85"/>
    <w:rsid w:val="00351F41"/>
    <w:rsid w:val="003B1412"/>
    <w:rsid w:val="00404919"/>
    <w:rsid w:val="004975E9"/>
    <w:rsid w:val="004F63DE"/>
    <w:rsid w:val="00537990"/>
    <w:rsid w:val="00556B82"/>
    <w:rsid w:val="005755D0"/>
    <w:rsid w:val="00611129"/>
    <w:rsid w:val="007243C0"/>
    <w:rsid w:val="00743AE6"/>
    <w:rsid w:val="00745DC3"/>
    <w:rsid w:val="00797C14"/>
    <w:rsid w:val="007A508A"/>
    <w:rsid w:val="007C2769"/>
    <w:rsid w:val="007D63C2"/>
    <w:rsid w:val="008016F1"/>
    <w:rsid w:val="008A3FA1"/>
    <w:rsid w:val="00A21248"/>
    <w:rsid w:val="00A262B9"/>
    <w:rsid w:val="00A40053"/>
    <w:rsid w:val="00A84B1B"/>
    <w:rsid w:val="00AF44A6"/>
    <w:rsid w:val="00C02ACA"/>
    <w:rsid w:val="00C41902"/>
    <w:rsid w:val="00C42CC0"/>
    <w:rsid w:val="00C804EF"/>
    <w:rsid w:val="00CC284A"/>
    <w:rsid w:val="00E22E33"/>
    <w:rsid w:val="00E30665"/>
    <w:rsid w:val="00EA089F"/>
    <w:rsid w:val="00F912B5"/>
    <w:rsid w:val="00FC5B83"/>
    <w:rsid w:val="00FE5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2A13"/>
  <w15:docId w15:val="{5F4279CE-7132-4546-856E-DB04EF27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05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A18A7"/>
    <w:pPr>
      <w:ind w:left="720"/>
      <w:contextualSpacing/>
    </w:pPr>
  </w:style>
  <w:style w:type="character" w:styleId="HTMLCode">
    <w:name w:val="HTML Code"/>
    <w:basedOn w:val="DefaultParagraphFont"/>
    <w:uiPriority w:val="99"/>
    <w:semiHidden/>
    <w:unhideWhenUsed/>
    <w:rsid w:val="007A508A"/>
    <w:rPr>
      <w:rFonts w:ascii="Courier New" w:eastAsia="Times New Roman" w:hAnsi="Courier New" w:cs="Courier New"/>
      <w:sz w:val="20"/>
      <w:szCs w:val="20"/>
    </w:rPr>
  </w:style>
  <w:style w:type="paragraph" w:styleId="NormalWeb">
    <w:name w:val="Normal (Web)"/>
    <w:basedOn w:val="Normal"/>
    <w:uiPriority w:val="99"/>
    <w:unhideWhenUsed/>
    <w:rsid w:val="00C42CC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54653">
      <w:bodyDiv w:val="1"/>
      <w:marLeft w:val="0"/>
      <w:marRight w:val="0"/>
      <w:marTop w:val="0"/>
      <w:marBottom w:val="0"/>
      <w:divBdr>
        <w:top w:val="none" w:sz="0" w:space="0" w:color="auto"/>
        <w:left w:val="none" w:sz="0" w:space="0" w:color="auto"/>
        <w:bottom w:val="none" w:sz="0" w:space="0" w:color="auto"/>
        <w:right w:val="none" w:sz="0" w:space="0" w:color="auto"/>
      </w:divBdr>
    </w:div>
    <w:div w:id="211428816">
      <w:bodyDiv w:val="1"/>
      <w:marLeft w:val="0"/>
      <w:marRight w:val="0"/>
      <w:marTop w:val="0"/>
      <w:marBottom w:val="0"/>
      <w:divBdr>
        <w:top w:val="none" w:sz="0" w:space="0" w:color="auto"/>
        <w:left w:val="none" w:sz="0" w:space="0" w:color="auto"/>
        <w:bottom w:val="none" w:sz="0" w:space="0" w:color="auto"/>
        <w:right w:val="none" w:sz="0" w:space="0" w:color="auto"/>
      </w:divBdr>
    </w:div>
    <w:div w:id="337198031">
      <w:bodyDiv w:val="1"/>
      <w:marLeft w:val="0"/>
      <w:marRight w:val="0"/>
      <w:marTop w:val="0"/>
      <w:marBottom w:val="0"/>
      <w:divBdr>
        <w:top w:val="none" w:sz="0" w:space="0" w:color="auto"/>
        <w:left w:val="none" w:sz="0" w:space="0" w:color="auto"/>
        <w:bottom w:val="none" w:sz="0" w:space="0" w:color="auto"/>
        <w:right w:val="none" w:sz="0" w:space="0" w:color="auto"/>
      </w:divBdr>
    </w:div>
    <w:div w:id="372926494">
      <w:bodyDiv w:val="1"/>
      <w:marLeft w:val="0"/>
      <w:marRight w:val="0"/>
      <w:marTop w:val="0"/>
      <w:marBottom w:val="0"/>
      <w:divBdr>
        <w:top w:val="none" w:sz="0" w:space="0" w:color="auto"/>
        <w:left w:val="none" w:sz="0" w:space="0" w:color="auto"/>
        <w:bottom w:val="none" w:sz="0" w:space="0" w:color="auto"/>
        <w:right w:val="none" w:sz="0" w:space="0" w:color="auto"/>
      </w:divBdr>
    </w:div>
    <w:div w:id="447430117">
      <w:bodyDiv w:val="1"/>
      <w:marLeft w:val="0"/>
      <w:marRight w:val="0"/>
      <w:marTop w:val="0"/>
      <w:marBottom w:val="0"/>
      <w:divBdr>
        <w:top w:val="none" w:sz="0" w:space="0" w:color="auto"/>
        <w:left w:val="none" w:sz="0" w:space="0" w:color="auto"/>
        <w:bottom w:val="none" w:sz="0" w:space="0" w:color="auto"/>
        <w:right w:val="none" w:sz="0" w:space="0" w:color="auto"/>
      </w:divBdr>
    </w:div>
    <w:div w:id="584656403">
      <w:bodyDiv w:val="1"/>
      <w:marLeft w:val="0"/>
      <w:marRight w:val="0"/>
      <w:marTop w:val="0"/>
      <w:marBottom w:val="0"/>
      <w:divBdr>
        <w:top w:val="none" w:sz="0" w:space="0" w:color="auto"/>
        <w:left w:val="none" w:sz="0" w:space="0" w:color="auto"/>
        <w:bottom w:val="none" w:sz="0" w:space="0" w:color="auto"/>
        <w:right w:val="none" w:sz="0" w:space="0" w:color="auto"/>
      </w:divBdr>
    </w:div>
    <w:div w:id="607080746">
      <w:bodyDiv w:val="1"/>
      <w:marLeft w:val="0"/>
      <w:marRight w:val="0"/>
      <w:marTop w:val="0"/>
      <w:marBottom w:val="0"/>
      <w:divBdr>
        <w:top w:val="none" w:sz="0" w:space="0" w:color="auto"/>
        <w:left w:val="none" w:sz="0" w:space="0" w:color="auto"/>
        <w:bottom w:val="none" w:sz="0" w:space="0" w:color="auto"/>
        <w:right w:val="none" w:sz="0" w:space="0" w:color="auto"/>
      </w:divBdr>
    </w:div>
    <w:div w:id="715619781">
      <w:bodyDiv w:val="1"/>
      <w:marLeft w:val="0"/>
      <w:marRight w:val="0"/>
      <w:marTop w:val="0"/>
      <w:marBottom w:val="0"/>
      <w:divBdr>
        <w:top w:val="none" w:sz="0" w:space="0" w:color="auto"/>
        <w:left w:val="none" w:sz="0" w:space="0" w:color="auto"/>
        <w:bottom w:val="none" w:sz="0" w:space="0" w:color="auto"/>
        <w:right w:val="none" w:sz="0" w:space="0" w:color="auto"/>
      </w:divBdr>
    </w:div>
    <w:div w:id="717438154">
      <w:bodyDiv w:val="1"/>
      <w:marLeft w:val="0"/>
      <w:marRight w:val="0"/>
      <w:marTop w:val="0"/>
      <w:marBottom w:val="0"/>
      <w:divBdr>
        <w:top w:val="none" w:sz="0" w:space="0" w:color="auto"/>
        <w:left w:val="none" w:sz="0" w:space="0" w:color="auto"/>
        <w:bottom w:val="none" w:sz="0" w:space="0" w:color="auto"/>
        <w:right w:val="none" w:sz="0" w:space="0" w:color="auto"/>
      </w:divBdr>
    </w:div>
    <w:div w:id="865750748">
      <w:bodyDiv w:val="1"/>
      <w:marLeft w:val="0"/>
      <w:marRight w:val="0"/>
      <w:marTop w:val="0"/>
      <w:marBottom w:val="0"/>
      <w:divBdr>
        <w:top w:val="none" w:sz="0" w:space="0" w:color="auto"/>
        <w:left w:val="none" w:sz="0" w:space="0" w:color="auto"/>
        <w:bottom w:val="none" w:sz="0" w:space="0" w:color="auto"/>
        <w:right w:val="none" w:sz="0" w:space="0" w:color="auto"/>
      </w:divBdr>
    </w:div>
    <w:div w:id="999385007">
      <w:bodyDiv w:val="1"/>
      <w:marLeft w:val="0"/>
      <w:marRight w:val="0"/>
      <w:marTop w:val="0"/>
      <w:marBottom w:val="0"/>
      <w:divBdr>
        <w:top w:val="none" w:sz="0" w:space="0" w:color="auto"/>
        <w:left w:val="none" w:sz="0" w:space="0" w:color="auto"/>
        <w:bottom w:val="none" w:sz="0" w:space="0" w:color="auto"/>
        <w:right w:val="none" w:sz="0" w:space="0" w:color="auto"/>
      </w:divBdr>
    </w:div>
    <w:div w:id="1327593450">
      <w:bodyDiv w:val="1"/>
      <w:marLeft w:val="0"/>
      <w:marRight w:val="0"/>
      <w:marTop w:val="0"/>
      <w:marBottom w:val="0"/>
      <w:divBdr>
        <w:top w:val="none" w:sz="0" w:space="0" w:color="auto"/>
        <w:left w:val="none" w:sz="0" w:space="0" w:color="auto"/>
        <w:bottom w:val="none" w:sz="0" w:space="0" w:color="auto"/>
        <w:right w:val="none" w:sz="0" w:space="0" w:color="auto"/>
      </w:divBdr>
    </w:div>
    <w:div w:id="1594821875">
      <w:bodyDiv w:val="1"/>
      <w:marLeft w:val="0"/>
      <w:marRight w:val="0"/>
      <w:marTop w:val="0"/>
      <w:marBottom w:val="0"/>
      <w:divBdr>
        <w:top w:val="none" w:sz="0" w:space="0" w:color="auto"/>
        <w:left w:val="none" w:sz="0" w:space="0" w:color="auto"/>
        <w:bottom w:val="none" w:sz="0" w:space="0" w:color="auto"/>
        <w:right w:val="none" w:sz="0" w:space="0" w:color="auto"/>
      </w:divBdr>
    </w:div>
    <w:div w:id="1801144284">
      <w:bodyDiv w:val="1"/>
      <w:marLeft w:val="0"/>
      <w:marRight w:val="0"/>
      <w:marTop w:val="0"/>
      <w:marBottom w:val="0"/>
      <w:divBdr>
        <w:top w:val="none" w:sz="0" w:space="0" w:color="auto"/>
        <w:left w:val="none" w:sz="0" w:space="0" w:color="auto"/>
        <w:bottom w:val="none" w:sz="0" w:space="0" w:color="auto"/>
        <w:right w:val="none" w:sz="0" w:space="0" w:color="auto"/>
      </w:divBdr>
    </w:div>
    <w:div w:id="1919710561">
      <w:bodyDiv w:val="1"/>
      <w:marLeft w:val="0"/>
      <w:marRight w:val="0"/>
      <w:marTop w:val="0"/>
      <w:marBottom w:val="0"/>
      <w:divBdr>
        <w:top w:val="none" w:sz="0" w:space="0" w:color="auto"/>
        <w:left w:val="none" w:sz="0" w:space="0" w:color="auto"/>
        <w:bottom w:val="none" w:sz="0" w:space="0" w:color="auto"/>
        <w:right w:val="none" w:sz="0" w:space="0" w:color="auto"/>
      </w:divBdr>
    </w:div>
    <w:div w:id="1989630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1.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google.com/document/d/1Vxwx8DANH4tJItFMTdtPq8qnaFJhkQwx/edit?usp=drive_link&amp;ouid=103573057252138253530&amp;rtpof=true&amp;sd=true" TargetMode="Externa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hart" Target="charts/chart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rayan\Downloads\Template%20(Astrosage)(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yan\Downloads\Template%20(Astrosage)(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ayan\Downloads\Template%20(Astrosage)(AutoRecovere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(Astrosage)(AutoRecovered).xlsx]Q-1 I Subjective!REPEAT RATES</c:name>
    <c:fmtId val="-1"/>
  </c:pivotSource>
  <c:chart>
    <c:title>
      <c:tx>
        <c:rich>
          <a:bodyPr rot="0" spcFirstLastPara="1" vertOverflow="ellipsis" vert="horz" wrap="square" anchor="ctr" anchorCtr="1"/>
          <a:lstStyle/>
          <a:p>
            <a:pPr>
              <a:defRPr sz="1600" b="1" i="0" u="none" strike="noStrike" kern="1200" spc="0" baseline="0">
                <a:solidFill>
                  <a:schemeClr val="tx1">
                    <a:lumMod val="65000"/>
                    <a:lumOff val="35000"/>
                  </a:schemeClr>
                </a:solidFill>
                <a:latin typeface="+mn-lt"/>
                <a:ea typeface="+mn-ea"/>
                <a:cs typeface="+mn-cs"/>
              </a:defRPr>
            </a:pPr>
            <a:r>
              <a:rPr lang="en-US" sz="1200" b="1"/>
              <a:t>User Types</a:t>
            </a:r>
          </a:p>
        </c:rich>
      </c:tx>
      <c:overlay val="0"/>
      <c:spPr>
        <a:noFill/>
        <a:ln>
          <a:noFill/>
        </a:ln>
        <a:effectLst/>
      </c:spPr>
      <c:txPr>
        <a:bodyPr rot="0" spcFirstLastPara="1" vertOverflow="ellipsis" vert="horz" wrap="square" anchor="ctr" anchorCtr="1"/>
        <a:lstStyle/>
        <a:p>
          <a:pPr>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no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no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9702121161748731"/>
          <c:y val="0.17777777777777778"/>
          <c:w val="0.76370231058570659"/>
          <c:h val="0.77129629629629626"/>
        </c:manualLayout>
      </c:layout>
      <c:barChart>
        <c:barDir val="bar"/>
        <c:grouping val="clustered"/>
        <c:varyColors val="0"/>
        <c:ser>
          <c:idx val="0"/>
          <c:order val="0"/>
          <c:tx>
            <c:strRef>
              <c:f>'Q-1 I Subjective'!$F$52</c:f>
              <c:strCache>
                <c:ptCount val="1"/>
                <c:pt idx="0">
                  <c:v>Count of user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Subjective'!$E$53:$E$55</c:f>
              <c:strCache>
                <c:ptCount val="2"/>
                <c:pt idx="0">
                  <c:v>Repeating Caller</c:v>
                </c:pt>
                <c:pt idx="1">
                  <c:v>Single Caller</c:v>
                </c:pt>
              </c:strCache>
            </c:strRef>
          </c:cat>
          <c:val>
            <c:numRef>
              <c:f>'Q-1 I Subjective'!$F$53:$F$55</c:f>
              <c:numCache>
                <c:formatCode>General</c:formatCode>
                <c:ptCount val="2"/>
                <c:pt idx="0">
                  <c:v>6626</c:v>
                </c:pt>
                <c:pt idx="1">
                  <c:v>1882</c:v>
                </c:pt>
              </c:numCache>
            </c:numRef>
          </c:val>
          <c:extLst>
            <c:ext xmlns:c16="http://schemas.microsoft.com/office/drawing/2014/chart" uri="{C3380CC4-5D6E-409C-BE32-E72D297353CC}">
              <c16:uniqueId val="{00000000-1690-4C08-9329-ACFE5C4A5AD8}"/>
            </c:ext>
          </c:extLst>
        </c:ser>
        <c:ser>
          <c:idx val="1"/>
          <c:order val="1"/>
          <c:tx>
            <c:strRef>
              <c:f>'Q-1 I Subjective'!$G$52</c:f>
              <c:strCache>
                <c:ptCount val="1"/>
                <c:pt idx="0">
                  <c:v>% VALUE</c:v>
                </c:pt>
              </c:strCache>
            </c:strRef>
          </c:tx>
          <c:spPr>
            <a:no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Subjective'!$E$53:$E$55</c:f>
              <c:strCache>
                <c:ptCount val="2"/>
                <c:pt idx="0">
                  <c:v>Repeating Caller</c:v>
                </c:pt>
                <c:pt idx="1">
                  <c:v>Single Caller</c:v>
                </c:pt>
              </c:strCache>
            </c:strRef>
          </c:cat>
          <c:val>
            <c:numRef>
              <c:f>'Q-1 I Subjective'!$G$53:$G$55</c:f>
              <c:numCache>
                <c:formatCode>0.00%</c:formatCode>
                <c:ptCount val="2"/>
                <c:pt idx="0">
                  <c:v>0.77879642689233664</c:v>
                </c:pt>
                <c:pt idx="1">
                  <c:v>0.22120357310766336</c:v>
                </c:pt>
              </c:numCache>
            </c:numRef>
          </c:val>
          <c:extLst>
            <c:ext xmlns:c16="http://schemas.microsoft.com/office/drawing/2014/chart" uri="{C3380CC4-5D6E-409C-BE32-E72D297353CC}">
              <c16:uniqueId val="{00000001-1690-4C08-9329-ACFE5C4A5AD8}"/>
            </c:ext>
          </c:extLst>
        </c:ser>
        <c:dLbls>
          <c:dLblPos val="outEnd"/>
          <c:showLegendKey val="0"/>
          <c:showVal val="1"/>
          <c:showCatName val="0"/>
          <c:showSerName val="0"/>
          <c:showPercent val="0"/>
          <c:showBubbleSize val="0"/>
        </c:dLbls>
        <c:gapWidth val="182"/>
        <c:axId val="1092966511"/>
        <c:axId val="1092965679"/>
      </c:barChart>
      <c:catAx>
        <c:axId val="109296651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092965679"/>
        <c:crosses val="autoZero"/>
        <c:auto val="1"/>
        <c:lblAlgn val="ctr"/>
        <c:lblOffset val="100"/>
        <c:noMultiLvlLbl val="0"/>
      </c:catAx>
      <c:valAx>
        <c:axId val="1092965679"/>
        <c:scaling>
          <c:orientation val="minMax"/>
        </c:scaling>
        <c:delete val="1"/>
        <c:axPos val="b"/>
        <c:numFmt formatCode="#,##0" sourceLinked="0"/>
        <c:majorTickMark val="none"/>
        <c:minorTickMark val="none"/>
        <c:tickLblPos val="nextTo"/>
        <c:crossAx val="10929665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(Astrosage)(AutoRecovered).xlsx]Q-1 I Subjective!CALL COMPLETION EFFICIENCY</c:name>
    <c:fmtId val="-1"/>
  </c:pivotSource>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Calls Status </a:t>
            </a:r>
          </a:p>
        </c:rich>
      </c:tx>
      <c:layout>
        <c:manualLayout>
          <c:xMode val="edge"/>
          <c:yMode val="edge"/>
          <c:x val="0.38238341968911915"/>
          <c:y val="3.457814661134163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dLbl>
          <c:idx val="0"/>
          <c:layout>
            <c:manualLayout>
              <c:x val="8.6370602361599616E-2"/>
              <c:y val="-1.3933169060904405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dLbl>
          <c:idx val="0"/>
          <c:layout>
            <c:manualLayout>
              <c:x val="4.9354629920914063E-3"/>
              <c:y val="7.8954624678458291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dLbl>
          <c:idx val="0"/>
          <c:layout>
            <c:manualLayout>
              <c:x val="-5.4290092913005517E-2"/>
              <c:y val="5.5732676243617704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dLbl>
          <c:idx val="0"/>
          <c:layout>
            <c:manualLayout>
              <c:x val="-9.8709259841828129E-2"/>
              <c:y val="0"/>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dLbl>
          <c:idx val="0"/>
          <c:layout>
            <c:manualLayout>
              <c:x val="-4.9354629920914063E-3"/>
              <c:y val="-8.8243404052394572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dLbl>
          <c:idx val="0"/>
          <c:layout>
            <c:manualLayout>
              <c:x val="8.6370602361599616E-2"/>
              <c:y val="-1.3933169060904405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dLbl>
          <c:idx val="0"/>
          <c:layout>
            <c:manualLayout>
              <c:x val="4.9354629920914063E-3"/>
              <c:y val="7.8954624678458291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dLbl>
          <c:idx val="0"/>
          <c:layout>
            <c:manualLayout>
              <c:x val="-5.4290092913005517E-2"/>
              <c:y val="5.5732676243617704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dLbl>
          <c:idx val="0"/>
          <c:layout>
            <c:manualLayout>
              <c:x val="-9.8709259841828129E-2"/>
              <c:y val="0"/>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dLbl>
          <c:idx val="0"/>
          <c:layout>
            <c:manualLayout>
              <c:x val="-4.9354629920914063E-3"/>
              <c:y val="-8.8243404052394572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dLbl>
          <c:idx val="0"/>
          <c:layout>
            <c:manualLayout>
              <c:x val="8.6370602361599616E-2"/>
              <c:y val="-1.3933169060904405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19050">
            <a:solidFill>
              <a:schemeClr val="lt1"/>
            </a:solidFill>
          </a:ln>
          <a:effectLst/>
        </c:spPr>
        <c:dLbl>
          <c:idx val="0"/>
          <c:layout>
            <c:manualLayout>
              <c:x val="4.9354629920914063E-3"/>
              <c:y val="7.8954624678458291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dLbl>
          <c:idx val="0"/>
          <c:layout>
            <c:manualLayout>
              <c:x val="-5.4290092913005517E-2"/>
              <c:y val="5.5732676243617704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dLbl>
          <c:idx val="0"/>
          <c:layout>
            <c:manualLayout>
              <c:x val="-9.8709259841828129E-2"/>
              <c:y val="0"/>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w="19050">
            <a:solidFill>
              <a:schemeClr val="lt1"/>
            </a:solidFill>
          </a:ln>
          <a:effectLst/>
        </c:spPr>
        <c:dLbl>
          <c:idx val="0"/>
          <c:layout>
            <c:manualLayout>
              <c:x val="-4.9354629920914063E-3"/>
              <c:y val="-8.8243404052394572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32091263739432963"/>
          <c:y val="0.24939447403099513"/>
          <c:w val="0.32244101522328467"/>
          <c:h val="0.62403262870149534"/>
        </c:manualLayout>
      </c:layout>
      <c:doughnutChart>
        <c:varyColors val="1"/>
        <c:ser>
          <c:idx val="0"/>
          <c:order val="0"/>
          <c:tx>
            <c:strRef>
              <c:f>'Q-1 I Subjective'!$F$34</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607-43A6-B1C1-7394C1EE1E0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607-43A6-B1C1-7394C1EE1E0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607-43A6-B1C1-7394C1EE1E0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607-43A6-B1C1-7394C1EE1E0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607-43A6-B1C1-7394C1EE1E0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607-43A6-B1C1-7394C1EE1E0C}"/>
              </c:ext>
            </c:extLst>
          </c:dPt>
          <c:dLbls>
            <c:dLbl>
              <c:idx val="0"/>
              <c:layout>
                <c:manualLayout>
                  <c:x val="9.7090539223065098E-2"/>
                  <c:y val="-4.8511233813615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607-43A6-B1C1-7394C1EE1E0C}"/>
                </c:ext>
              </c:extLst>
            </c:dLbl>
            <c:dLbl>
              <c:idx val="1"/>
              <c:layout>
                <c:manualLayout>
                  <c:x val="4.9354629920914063E-3"/>
                  <c:y val="7.89546246784582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607-43A6-B1C1-7394C1EE1E0C}"/>
                </c:ext>
              </c:extLst>
            </c:dLbl>
            <c:dLbl>
              <c:idx val="2"/>
              <c:layout>
                <c:manualLayout>
                  <c:x val="-9.359682281987397E-2"/>
                  <c:y val="9.03110399581795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607-43A6-B1C1-7394C1EE1E0C}"/>
                </c:ext>
              </c:extLst>
            </c:dLbl>
            <c:dLbl>
              <c:idx val="3"/>
              <c:layout>
                <c:manualLayout>
                  <c:x val="-0.12729597830108649"/>
                  <c:y val="-2.07468879668049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607-43A6-B1C1-7394C1EE1E0C}"/>
                </c:ext>
              </c:extLst>
            </c:dLbl>
            <c:dLbl>
              <c:idx val="4"/>
              <c:layout>
                <c:manualLayout>
                  <c:x val="-4.9354629920914063E-3"/>
                  <c:y val="-8.82434040523945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607-43A6-B1C1-7394C1EE1E0C}"/>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Subjective'!$E$35:$E$40</c:f>
              <c:strCache>
                <c:ptCount val="5"/>
                <c:pt idx="0">
                  <c:v>completed</c:v>
                </c:pt>
                <c:pt idx="1">
                  <c:v>no-answer</c:v>
                </c:pt>
                <c:pt idx="2">
                  <c:v>busy</c:v>
                </c:pt>
                <c:pt idx="3">
                  <c:v>failed</c:v>
                </c:pt>
                <c:pt idx="4">
                  <c:v>incomplete</c:v>
                </c:pt>
              </c:strCache>
            </c:strRef>
          </c:cat>
          <c:val>
            <c:numRef>
              <c:f>'Q-1 I Subjective'!$F$35:$F$40</c:f>
              <c:numCache>
                <c:formatCode>0.00%</c:formatCode>
                <c:ptCount val="5"/>
                <c:pt idx="0">
                  <c:v>0.40550070521861775</c:v>
                </c:pt>
                <c:pt idx="1">
                  <c:v>0.20310296191819463</c:v>
                </c:pt>
                <c:pt idx="2">
                  <c:v>0.14927127409496943</c:v>
                </c:pt>
                <c:pt idx="3">
                  <c:v>0.13928067700987307</c:v>
                </c:pt>
                <c:pt idx="4">
                  <c:v>0.10284438175834509</c:v>
                </c:pt>
              </c:numCache>
            </c:numRef>
          </c:val>
          <c:extLst>
            <c:ext xmlns:c16="http://schemas.microsoft.com/office/drawing/2014/chart" uri="{C3380CC4-5D6E-409C-BE32-E72D297353CC}">
              <c16:uniqueId val="{0000000C-5607-43A6-B1C1-7394C1EE1E0C}"/>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layout>
        <c:manualLayout>
          <c:xMode val="edge"/>
          <c:yMode val="edge"/>
          <c:x val="0.81545034671273564"/>
          <c:y val="3.2581326711754413E-2"/>
          <c:w val="0.16974335238647251"/>
          <c:h val="0.66487894925997326"/>
        </c:manualLayout>
      </c:layout>
      <c:overlay val="1"/>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(Astrosage)(AutoRecovered).xlsx]Q-4 I Subjective!PivotTable10</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200" b="1"/>
              <a:t>DAILY</a:t>
            </a:r>
            <a:r>
              <a:rPr lang="en-US" sz="1200" b="1" baseline="0"/>
              <a:t> </a:t>
            </a:r>
            <a:r>
              <a:rPr lang="en-US" sz="1200" b="1"/>
              <a:t>TREND ANALYSIS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2"/>
            </a:solidFill>
            <a:round/>
          </a:ln>
          <a:effectLst/>
        </c:spPr>
        <c:marker>
          <c:symbol val="none"/>
        </c:marker>
      </c:pivotFmt>
      <c:pivotFmt>
        <c:idx val="3"/>
        <c:spPr>
          <a:solidFill>
            <a:schemeClr val="accent1"/>
          </a:solidFill>
          <a:ln w="28575" cap="rnd">
            <a:solidFill>
              <a:schemeClr val="accent2"/>
            </a:solidFill>
            <a:round/>
          </a:ln>
          <a:effectLst/>
        </c:spPr>
        <c:marker>
          <c:symbol val="none"/>
        </c:marker>
      </c:pivotFmt>
      <c:pivotFmt>
        <c:idx val="4"/>
        <c:spPr>
          <a:solidFill>
            <a:schemeClr val="accent1"/>
          </a:solidFill>
          <a:ln w="28575" cap="rnd">
            <a:solidFill>
              <a:schemeClr val="accent2"/>
            </a:solidFill>
            <a:round/>
          </a:ln>
          <a:effectLst/>
        </c:spPr>
        <c:marker>
          <c:symbol val="none"/>
        </c:marker>
      </c:pivotFmt>
      <c:pivotFmt>
        <c:idx val="5"/>
        <c:spPr>
          <a:solidFill>
            <a:schemeClr val="accent1"/>
          </a:solidFill>
          <a:ln w="28575" cap="rnd">
            <a:solidFill>
              <a:schemeClr val="accent2"/>
            </a:solidFill>
            <a:round/>
          </a:ln>
          <a:effectLst/>
        </c:spPr>
        <c:marker>
          <c:symbol val="none"/>
        </c:marker>
      </c:pivotFmt>
      <c:pivotFmt>
        <c:idx val="6"/>
        <c:spPr>
          <a:solidFill>
            <a:schemeClr val="accent1"/>
          </a:solidFill>
          <a:ln w="28575" cap="rnd">
            <a:solidFill>
              <a:schemeClr val="accent2"/>
            </a:solidFill>
            <a:round/>
          </a:ln>
          <a:effectLst/>
        </c:spPr>
        <c:marker>
          <c:symbol val="none"/>
        </c:marker>
      </c:pivotFmt>
      <c:pivotFmt>
        <c:idx val="7"/>
        <c:spPr>
          <a:solidFill>
            <a:schemeClr val="accent1"/>
          </a:solidFill>
          <a:ln w="28575" cap="rnd">
            <a:solidFill>
              <a:schemeClr val="accent2"/>
            </a:solidFill>
            <a:round/>
          </a:ln>
          <a:effectLst/>
        </c:spPr>
        <c:marker>
          <c:symbol val="none"/>
        </c:marker>
      </c:pivotFmt>
      <c:pivotFmt>
        <c:idx val="8"/>
        <c:spPr>
          <a:solidFill>
            <a:schemeClr val="accent1"/>
          </a:solidFill>
          <a:ln w="28575" cap="rnd">
            <a:solidFill>
              <a:schemeClr val="accent2"/>
            </a:solidFill>
            <a:round/>
          </a:ln>
          <a:effectLst/>
        </c:spPr>
        <c:marker>
          <c:symbol val="none"/>
        </c:marker>
      </c:pivotFmt>
      <c:pivotFmt>
        <c:idx val="9"/>
        <c:spPr>
          <a:solidFill>
            <a:schemeClr val="accent1"/>
          </a:solidFill>
          <a:ln w="28575" cap="rnd">
            <a:solidFill>
              <a:schemeClr val="accent2"/>
            </a:solidFill>
            <a:round/>
          </a:ln>
          <a:effectLst/>
        </c:spPr>
        <c:marker>
          <c:symbol val="none"/>
        </c:marker>
      </c:pivotFmt>
      <c:pivotFmt>
        <c:idx val="10"/>
        <c:spPr>
          <a:solidFill>
            <a:schemeClr val="accent1"/>
          </a:solidFill>
          <a:ln w="28575" cap="rnd">
            <a:solidFill>
              <a:schemeClr val="accent2"/>
            </a:solidFill>
            <a:round/>
          </a:ln>
          <a:effectLst/>
        </c:spPr>
        <c:marker>
          <c:symbol val="none"/>
        </c:marker>
      </c:pivotFmt>
      <c:pivotFmt>
        <c:idx val="11"/>
        <c:spPr>
          <a:solidFill>
            <a:schemeClr val="accent1"/>
          </a:solidFill>
          <a:ln w="28575" cap="rnd">
            <a:solidFill>
              <a:schemeClr val="accent2"/>
            </a:solidFill>
            <a:round/>
          </a:ln>
          <a:effectLst/>
        </c:spPr>
        <c:marker>
          <c:symbol val="none"/>
        </c:marker>
      </c:pivotFmt>
      <c:pivotFmt>
        <c:idx val="12"/>
        <c:spPr>
          <a:solidFill>
            <a:schemeClr val="accent1"/>
          </a:solidFill>
          <a:ln w="28575" cap="rnd">
            <a:solidFill>
              <a:schemeClr val="accent2"/>
            </a:solidFill>
            <a:round/>
          </a:ln>
          <a:effectLst/>
        </c:spPr>
        <c:marker>
          <c:symbol val="none"/>
        </c:marker>
      </c:pivotFmt>
      <c:pivotFmt>
        <c:idx val="13"/>
        <c:spPr>
          <a:solidFill>
            <a:schemeClr val="accent1"/>
          </a:solidFill>
          <a:ln w="28575" cap="rnd">
            <a:solidFill>
              <a:schemeClr val="accent2"/>
            </a:solidFill>
            <a:round/>
          </a:ln>
          <a:effectLst/>
        </c:spPr>
        <c:marker>
          <c:symbol val="none"/>
        </c:marker>
      </c:pivotFmt>
      <c:pivotFmt>
        <c:idx val="14"/>
        <c:spPr>
          <a:solidFill>
            <a:schemeClr val="accent1"/>
          </a:solidFill>
          <a:ln w="28575" cap="rnd">
            <a:solidFill>
              <a:schemeClr val="accent2"/>
            </a:solidFill>
            <a:round/>
          </a:ln>
          <a:effectLst/>
        </c:spPr>
        <c:marker>
          <c:symbol val="none"/>
        </c:marker>
      </c:pivotFmt>
      <c:pivotFmt>
        <c:idx val="15"/>
        <c:spPr>
          <a:solidFill>
            <a:schemeClr val="accent1"/>
          </a:solidFill>
          <a:ln w="28575" cap="rnd">
            <a:solidFill>
              <a:schemeClr val="accent2"/>
            </a:solidFill>
            <a:round/>
          </a:ln>
          <a:effectLst/>
        </c:spPr>
        <c:marker>
          <c:symbol val="none"/>
        </c:marker>
      </c:pivotFmt>
      <c:pivotFmt>
        <c:idx val="16"/>
        <c:spPr>
          <a:solidFill>
            <a:schemeClr val="accent1"/>
          </a:solidFill>
          <a:ln w="28575" cap="rnd">
            <a:solidFill>
              <a:schemeClr val="accent2"/>
            </a:solidFill>
            <a:round/>
          </a:ln>
          <a:effectLst/>
        </c:spPr>
        <c:marker>
          <c:symbol val="none"/>
        </c:marker>
      </c:pivotFmt>
      <c:pivotFmt>
        <c:idx val="17"/>
        <c:spPr>
          <a:solidFill>
            <a:schemeClr val="accent1"/>
          </a:solidFill>
          <a:ln w="28575" cap="rnd">
            <a:solidFill>
              <a:schemeClr val="accent2"/>
            </a:solidFill>
            <a:round/>
          </a:ln>
          <a:effectLst/>
        </c:spPr>
        <c:marker>
          <c:symbol val="none"/>
        </c:marker>
      </c:pivotFmt>
      <c:pivotFmt>
        <c:idx val="18"/>
        <c:spPr>
          <a:solidFill>
            <a:schemeClr val="accent1"/>
          </a:solidFill>
          <a:ln w="28575" cap="rnd">
            <a:solidFill>
              <a:schemeClr val="accent2"/>
            </a:solidFill>
            <a:round/>
          </a:ln>
          <a:effectLst/>
        </c:spPr>
        <c:marker>
          <c:symbol val="none"/>
        </c:marker>
      </c:pivotFmt>
      <c:pivotFmt>
        <c:idx val="19"/>
        <c:spPr>
          <a:solidFill>
            <a:schemeClr val="accent1"/>
          </a:solidFill>
          <a:ln w="28575" cap="rnd">
            <a:solidFill>
              <a:schemeClr val="accent2"/>
            </a:solidFill>
            <a:round/>
          </a:ln>
          <a:effectLst/>
        </c:spPr>
        <c:marker>
          <c:symbol val="none"/>
        </c:marker>
      </c:pivotFmt>
      <c:pivotFmt>
        <c:idx val="20"/>
        <c:spPr>
          <a:solidFill>
            <a:schemeClr val="accent1"/>
          </a:solidFill>
          <a:ln w="28575" cap="rnd">
            <a:solidFill>
              <a:schemeClr val="accent2"/>
            </a:solidFill>
            <a:round/>
          </a:ln>
          <a:effectLst/>
        </c:spPr>
        <c:marker>
          <c:symbol val="none"/>
        </c:marker>
      </c:pivotFmt>
      <c:pivotFmt>
        <c:idx val="21"/>
        <c:spPr>
          <a:solidFill>
            <a:schemeClr val="accent1"/>
          </a:solidFill>
          <a:ln w="28575" cap="rnd">
            <a:solidFill>
              <a:schemeClr val="accent2"/>
            </a:solidFill>
            <a:round/>
          </a:ln>
          <a:effectLst/>
        </c:spPr>
        <c:marker>
          <c:symbol val="none"/>
        </c:marker>
      </c:pivotFmt>
      <c:pivotFmt>
        <c:idx val="22"/>
        <c:spPr>
          <a:solidFill>
            <a:schemeClr val="accent1"/>
          </a:solidFill>
          <a:ln w="28575" cap="rnd">
            <a:solidFill>
              <a:schemeClr val="accent2"/>
            </a:solidFill>
            <a:round/>
          </a:ln>
          <a:effectLst/>
        </c:spPr>
        <c:marker>
          <c:symbol val="none"/>
        </c:marker>
      </c:pivotFmt>
      <c:pivotFmt>
        <c:idx val="23"/>
        <c:spPr>
          <a:solidFill>
            <a:schemeClr val="accent1"/>
          </a:solidFill>
          <a:ln w="28575" cap="rnd">
            <a:solidFill>
              <a:schemeClr val="accent2"/>
            </a:solidFill>
            <a:round/>
          </a:ln>
          <a:effectLst/>
        </c:spPr>
        <c:marker>
          <c:symbol val="none"/>
        </c:marker>
      </c:pivotFmt>
      <c:pivotFmt>
        <c:idx val="24"/>
        <c:spPr>
          <a:solidFill>
            <a:schemeClr val="accent1"/>
          </a:solidFill>
          <a:ln w="28575" cap="rnd">
            <a:solidFill>
              <a:schemeClr val="accent2"/>
            </a:solidFill>
            <a:round/>
          </a:ln>
          <a:effectLst/>
        </c:spPr>
        <c:marker>
          <c:symbol val="none"/>
        </c:marker>
      </c:pivotFmt>
      <c:pivotFmt>
        <c:idx val="25"/>
        <c:spPr>
          <a:solidFill>
            <a:schemeClr val="accent1"/>
          </a:solidFill>
          <a:ln w="28575" cap="rnd">
            <a:solidFill>
              <a:schemeClr val="accent2"/>
            </a:solidFill>
            <a:round/>
          </a:ln>
          <a:effectLst/>
        </c:spPr>
        <c:marker>
          <c:symbol val="none"/>
        </c:marker>
      </c:pivotFmt>
      <c:pivotFmt>
        <c:idx val="26"/>
        <c:spPr>
          <a:solidFill>
            <a:schemeClr val="accent1"/>
          </a:solidFill>
          <a:ln w="28575" cap="rnd">
            <a:solidFill>
              <a:schemeClr val="accent2"/>
            </a:solidFill>
            <a:round/>
          </a:ln>
          <a:effectLst/>
        </c:spPr>
        <c:marker>
          <c:symbol val="none"/>
        </c:marker>
      </c:pivotFmt>
      <c:pivotFmt>
        <c:idx val="27"/>
        <c:spPr>
          <a:solidFill>
            <a:schemeClr val="accent1"/>
          </a:solidFill>
          <a:ln w="28575" cap="rnd">
            <a:solidFill>
              <a:schemeClr val="accent2"/>
            </a:solidFill>
            <a:round/>
          </a:ln>
          <a:effectLst/>
        </c:spPr>
        <c:marker>
          <c:symbol val="none"/>
        </c:marker>
      </c:pivotFmt>
      <c:pivotFmt>
        <c:idx val="28"/>
        <c:spPr>
          <a:solidFill>
            <a:schemeClr val="accent1"/>
          </a:solidFill>
          <a:ln w="28575" cap="rnd">
            <a:solidFill>
              <a:schemeClr val="accent2"/>
            </a:solidFill>
            <a:round/>
          </a:ln>
          <a:effectLst/>
        </c:spPr>
        <c:marker>
          <c:symbol val="none"/>
        </c:marker>
      </c:pivotFmt>
      <c:pivotFmt>
        <c:idx val="29"/>
        <c:spPr>
          <a:solidFill>
            <a:schemeClr val="accent1"/>
          </a:solidFill>
          <a:ln w="28575" cap="rnd">
            <a:solidFill>
              <a:schemeClr val="accent2"/>
            </a:solidFill>
            <a:round/>
          </a:ln>
          <a:effectLst/>
        </c:spPr>
        <c:marker>
          <c:symbol val="none"/>
        </c:marker>
      </c:pivotFmt>
      <c:pivotFmt>
        <c:idx val="30"/>
        <c:spPr>
          <a:solidFill>
            <a:schemeClr val="accent1"/>
          </a:solidFill>
          <a:ln w="28575" cap="rnd">
            <a:solidFill>
              <a:schemeClr val="accent1"/>
            </a:solidFill>
            <a:round/>
          </a:ln>
          <a:effectLst/>
        </c:spPr>
        <c:marker>
          <c:symbol val="none"/>
        </c:marker>
      </c:pivotFmt>
      <c:pivotFmt>
        <c:idx val="31"/>
        <c:spPr>
          <a:solidFill>
            <a:schemeClr val="accent1"/>
          </a:solidFill>
          <a:ln w="28575" cap="rnd">
            <a:solidFill>
              <a:schemeClr val="accent2"/>
            </a:solidFill>
            <a:round/>
          </a:ln>
          <a:effectLst/>
        </c:spPr>
        <c:marker>
          <c:symbol val="none"/>
        </c:marker>
      </c:pivotFmt>
      <c:pivotFmt>
        <c:idx val="32"/>
        <c:spPr>
          <a:solidFill>
            <a:schemeClr val="accent1"/>
          </a:solidFill>
          <a:ln w="28575" cap="rnd">
            <a:solidFill>
              <a:schemeClr val="accent1"/>
            </a:solidFill>
            <a:round/>
          </a:ln>
          <a:effectLst/>
        </c:spPr>
        <c:marker>
          <c:symbol val="none"/>
        </c:marker>
      </c:pivotFmt>
      <c:pivotFmt>
        <c:idx val="33"/>
        <c:spPr>
          <a:solidFill>
            <a:schemeClr val="accent1"/>
          </a:solidFill>
          <a:ln w="28575" cap="rnd">
            <a:solidFill>
              <a:schemeClr val="accent1"/>
            </a:solidFill>
            <a:round/>
          </a:ln>
          <a:effectLst/>
        </c:spPr>
        <c:marker>
          <c:symbol val="none"/>
        </c:marker>
      </c:pivotFmt>
      <c:pivotFmt>
        <c:idx val="34"/>
        <c:spPr>
          <a:solidFill>
            <a:schemeClr val="accent1"/>
          </a:solidFill>
          <a:ln w="28575" cap="rnd">
            <a:solidFill>
              <a:schemeClr val="accent1"/>
            </a:solidFill>
            <a:round/>
          </a:ln>
          <a:effectLst/>
        </c:spPr>
        <c:marker>
          <c:symbol val="none"/>
        </c:marker>
      </c:pivotFmt>
      <c:pivotFmt>
        <c:idx val="35"/>
        <c:spPr>
          <a:solidFill>
            <a:schemeClr val="accent1"/>
          </a:solidFill>
          <a:ln w="28575" cap="rnd">
            <a:solidFill>
              <a:schemeClr val="accent1"/>
            </a:solidFill>
            <a:round/>
          </a:ln>
          <a:effectLst/>
        </c:spPr>
        <c:marker>
          <c:symbol val="none"/>
        </c:marker>
      </c:pivotFmt>
      <c:pivotFmt>
        <c:idx val="36"/>
        <c:spPr>
          <a:solidFill>
            <a:schemeClr val="accent1"/>
          </a:solidFill>
          <a:ln w="28575" cap="rnd">
            <a:solidFill>
              <a:schemeClr val="accent1"/>
            </a:solidFill>
            <a:round/>
          </a:ln>
          <a:effectLst/>
        </c:spPr>
        <c:marker>
          <c:symbol val="none"/>
        </c:marker>
      </c:pivotFmt>
      <c:pivotFmt>
        <c:idx val="37"/>
        <c:spPr>
          <a:solidFill>
            <a:schemeClr val="accent1"/>
          </a:solidFill>
          <a:ln w="28575" cap="rnd">
            <a:solidFill>
              <a:schemeClr val="accent1"/>
            </a:solidFill>
            <a:round/>
          </a:ln>
          <a:effectLst/>
        </c:spPr>
        <c:marker>
          <c:symbol val="none"/>
        </c:marker>
      </c:pivotFmt>
      <c:pivotFmt>
        <c:idx val="38"/>
        <c:spPr>
          <a:solidFill>
            <a:schemeClr val="accent1"/>
          </a:solidFill>
          <a:ln w="28575" cap="rnd">
            <a:solidFill>
              <a:schemeClr val="accent1"/>
            </a:solidFill>
            <a:round/>
          </a:ln>
          <a:effectLst/>
        </c:spPr>
        <c:marker>
          <c:symbol val="none"/>
        </c:marker>
      </c:pivotFmt>
      <c:pivotFmt>
        <c:idx val="39"/>
        <c:spPr>
          <a:solidFill>
            <a:schemeClr val="accent1"/>
          </a:solidFill>
          <a:ln w="28575" cap="rnd">
            <a:solidFill>
              <a:schemeClr val="accent1"/>
            </a:solidFill>
            <a:round/>
          </a:ln>
          <a:effectLst/>
        </c:spPr>
        <c:marker>
          <c:symbol val="none"/>
        </c:marker>
      </c:pivotFmt>
      <c:pivotFmt>
        <c:idx val="40"/>
        <c:spPr>
          <a:solidFill>
            <a:schemeClr val="accent1"/>
          </a:solidFill>
          <a:ln w="28575" cap="rnd">
            <a:solidFill>
              <a:schemeClr val="accent2"/>
            </a:solidFill>
            <a:round/>
          </a:ln>
          <a:effectLst/>
        </c:spPr>
        <c:marker>
          <c:symbol val="none"/>
        </c:marker>
      </c:pivotFmt>
      <c:pivotFmt>
        <c:idx val="41"/>
        <c:spPr>
          <a:solidFill>
            <a:schemeClr val="accent1"/>
          </a:solidFill>
          <a:ln w="28575" cap="rnd">
            <a:solidFill>
              <a:schemeClr val="accent1"/>
            </a:solidFill>
            <a:round/>
          </a:ln>
          <a:effectLst/>
        </c:spPr>
        <c:marker>
          <c:symbol val="none"/>
        </c:marker>
      </c:pivotFmt>
      <c:pivotFmt>
        <c:idx val="42"/>
        <c:spPr>
          <a:solidFill>
            <a:schemeClr val="accent1"/>
          </a:solidFill>
          <a:ln w="28575" cap="rnd">
            <a:solidFill>
              <a:schemeClr val="accent1"/>
            </a:solidFill>
            <a:round/>
          </a:ln>
          <a:effectLst/>
        </c:spPr>
        <c:marker>
          <c:symbol val="none"/>
        </c:marker>
      </c:pivotFmt>
      <c:pivotFmt>
        <c:idx val="43"/>
        <c:spPr>
          <a:solidFill>
            <a:schemeClr val="accent1"/>
          </a:solidFill>
          <a:ln w="28575" cap="rnd">
            <a:solidFill>
              <a:schemeClr val="accent1"/>
            </a:solidFill>
            <a:round/>
          </a:ln>
          <a:effectLst/>
        </c:spPr>
        <c:marker>
          <c:symbol val="none"/>
        </c:marker>
      </c:pivotFmt>
      <c:pivotFmt>
        <c:idx val="44"/>
        <c:spPr>
          <a:solidFill>
            <a:schemeClr val="accent1"/>
          </a:solidFill>
          <a:ln w="28575" cap="rnd">
            <a:solidFill>
              <a:schemeClr val="accent1"/>
            </a:solidFill>
            <a:round/>
          </a:ln>
          <a:effectLst/>
        </c:spPr>
        <c:marker>
          <c:symbol val="none"/>
        </c:marker>
      </c:pivotFmt>
      <c:pivotFmt>
        <c:idx val="45"/>
        <c:spPr>
          <a:solidFill>
            <a:schemeClr val="accent1"/>
          </a:solidFill>
          <a:ln w="28575" cap="rnd">
            <a:solidFill>
              <a:schemeClr val="accent1"/>
            </a:solidFill>
            <a:round/>
          </a:ln>
          <a:effectLst/>
        </c:spPr>
        <c:marker>
          <c:symbol val="none"/>
        </c:marker>
      </c:pivotFmt>
      <c:pivotFmt>
        <c:idx val="46"/>
        <c:spPr>
          <a:solidFill>
            <a:schemeClr val="accent1"/>
          </a:solidFill>
          <a:ln w="28575" cap="rnd">
            <a:solidFill>
              <a:schemeClr val="accent1"/>
            </a:solidFill>
            <a:round/>
          </a:ln>
          <a:effectLst/>
        </c:spPr>
        <c:marker>
          <c:symbol val="none"/>
        </c:marker>
      </c:pivotFmt>
      <c:pivotFmt>
        <c:idx val="47"/>
        <c:spPr>
          <a:solidFill>
            <a:schemeClr val="accent1"/>
          </a:solidFill>
          <a:ln w="28575" cap="rnd">
            <a:solidFill>
              <a:schemeClr val="accent2"/>
            </a:solidFill>
            <a:round/>
          </a:ln>
          <a:effectLst/>
        </c:spPr>
        <c:marker>
          <c:symbol val="none"/>
        </c:marker>
      </c:pivotFmt>
      <c:pivotFmt>
        <c:idx val="48"/>
        <c:spPr>
          <a:solidFill>
            <a:schemeClr val="accent1"/>
          </a:solidFill>
          <a:ln w="28575" cap="rnd">
            <a:solidFill>
              <a:schemeClr val="accent1"/>
            </a:solidFill>
            <a:round/>
          </a:ln>
          <a:effectLst/>
        </c:spPr>
        <c:marker>
          <c:symbol val="none"/>
        </c:marker>
      </c:pivotFmt>
      <c:pivotFmt>
        <c:idx val="49"/>
        <c:spPr>
          <a:solidFill>
            <a:schemeClr val="accent1"/>
          </a:solidFill>
          <a:ln w="28575" cap="rnd">
            <a:solidFill>
              <a:schemeClr val="accent1"/>
            </a:solidFill>
            <a:round/>
          </a:ln>
          <a:effectLst/>
        </c:spPr>
        <c:marker>
          <c:symbol val="none"/>
        </c:marker>
      </c:pivotFmt>
      <c:pivotFmt>
        <c:idx val="50"/>
        <c:spPr>
          <a:solidFill>
            <a:schemeClr val="accent1"/>
          </a:solidFill>
          <a:ln w="28575" cap="rnd">
            <a:solidFill>
              <a:schemeClr val="accent1"/>
            </a:solidFill>
            <a:round/>
          </a:ln>
          <a:effectLst/>
        </c:spPr>
        <c:marker>
          <c:symbol val="none"/>
        </c:marker>
      </c:pivotFmt>
      <c:pivotFmt>
        <c:idx val="51"/>
        <c:spPr>
          <a:solidFill>
            <a:schemeClr val="accent1"/>
          </a:solidFill>
          <a:ln w="28575" cap="rnd">
            <a:solidFill>
              <a:schemeClr val="accent2"/>
            </a:solidFill>
            <a:round/>
          </a:ln>
          <a:effectLst/>
        </c:spPr>
        <c:marker>
          <c:symbol val="none"/>
        </c:marker>
      </c:pivotFmt>
      <c:pivotFmt>
        <c:idx val="52"/>
        <c:spPr>
          <a:solidFill>
            <a:schemeClr val="accent1"/>
          </a:solidFill>
          <a:ln w="28575" cap="rnd">
            <a:solidFill>
              <a:schemeClr val="accent1"/>
            </a:solidFill>
            <a:round/>
          </a:ln>
          <a:effectLst/>
        </c:spPr>
        <c:marker>
          <c:symbol val="none"/>
        </c:marker>
      </c:pivotFmt>
      <c:pivotFmt>
        <c:idx val="53"/>
        <c:spPr>
          <a:solidFill>
            <a:schemeClr val="accent1"/>
          </a:solidFill>
          <a:ln w="28575" cap="rnd">
            <a:solidFill>
              <a:schemeClr val="accent1"/>
            </a:solidFill>
            <a:round/>
          </a:ln>
          <a:effectLst/>
        </c:spPr>
        <c:marker>
          <c:symbol val="none"/>
        </c:marker>
      </c:pivotFmt>
      <c:pivotFmt>
        <c:idx val="54"/>
        <c:spPr>
          <a:solidFill>
            <a:schemeClr val="accent1"/>
          </a:solidFill>
          <a:ln w="28575" cap="rnd">
            <a:solidFill>
              <a:schemeClr val="accent1"/>
            </a:solidFill>
            <a:round/>
          </a:ln>
          <a:effectLst/>
        </c:spPr>
        <c:marker>
          <c:symbol val="none"/>
        </c:marker>
      </c:pivotFmt>
      <c:pivotFmt>
        <c:idx val="55"/>
        <c:spPr>
          <a:solidFill>
            <a:schemeClr val="accent1"/>
          </a:solidFill>
          <a:ln w="28575" cap="rnd">
            <a:solidFill>
              <a:schemeClr val="accent1"/>
            </a:solidFill>
            <a:round/>
          </a:ln>
          <a:effectLst/>
        </c:spPr>
        <c:marker>
          <c:symbol val="none"/>
        </c:marker>
      </c:pivotFmt>
      <c:pivotFmt>
        <c:idx val="56"/>
        <c:spPr>
          <a:solidFill>
            <a:schemeClr val="accent1"/>
          </a:solidFill>
          <a:ln w="28575" cap="rnd">
            <a:solidFill>
              <a:schemeClr val="accent1"/>
            </a:solidFill>
            <a:round/>
          </a:ln>
          <a:effectLst/>
        </c:spPr>
        <c:marker>
          <c:symbol val="none"/>
        </c:marker>
      </c:pivotFmt>
      <c:pivotFmt>
        <c:idx val="57"/>
        <c:spPr>
          <a:solidFill>
            <a:schemeClr val="accent1"/>
          </a:solidFill>
          <a:ln w="28575" cap="rnd">
            <a:solidFill>
              <a:schemeClr val="accent1"/>
            </a:solidFill>
            <a:round/>
          </a:ln>
          <a:effectLst/>
        </c:spPr>
        <c:marker>
          <c:symbol val="none"/>
        </c:marker>
      </c:pivotFmt>
      <c:pivotFmt>
        <c:idx val="58"/>
        <c:spPr>
          <a:solidFill>
            <a:schemeClr val="accent1"/>
          </a:solidFill>
          <a:ln w="28575" cap="rnd">
            <a:solidFill>
              <a:schemeClr val="accent1"/>
            </a:solidFill>
            <a:round/>
          </a:ln>
          <a:effectLst/>
        </c:spPr>
        <c:marker>
          <c:symbol val="none"/>
        </c:marker>
      </c:pivotFmt>
      <c:pivotFmt>
        <c:idx val="59"/>
        <c:spPr>
          <a:solidFill>
            <a:schemeClr val="accent1"/>
          </a:solidFill>
          <a:ln w="28575" cap="rnd">
            <a:solidFill>
              <a:schemeClr val="accent1"/>
            </a:solidFill>
            <a:round/>
          </a:ln>
          <a:effectLst/>
        </c:spPr>
        <c:marker>
          <c:symbol val="none"/>
        </c:marker>
      </c:pivotFmt>
      <c:pivotFmt>
        <c:idx val="60"/>
        <c:spPr>
          <a:solidFill>
            <a:schemeClr val="accent1"/>
          </a:solidFill>
          <a:ln w="28575" cap="rnd">
            <a:solidFill>
              <a:schemeClr val="accent1"/>
            </a:solidFill>
            <a:round/>
          </a:ln>
          <a:effectLst/>
        </c:spPr>
        <c:marker>
          <c:symbol val="none"/>
        </c:marker>
      </c:pivotFmt>
      <c:pivotFmt>
        <c:idx val="61"/>
        <c:spPr>
          <a:solidFill>
            <a:schemeClr val="accent1"/>
          </a:solidFill>
          <a:ln w="28575" cap="rnd">
            <a:solidFill>
              <a:schemeClr val="accent1"/>
            </a:solidFill>
            <a:round/>
          </a:ln>
          <a:effectLst/>
        </c:spPr>
        <c:marker>
          <c:symbol val="none"/>
        </c:marker>
      </c:pivotFmt>
      <c:pivotFmt>
        <c:idx val="62"/>
        <c:spPr>
          <a:solidFill>
            <a:schemeClr val="accent1"/>
          </a:solidFill>
          <a:ln w="28575" cap="rnd">
            <a:solidFill>
              <a:schemeClr val="accent1"/>
            </a:solidFill>
            <a:round/>
          </a:ln>
          <a:effectLst/>
        </c:spPr>
        <c:marker>
          <c:symbol val="none"/>
        </c:marker>
      </c:pivotFmt>
      <c:pivotFmt>
        <c:idx val="63"/>
        <c:spPr>
          <a:solidFill>
            <a:schemeClr val="accent1"/>
          </a:solidFill>
          <a:ln w="28575" cap="rnd">
            <a:solidFill>
              <a:schemeClr val="accent1"/>
            </a:solidFill>
            <a:round/>
          </a:ln>
          <a:effectLst/>
        </c:spPr>
        <c:marker>
          <c:symbol val="none"/>
        </c:marker>
      </c:pivotFmt>
      <c:pivotFmt>
        <c:idx val="64"/>
        <c:spPr>
          <a:solidFill>
            <a:schemeClr val="accent1"/>
          </a:solidFill>
          <a:ln w="28575" cap="rnd">
            <a:solidFill>
              <a:schemeClr val="accent2"/>
            </a:solidFill>
            <a:round/>
          </a:ln>
          <a:effectLst/>
        </c:spPr>
        <c:marker>
          <c:symbol val="none"/>
        </c:marker>
      </c:pivotFmt>
      <c:pivotFmt>
        <c:idx val="65"/>
        <c:spPr>
          <a:solidFill>
            <a:schemeClr val="accent1"/>
          </a:solidFill>
          <a:ln w="28575" cap="rnd">
            <a:solidFill>
              <a:schemeClr val="accent2"/>
            </a:solidFill>
            <a:round/>
          </a:ln>
          <a:effectLst/>
        </c:spPr>
        <c:marker>
          <c:symbol val="none"/>
        </c:marker>
      </c:pivotFmt>
      <c:pivotFmt>
        <c:idx val="66"/>
        <c:spPr>
          <a:solidFill>
            <a:schemeClr val="accent1"/>
          </a:solidFill>
          <a:ln w="28575" cap="rnd">
            <a:solidFill>
              <a:schemeClr val="accent1"/>
            </a:solidFill>
            <a:round/>
          </a:ln>
          <a:effectLst/>
        </c:spPr>
        <c:marker>
          <c:symbol val="none"/>
        </c:marker>
      </c:pivotFmt>
      <c:pivotFmt>
        <c:idx val="67"/>
        <c:spPr>
          <a:solidFill>
            <a:schemeClr val="accent1"/>
          </a:solidFill>
          <a:ln w="28575" cap="rnd">
            <a:solidFill>
              <a:schemeClr val="accent1"/>
            </a:solidFill>
            <a:round/>
          </a:ln>
          <a:effectLst/>
        </c:spPr>
        <c:marker>
          <c:symbol val="none"/>
        </c:marker>
      </c:pivotFmt>
      <c:pivotFmt>
        <c:idx val="68"/>
        <c:spPr>
          <a:solidFill>
            <a:schemeClr val="accent1"/>
          </a:solidFill>
          <a:ln w="28575" cap="rnd">
            <a:solidFill>
              <a:schemeClr val="accent1"/>
            </a:solidFill>
            <a:round/>
          </a:ln>
          <a:effectLst/>
        </c:spPr>
        <c:marker>
          <c:symbol val="none"/>
        </c:marker>
      </c:pivotFmt>
      <c:pivotFmt>
        <c:idx val="6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0"/>
        <c:spPr>
          <a:solidFill>
            <a:schemeClr val="accent1"/>
          </a:solidFill>
          <a:ln w="28575" cap="rnd">
            <a:solidFill>
              <a:schemeClr val="accent1"/>
            </a:solidFill>
            <a:round/>
          </a:ln>
          <a:effectLst/>
        </c:spPr>
        <c:marker>
          <c:symbol val="none"/>
        </c:marker>
      </c:pivotFmt>
      <c:pivotFmt>
        <c:idx val="71"/>
        <c:spPr>
          <a:solidFill>
            <a:schemeClr val="accent1"/>
          </a:solidFill>
          <a:ln w="28575" cap="rnd">
            <a:solidFill>
              <a:schemeClr val="accent1"/>
            </a:solidFill>
            <a:round/>
          </a:ln>
          <a:effectLst/>
        </c:spPr>
        <c:marker>
          <c:symbol val="none"/>
        </c:marker>
      </c:pivotFmt>
      <c:pivotFmt>
        <c:idx val="72"/>
        <c:spPr>
          <a:solidFill>
            <a:schemeClr val="accent1"/>
          </a:solidFill>
          <a:ln w="28575" cap="rnd">
            <a:solidFill>
              <a:schemeClr val="accent1"/>
            </a:solidFill>
            <a:round/>
          </a:ln>
          <a:effectLst/>
        </c:spPr>
        <c:marker>
          <c:symbol val="none"/>
        </c:marker>
      </c:pivotFmt>
      <c:pivotFmt>
        <c:idx val="73"/>
        <c:spPr>
          <a:solidFill>
            <a:schemeClr val="accent1"/>
          </a:solidFill>
          <a:ln w="28575" cap="rnd">
            <a:solidFill>
              <a:schemeClr val="accent1"/>
            </a:solidFill>
            <a:round/>
          </a:ln>
          <a:effectLst/>
        </c:spPr>
        <c:marker>
          <c:symbol val="none"/>
        </c:marker>
      </c:pivotFmt>
      <c:pivotFmt>
        <c:idx val="74"/>
        <c:spPr>
          <a:solidFill>
            <a:schemeClr val="accent1"/>
          </a:solidFill>
          <a:ln w="28575" cap="rnd">
            <a:solidFill>
              <a:schemeClr val="accent1"/>
            </a:solidFill>
            <a:round/>
          </a:ln>
          <a:effectLst/>
        </c:spPr>
        <c:marker>
          <c:symbol val="none"/>
        </c:marker>
      </c:pivotFmt>
      <c:pivotFmt>
        <c:idx val="75"/>
        <c:spPr>
          <a:solidFill>
            <a:schemeClr val="accent1"/>
          </a:solidFill>
          <a:ln w="28575" cap="rnd">
            <a:solidFill>
              <a:schemeClr val="accent1"/>
            </a:solidFill>
            <a:round/>
          </a:ln>
          <a:effectLst/>
        </c:spPr>
        <c:marker>
          <c:symbol val="none"/>
        </c:marker>
      </c:pivotFmt>
      <c:pivotFmt>
        <c:idx val="76"/>
        <c:spPr>
          <a:solidFill>
            <a:schemeClr val="accent1"/>
          </a:solidFill>
          <a:ln w="28575" cap="rnd">
            <a:solidFill>
              <a:schemeClr val="accent1"/>
            </a:solidFill>
            <a:round/>
          </a:ln>
          <a:effectLst/>
        </c:spPr>
        <c:marker>
          <c:symbol val="none"/>
        </c:marker>
      </c:pivotFmt>
      <c:pivotFmt>
        <c:idx val="77"/>
        <c:spPr>
          <a:solidFill>
            <a:schemeClr val="accent1"/>
          </a:solidFill>
          <a:ln w="28575" cap="rnd">
            <a:solidFill>
              <a:schemeClr val="accent1"/>
            </a:solidFill>
            <a:round/>
          </a:ln>
          <a:effectLst/>
        </c:spPr>
        <c:marker>
          <c:symbol val="none"/>
        </c:marker>
      </c:pivotFmt>
      <c:pivotFmt>
        <c:idx val="78"/>
        <c:spPr>
          <a:solidFill>
            <a:schemeClr val="accent1"/>
          </a:solidFill>
          <a:ln w="28575" cap="rnd">
            <a:solidFill>
              <a:schemeClr val="accent1"/>
            </a:solidFill>
            <a:round/>
          </a:ln>
          <a:effectLst/>
        </c:spPr>
        <c:marker>
          <c:symbol val="none"/>
        </c:marker>
      </c:pivotFmt>
      <c:pivotFmt>
        <c:idx val="79"/>
        <c:spPr>
          <a:solidFill>
            <a:schemeClr val="accent1"/>
          </a:solidFill>
          <a:ln w="28575" cap="rnd">
            <a:solidFill>
              <a:schemeClr val="accent1"/>
            </a:solidFill>
            <a:round/>
          </a:ln>
          <a:effectLst/>
        </c:spPr>
        <c:marker>
          <c:symbol val="none"/>
        </c:marker>
      </c:pivotFmt>
      <c:pivotFmt>
        <c:idx val="80"/>
        <c:spPr>
          <a:solidFill>
            <a:schemeClr val="accent1"/>
          </a:solidFill>
          <a:ln w="28575" cap="rnd">
            <a:solidFill>
              <a:schemeClr val="accent1"/>
            </a:solidFill>
            <a:round/>
          </a:ln>
          <a:effectLst/>
        </c:spPr>
        <c:marker>
          <c:symbol val="none"/>
        </c:marker>
      </c:pivotFmt>
      <c:pivotFmt>
        <c:idx val="81"/>
        <c:spPr>
          <a:solidFill>
            <a:schemeClr val="accent1"/>
          </a:solidFill>
          <a:ln w="28575" cap="rnd">
            <a:solidFill>
              <a:schemeClr val="accent1"/>
            </a:solidFill>
            <a:round/>
          </a:ln>
          <a:effectLst/>
        </c:spPr>
        <c:marker>
          <c:symbol val="none"/>
        </c:marker>
      </c:pivotFmt>
      <c:pivotFmt>
        <c:idx val="82"/>
        <c:spPr>
          <a:solidFill>
            <a:schemeClr val="accent1"/>
          </a:solidFill>
          <a:ln w="28575" cap="rnd">
            <a:solidFill>
              <a:schemeClr val="accent1"/>
            </a:solidFill>
            <a:round/>
          </a:ln>
          <a:effectLst/>
        </c:spPr>
        <c:marker>
          <c:symbol val="none"/>
        </c:marker>
      </c:pivotFmt>
      <c:pivotFmt>
        <c:idx val="83"/>
        <c:spPr>
          <a:solidFill>
            <a:schemeClr val="accent1"/>
          </a:solidFill>
          <a:ln w="28575" cap="rnd">
            <a:solidFill>
              <a:schemeClr val="accent1"/>
            </a:solidFill>
            <a:round/>
          </a:ln>
          <a:effectLst/>
        </c:spPr>
        <c:marker>
          <c:symbol val="none"/>
        </c:marker>
      </c:pivotFmt>
      <c:pivotFmt>
        <c:idx val="84"/>
        <c:spPr>
          <a:solidFill>
            <a:schemeClr val="accent1"/>
          </a:solidFill>
          <a:ln w="28575" cap="rnd">
            <a:solidFill>
              <a:schemeClr val="accent1"/>
            </a:solidFill>
            <a:round/>
          </a:ln>
          <a:effectLst/>
        </c:spPr>
        <c:marker>
          <c:symbol val="none"/>
        </c:marker>
      </c:pivotFmt>
      <c:pivotFmt>
        <c:idx val="85"/>
        <c:spPr>
          <a:solidFill>
            <a:schemeClr val="accent1"/>
          </a:solidFill>
          <a:ln w="28575" cap="rnd">
            <a:solidFill>
              <a:schemeClr val="accent1"/>
            </a:solidFill>
            <a:round/>
          </a:ln>
          <a:effectLst/>
        </c:spPr>
        <c:marker>
          <c:symbol val="none"/>
        </c:marker>
      </c:pivotFmt>
      <c:pivotFmt>
        <c:idx val="86"/>
        <c:spPr>
          <a:solidFill>
            <a:schemeClr val="accent1"/>
          </a:solidFill>
          <a:ln w="28575" cap="rnd">
            <a:solidFill>
              <a:schemeClr val="accent1"/>
            </a:solidFill>
            <a:round/>
          </a:ln>
          <a:effectLst/>
        </c:spPr>
        <c:marker>
          <c:symbol val="none"/>
        </c:marker>
      </c:pivotFmt>
      <c:pivotFmt>
        <c:idx val="87"/>
        <c:spPr>
          <a:solidFill>
            <a:schemeClr val="accent1"/>
          </a:solidFill>
          <a:ln w="28575" cap="rnd">
            <a:solidFill>
              <a:schemeClr val="accent1"/>
            </a:solidFill>
            <a:round/>
          </a:ln>
          <a:effectLst/>
        </c:spPr>
        <c:marker>
          <c:symbol val="none"/>
        </c:marker>
      </c:pivotFmt>
      <c:pivotFmt>
        <c:idx val="88"/>
        <c:spPr>
          <a:solidFill>
            <a:schemeClr val="accent1"/>
          </a:solidFill>
          <a:ln w="28575" cap="rnd">
            <a:solidFill>
              <a:schemeClr val="accent1"/>
            </a:solidFill>
            <a:round/>
          </a:ln>
          <a:effectLst/>
        </c:spPr>
        <c:marker>
          <c:symbol val="none"/>
        </c:marker>
      </c:pivotFmt>
      <c:pivotFmt>
        <c:idx val="89"/>
        <c:spPr>
          <a:solidFill>
            <a:schemeClr val="accent1"/>
          </a:solidFill>
          <a:ln w="28575" cap="rnd">
            <a:solidFill>
              <a:schemeClr val="accent1"/>
            </a:solidFill>
            <a:round/>
          </a:ln>
          <a:effectLst/>
        </c:spPr>
        <c:marker>
          <c:symbol val="none"/>
        </c:marker>
      </c:pivotFmt>
      <c:pivotFmt>
        <c:idx val="90"/>
        <c:spPr>
          <a:solidFill>
            <a:schemeClr val="accent1"/>
          </a:solidFill>
          <a:ln w="28575" cap="rnd">
            <a:solidFill>
              <a:schemeClr val="accent1"/>
            </a:solidFill>
            <a:round/>
          </a:ln>
          <a:effectLst/>
        </c:spPr>
        <c:marker>
          <c:symbol val="none"/>
        </c:marker>
      </c:pivotFmt>
      <c:pivotFmt>
        <c:idx val="91"/>
        <c:spPr>
          <a:solidFill>
            <a:schemeClr val="accent1"/>
          </a:solidFill>
          <a:ln w="28575" cap="rnd">
            <a:solidFill>
              <a:schemeClr val="accent1"/>
            </a:solidFill>
            <a:round/>
          </a:ln>
          <a:effectLst/>
        </c:spPr>
        <c:marker>
          <c:symbol val="none"/>
        </c:marker>
      </c:pivotFmt>
      <c:pivotFmt>
        <c:idx val="92"/>
        <c:spPr>
          <a:solidFill>
            <a:schemeClr val="accent1"/>
          </a:solidFill>
          <a:ln w="28575" cap="rnd">
            <a:solidFill>
              <a:schemeClr val="accent1"/>
            </a:solidFill>
            <a:round/>
          </a:ln>
          <a:effectLst/>
        </c:spPr>
        <c:marker>
          <c:symbol val="none"/>
        </c:marker>
      </c:pivotFmt>
      <c:pivotFmt>
        <c:idx val="93"/>
        <c:spPr>
          <a:solidFill>
            <a:schemeClr val="accent1"/>
          </a:solidFill>
          <a:ln w="28575" cap="rnd">
            <a:solidFill>
              <a:schemeClr val="accent1"/>
            </a:solidFill>
            <a:round/>
          </a:ln>
          <a:effectLst/>
        </c:spPr>
        <c:marker>
          <c:symbol val="none"/>
        </c:marker>
      </c:pivotFmt>
      <c:pivotFmt>
        <c:idx val="94"/>
        <c:spPr>
          <a:solidFill>
            <a:schemeClr val="accent1"/>
          </a:solidFill>
          <a:ln w="28575" cap="rnd">
            <a:solidFill>
              <a:schemeClr val="accent1"/>
            </a:solidFill>
            <a:round/>
          </a:ln>
          <a:effectLst/>
        </c:spPr>
        <c:marker>
          <c:symbol val="none"/>
        </c:marker>
      </c:pivotFmt>
      <c:pivotFmt>
        <c:idx val="95"/>
        <c:spPr>
          <a:solidFill>
            <a:schemeClr val="accent1"/>
          </a:solidFill>
          <a:ln w="28575" cap="rnd">
            <a:solidFill>
              <a:schemeClr val="accent1"/>
            </a:solidFill>
            <a:round/>
          </a:ln>
          <a:effectLst/>
        </c:spPr>
        <c:marker>
          <c:symbol val="none"/>
        </c:marker>
      </c:pivotFmt>
      <c:pivotFmt>
        <c:idx val="96"/>
        <c:spPr>
          <a:solidFill>
            <a:schemeClr val="accent1"/>
          </a:solidFill>
          <a:ln w="28575" cap="rnd">
            <a:solidFill>
              <a:schemeClr val="accent1"/>
            </a:solidFill>
            <a:round/>
          </a:ln>
          <a:effectLst/>
        </c:spPr>
        <c:marker>
          <c:symbol val="none"/>
        </c:marker>
      </c:pivotFmt>
      <c:pivotFmt>
        <c:idx val="97"/>
        <c:spPr>
          <a:solidFill>
            <a:schemeClr val="accent1"/>
          </a:solidFill>
          <a:ln w="28575" cap="rnd">
            <a:solidFill>
              <a:schemeClr val="accent1"/>
            </a:solidFill>
            <a:round/>
          </a:ln>
          <a:effectLst/>
        </c:spPr>
        <c:marker>
          <c:symbol val="none"/>
        </c:marker>
      </c:pivotFmt>
      <c:pivotFmt>
        <c:idx val="98"/>
        <c:spPr>
          <a:solidFill>
            <a:schemeClr val="accent1"/>
          </a:solidFill>
          <a:ln w="28575" cap="rnd">
            <a:solidFill>
              <a:schemeClr val="accent1"/>
            </a:solidFill>
            <a:round/>
          </a:ln>
          <a:effectLst/>
        </c:spPr>
        <c:marker>
          <c:symbol val="none"/>
        </c:marker>
      </c:pivotFmt>
      <c:pivotFmt>
        <c:idx val="99"/>
        <c:spPr>
          <a:solidFill>
            <a:schemeClr val="accent1"/>
          </a:solidFill>
          <a:ln w="28575" cap="rnd">
            <a:solidFill>
              <a:schemeClr val="accent1"/>
            </a:solidFill>
            <a:round/>
          </a:ln>
          <a:effectLst/>
        </c:spPr>
        <c:marker>
          <c:symbol val="none"/>
        </c:marker>
      </c:pivotFmt>
      <c:pivotFmt>
        <c:idx val="100"/>
        <c:spPr>
          <a:solidFill>
            <a:schemeClr val="accent1"/>
          </a:solidFill>
          <a:ln w="28575" cap="rnd">
            <a:solidFill>
              <a:schemeClr val="accent1"/>
            </a:solidFill>
            <a:round/>
          </a:ln>
          <a:effectLst/>
        </c:spPr>
        <c:marker>
          <c:symbol val="none"/>
        </c:marker>
      </c:pivotFmt>
      <c:pivotFmt>
        <c:idx val="101"/>
        <c:spPr>
          <a:solidFill>
            <a:schemeClr val="accent1"/>
          </a:solidFill>
          <a:ln w="28575" cap="rnd">
            <a:solidFill>
              <a:schemeClr val="accent1"/>
            </a:solidFill>
            <a:round/>
          </a:ln>
          <a:effectLst/>
        </c:spPr>
        <c:marker>
          <c:symbol val="none"/>
        </c:marker>
      </c:pivotFmt>
      <c:pivotFmt>
        <c:idx val="102"/>
        <c:spPr>
          <a:solidFill>
            <a:schemeClr val="accent1"/>
          </a:solidFill>
          <a:ln w="28575" cap="rnd">
            <a:solidFill>
              <a:schemeClr val="accent1"/>
            </a:solidFill>
            <a:round/>
          </a:ln>
          <a:effectLst/>
        </c:spPr>
        <c:marker>
          <c:symbol val="none"/>
        </c:marker>
      </c:pivotFmt>
      <c:pivotFmt>
        <c:idx val="10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4"/>
        <c:spPr>
          <a:solidFill>
            <a:schemeClr val="accent1"/>
          </a:solidFill>
          <a:ln w="28575" cap="rnd">
            <a:solidFill>
              <a:schemeClr val="accent2"/>
            </a:solidFill>
            <a:round/>
          </a:ln>
          <a:effectLst/>
        </c:spPr>
        <c:marker>
          <c:symbol val="none"/>
        </c:marker>
      </c:pivotFmt>
      <c:pivotFmt>
        <c:idx val="105"/>
        <c:spPr>
          <a:solidFill>
            <a:schemeClr val="accent1"/>
          </a:solidFill>
          <a:ln w="28575" cap="rnd">
            <a:solidFill>
              <a:schemeClr val="accent2"/>
            </a:solidFill>
            <a:round/>
          </a:ln>
          <a:effectLst/>
        </c:spPr>
        <c:marker>
          <c:symbol val="none"/>
        </c:marker>
      </c:pivotFmt>
      <c:pivotFmt>
        <c:idx val="106"/>
        <c:spPr>
          <a:solidFill>
            <a:schemeClr val="accent1"/>
          </a:solidFill>
          <a:ln w="28575" cap="rnd">
            <a:solidFill>
              <a:schemeClr val="accent2"/>
            </a:solidFill>
            <a:round/>
          </a:ln>
          <a:effectLst/>
        </c:spPr>
        <c:marker>
          <c:symbol val="none"/>
        </c:marker>
      </c:pivotFmt>
      <c:pivotFmt>
        <c:idx val="107"/>
        <c:spPr>
          <a:solidFill>
            <a:schemeClr val="accent1"/>
          </a:solidFill>
          <a:ln w="28575" cap="rnd">
            <a:solidFill>
              <a:schemeClr val="accent2"/>
            </a:solidFill>
            <a:round/>
          </a:ln>
          <a:effectLst/>
        </c:spPr>
        <c:marker>
          <c:symbol val="none"/>
        </c:marker>
      </c:pivotFmt>
      <c:pivotFmt>
        <c:idx val="108"/>
        <c:spPr>
          <a:solidFill>
            <a:schemeClr val="accent1"/>
          </a:solidFill>
          <a:ln w="28575" cap="rnd">
            <a:solidFill>
              <a:schemeClr val="accent2"/>
            </a:solidFill>
            <a:round/>
          </a:ln>
          <a:effectLst/>
        </c:spPr>
        <c:marker>
          <c:symbol val="none"/>
        </c:marker>
      </c:pivotFmt>
      <c:pivotFmt>
        <c:idx val="109"/>
        <c:spPr>
          <a:solidFill>
            <a:schemeClr val="accent1"/>
          </a:solidFill>
          <a:ln w="28575" cap="rnd">
            <a:solidFill>
              <a:schemeClr val="accent2"/>
            </a:solidFill>
            <a:round/>
          </a:ln>
          <a:effectLst/>
        </c:spPr>
        <c:marker>
          <c:symbol val="none"/>
        </c:marker>
      </c:pivotFmt>
      <c:pivotFmt>
        <c:idx val="110"/>
        <c:spPr>
          <a:solidFill>
            <a:schemeClr val="accent1"/>
          </a:solidFill>
          <a:ln w="28575" cap="rnd">
            <a:solidFill>
              <a:schemeClr val="accent2"/>
            </a:solidFill>
            <a:round/>
          </a:ln>
          <a:effectLst/>
        </c:spPr>
        <c:marker>
          <c:symbol val="none"/>
        </c:marker>
      </c:pivotFmt>
      <c:pivotFmt>
        <c:idx val="111"/>
        <c:spPr>
          <a:solidFill>
            <a:schemeClr val="accent1"/>
          </a:solidFill>
          <a:ln w="28575" cap="rnd">
            <a:solidFill>
              <a:schemeClr val="accent2"/>
            </a:solidFill>
            <a:round/>
          </a:ln>
          <a:effectLst/>
        </c:spPr>
        <c:marker>
          <c:symbol val="none"/>
        </c:marker>
      </c:pivotFmt>
      <c:pivotFmt>
        <c:idx val="112"/>
        <c:spPr>
          <a:solidFill>
            <a:schemeClr val="accent1"/>
          </a:solidFill>
          <a:ln w="28575" cap="rnd">
            <a:solidFill>
              <a:schemeClr val="accent2"/>
            </a:solidFill>
            <a:round/>
          </a:ln>
          <a:effectLst/>
        </c:spPr>
        <c:marker>
          <c:symbol val="none"/>
        </c:marker>
      </c:pivotFmt>
      <c:pivotFmt>
        <c:idx val="113"/>
        <c:spPr>
          <a:solidFill>
            <a:schemeClr val="accent1"/>
          </a:solidFill>
          <a:ln w="28575" cap="rnd">
            <a:solidFill>
              <a:schemeClr val="accent2"/>
            </a:solidFill>
            <a:round/>
          </a:ln>
          <a:effectLst/>
        </c:spPr>
        <c:marker>
          <c:symbol val="none"/>
        </c:marker>
      </c:pivotFmt>
      <c:pivotFmt>
        <c:idx val="114"/>
        <c:spPr>
          <a:solidFill>
            <a:schemeClr val="accent1"/>
          </a:solidFill>
          <a:ln w="28575" cap="rnd">
            <a:solidFill>
              <a:schemeClr val="accent2"/>
            </a:solidFill>
            <a:round/>
          </a:ln>
          <a:effectLst/>
        </c:spPr>
        <c:marker>
          <c:symbol val="none"/>
        </c:marker>
      </c:pivotFmt>
      <c:pivotFmt>
        <c:idx val="115"/>
        <c:spPr>
          <a:solidFill>
            <a:schemeClr val="accent1"/>
          </a:solidFill>
          <a:ln w="28575" cap="rnd">
            <a:solidFill>
              <a:schemeClr val="accent2"/>
            </a:solidFill>
            <a:round/>
          </a:ln>
          <a:effectLst/>
        </c:spPr>
        <c:marker>
          <c:symbol val="none"/>
        </c:marker>
      </c:pivotFmt>
      <c:pivotFmt>
        <c:idx val="116"/>
        <c:spPr>
          <a:solidFill>
            <a:schemeClr val="accent1"/>
          </a:solidFill>
          <a:ln w="28575" cap="rnd">
            <a:solidFill>
              <a:schemeClr val="accent2"/>
            </a:solidFill>
            <a:round/>
          </a:ln>
          <a:effectLst/>
        </c:spPr>
        <c:marker>
          <c:symbol val="none"/>
        </c:marker>
      </c:pivotFmt>
      <c:pivotFmt>
        <c:idx val="117"/>
        <c:spPr>
          <a:solidFill>
            <a:schemeClr val="accent1"/>
          </a:solidFill>
          <a:ln w="28575" cap="rnd">
            <a:solidFill>
              <a:schemeClr val="accent2"/>
            </a:solidFill>
            <a:round/>
          </a:ln>
          <a:effectLst/>
        </c:spPr>
        <c:marker>
          <c:symbol val="none"/>
        </c:marker>
      </c:pivotFmt>
      <c:pivotFmt>
        <c:idx val="118"/>
        <c:spPr>
          <a:solidFill>
            <a:schemeClr val="accent1"/>
          </a:solidFill>
          <a:ln w="28575" cap="rnd">
            <a:solidFill>
              <a:schemeClr val="accent2"/>
            </a:solidFill>
            <a:round/>
          </a:ln>
          <a:effectLst/>
        </c:spPr>
        <c:marker>
          <c:symbol val="none"/>
        </c:marker>
      </c:pivotFmt>
      <c:pivotFmt>
        <c:idx val="119"/>
        <c:spPr>
          <a:solidFill>
            <a:schemeClr val="accent1"/>
          </a:solidFill>
          <a:ln w="28575" cap="rnd">
            <a:solidFill>
              <a:schemeClr val="accent2"/>
            </a:solidFill>
            <a:round/>
          </a:ln>
          <a:effectLst/>
        </c:spPr>
        <c:marker>
          <c:symbol val="none"/>
        </c:marker>
      </c:pivotFmt>
      <c:pivotFmt>
        <c:idx val="120"/>
        <c:spPr>
          <a:solidFill>
            <a:schemeClr val="accent1"/>
          </a:solidFill>
          <a:ln w="28575" cap="rnd">
            <a:solidFill>
              <a:schemeClr val="accent2"/>
            </a:solidFill>
            <a:round/>
          </a:ln>
          <a:effectLst/>
        </c:spPr>
        <c:marker>
          <c:symbol val="none"/>
        </c:marker>
      </c:pivotFmt>
      <c:pivotFmt>
        <c:idx val="121"/>
        <c:spPr>
          <a:solidFill>
            <a:schemeClr val="accent1"/>
          </a:solidFill>
          <a:ln w="28575" cap="rnd">
            <a:solidFill>
              <a:schemeClr val="accent2"/>
            </a:solidFill>
            <a:round/>
          </a:ln>
          <a:effectLst/>
        </c:spPr>
        <c:marker>
          <c:symbol val="none"/>
        </c:marker>
      </c:pivotFmt>
      <c:pivotFmt>
        <c:idx val="122"/>
        <c:spPr>
          <a:solidFill>
            <a:schemeClr val="accent1"/>
          </a:solidFill>
          <a:ln w="28575" cap="rnd">
            <a:solidFill>
              <a:schemeClr val="accent2"/>
            </a:solidFill>
            <a:round/>
          </a:ln>
          <a:effectLst/>
        </c:spPr>
        <c:marker>
          <c:symbol val="none"/>
        </c:marker>
      </c:pivotFmt>
      <c:pivotFmt>
        <c:idx val="123"/>
        <c:spPr>
          <a:solidFill>
            <a:schemeClr val="accent1"/>
          </a:solidFill>
          <a:ln w="28575" cap="rnd">
            <a:solidFill>
              <a:schemeClr val="accent2"/>
            </a:solidFill>
            <a:round/>
          </a:ln>
          <a:effectLst/>
        </c:spPr>
        <c:marker>
          <c:symbol val="none"/>
        </c:marker>
      </c:pivotFmt>
      <c:pivotFmt>
        <c:idx val="124"/>
        <c:spPr>
          <a:solidFill>
            <a:schemeClr val="accent1"/>
          </a:solidFill>
          <a:ln w="28575" cap="rnd">
            <a:solidFill>
              <a:schemeClr val="accent2"/>
            </a:solidFill>
            <a:round/>
          </a:ln>
          <a:effectLst/>
        </c:spPr>
        <c:marker>
          <c:symbol val="none"/>
        </c:marker>
      </c:pivotFmt>
      <c:pivotFmt>
        <c:idx val="125"/>
        <c:spPr>
          <a:solidFill>
            <a:schemeClr val="accent1"/>
          </a:solidFill>
          <a:ln w="28575" cap="rnd">
            <a:solidFill>
              <a:schemeClr val="accent2"/>
            </a:solidFill>
            <a:round/>
          </a:ln>
          <a:effectLst/>
        </c:spPr>
        <c:marker>
          <c:symbol val="none"/>
        </c:marker>
      </c:pivotFmt>
      <c:pivotFmt>
        <c:idx val="126"/>
        <c:spPr>
          <a:solidFill>
            <a:schemeClr val="accent1"/>
          </a:solidFill>
          <a:ln w="28575" cap="rnd">
            <a:solidFill>
              <a:schemeClr val="accent2"/>
            </a:solidFill>
            <a:round/>
          </a:ln>
          <a:effectLst/>
        </c:spPr>
        <c:marker>
          <c:symbol val="none"/>
        </c:marker>
      </c:pivotFmt>
      <c:pivotFmt>
        <c:idx val="127"/>
        <c:spPr>
          <a:solidFill>
            <a:schemeClr val="accent1"/>
          </a:solidFill>
          <a:ln w="28575" cap="rnd">
            <a:solidFill>
              <a:schemeClr val="accent2"/>
            </a:solidFill>
            <a:round/>
          </a:ln>
          <a:effectLst/>
        </c:spPr>
        <c:marker>
          <c:symbol val="none"/>
        </c:marker>
      </c:pivotFmt>
      <c:pivotFmt>
        <c:idx val="128"/>
        <c:spPr>
          <a:solidFill>
            <a:schemeClr val="accent1"/>
          </a:solidFill>
          <a:ln w="28575" cap="rnd">
            <a:solidFill>
              <a:schemeClr val="accent2"/>
            </a:solidFill>
            <a:round/>
          </a:ln>
          <a:effectLst/>
        </c:spPr>
        <c:marker>
          <c:symbol val="none"/>
        </c:marker>
      </c:pivotFmt>
      <c:pivotFmt>
        <c:idx val="129"/>
        <c:spPr>
          <a:solidFill>
            <a:schemeClr val="accent1"/>
          </a:solidFill>
          <a:ln w="28575" cap="rnd">
            <a:solidFill>
              <a:schemeClr val="accent2"/>
            </a:solidFill>
            <a:round/>
          </a:ln>
          <a:effectLst/>
        </c:spPr>
        <c:marker>
          <c:symbol val="none"/>
        </c:marker>
      </c:pivotFmt>
      <c:pivotFmt>
        <c:idx val="130"/>
        <c:spPr>
          <a:solidFill>
            <a:schemeClr val="accent1"/>
          </a:solidFill>
          <a:ln w="28575" cap="rnd">
            <a:solidFill>
              <a:schemeClr val="accent2"/>
            </a:solidFill>
            <a:round/>
          </a:ln>
          <a:effectLst/>
        </c:spPr>
        <c:marker>
          <c:symbol val="none"/>
        </c:marker>
      </c:pivotFmt>
      <c:pivotFmt>
        <c:idx val="131"/>
        <c:spPr>
          <a:solidFill>
            <a:schemeClr val="accent1"/>
          </a:solidFill>
          <a:ln w="28575" cap="rnd">
            <a:solidFill>
              <a:schemeClr val="accent2"/>
            </a:solidFill>
            <a:round/>
          </a:ln>
          <a:effectLst/>
        </c:spPr>
        <c:marker>
          <c:symbol val="none"/>
        </c:marker>
      </c:pivotFmt>
      <c:pivotFmt>
        <c:idx val="132"/>
        <c:spPr>
          <a:solidFill>
            <a:schemeClr val="accent1"/>
          </a:solidFill>
          <a:ln w="28575" cap="rnd">
            <a:solidFill>
              <a:schemeClr val="accent2"/>
            </a:solidFill>
            <a:round/>
          </a:ln>
          <a:effectLst/>
        </c:spPr>
        <c:marker>
          <c:symbol val="none"/>
        </c:marker>
      </c:pivotFmt>
      <c:pivotFmt>
        <c:idx val="133"/>
        <c:spPr>
          <a:solidFill>
            <a:schemeClr val="accent1"/>
          </a:solidFill>
          <a:ln w="28575" cap="rnd">
            <a:solidFill>
              <a:schemeClr val="accent2"/>
            </a:solidFill>
            <a:round/>
          </a:ln>
          <a:effectLst/>
        </c:spPr>
        <c:marker>
          <c:symbol val="none"/>
        </c:marker>
      </c:pivotFmt>
      <c:pivotFmt>
        <c:idx val="134"/>
        <c:spPr>
          <a:solidFill>
            <a:schemeClr val="accent1"/>
          </a:solidFill>
          <a:ln w="28575" cap="rnd">
            <a:solidFill>
              <a:schemeClr val="accent2"/>
            </a:solidFill>
            <a:round/>
          </a:ln>
          <a:effectLst/>
        </c:spPr>
        <c:marker>
          <c:symbol val="none"/>
        </c:marker>
      </c:pivotFmt>
      <c:pivotFmt>
        <c:idx val="135"/>
        <c:spPr>
          <a:solidFill>
            <a:schemeClr val="accent1"/>
          </a:solidFill>
          <a:ln w="28575" cap="rnd">
            <a:solidFill>
              <a:schemeClr val="accent2"/>
            </a:solidFill>
            <a:round/>
          </a:ln>
          <a:effectLst/>
        </c:spPr>
        <c:marker>
          <c:symbol val="none"/>
        </c:marker>
      </c:pivotFmt>
      <c:pivotFmt>
        <c:idx val="136"/>
        <c:spPr>
          <a:solidFill>
            <a:schemeClr val="accent1"/>
          </a:solidFill>
          <a:ln w="28575" cap="rnd">
            <a:solidFill>
              <a:schemeClr val="accent2"/>
            </a:solidFill>
            <a:round/>
          </a:ln>
          <a:effectLst/>
        </c:spPr>
        <c:marker>
          <c:symbol val="none"/>
        </c:marker>
      </c:pivotFmt>
      <c:pivotFmt>
        <c:idx val="137"/>
        <c:spPr>
          <a:solidFill>
            <a:schemeClr val="accent1"/>
          </a:solidFill>
          <a:ln w="28575" cap="rnd">
            <a:solidFill>
              <a:schemeClr val="accent2"/>
            </a:solidFill>
            <a:round/>
          </a:ln>
          <a:effectLst/>
        </c:spPr>
        <c:marker>
          <c:symbol val="none"/>
        </c:marker>
      </c:pivotFmt>
      <c:pivotFmt>
        <c:idx val="13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9"/>
        <c:spPr>
          <a:solidFill>
            <a:schemeClr val="accent1"/>
          </a:solidFill>
          <a:ln w="28575" cap="rnd">
            <a:solidFill>
              <a:schemeClr val="accent1"/>
            </a:solidFill>
            <a:round/>
          </a:ln>
          <a:effectLst/>
        </c:spPr>
        <c:marker>
          <c:symbol val="none"/>
        </c:marker>
      </c:pivotFmt>
      <c:pivotFmt>
        <c:idx val="140"/>
        <c:spPr>
          <a:solidFill>
            <a:schemeClr val="accent1"/>
          </a:solidFill>
          <a:ln w="28575" cap="rnd">
            <a:solidFill>
              <a:schemeClr val="accent1"/>
            </a:solidFill>
            <a:round/>
          </a:ln>
          <a:effectLst/>
        </c:spPr>
        <c:marker>
          <c:symbol val="none"/>
        </c:marker>
      </c:pivotFmt>
      <c:pivotFmt>
        <c:idx val="141"/>
        <c:spPr>
          <a:solidFill>
            <a:schemeClr val="accent1"/>
          </a:solidFill>
          <a:ln w="28575" cap="rnd">
            <a:solidFill>
              <a:schemeClr val="accent1"/>
            </a:solidFill>
            <a:round/>
          </a:ln>
          <a:effectLst/>
        </c:spPr>
        <c:marker>
          <c:symbol val="none"/>
        </c:marker>
      </c:pivotFmt>
      <c:pivotFmt>
        <c:idx val="142"/>
        <c:spPr>
          <a:solidFill>
            <a:schemeClr val="accent1"/>
          </a:solidFill>
          <a:ln w="28575" cap="rnd">
            <a:solidFill>
              <a:schemeClr val="accent1"/>
            </a:solidFill>
            <a:round/>
          </a:ln>
          <a:effectLst/>
        </c:spPr>
        <c:marker>
          <c:symbol val="none"/>
        </c:marker>
      </c:pivotFmt>
      <c:pivotFmt>
        <c:idx val="143"/>
        <c:spPr>
          <a:solidFill>
            <a:schemeClr val="accent1"/>
          </a:solidFill>
          <a:ln w="28575" cap="rnd">
            <a:solidFill>
              <a:schemeClr val="accent1"/>
            </a:solidFill>
            <a:round/>
          </a:ln>
          <a:effectLst/>
        </c:spPr>
        <c:marker>
          <c:symbol val="none"/>
        </c:marker>
      </c:pivotFmt>
      <c:pivotFmt>
        <c:idx val="144"/>
        <c:spPr>
          <a:solidFill>
            <a:schemeClr val="accent1"/>
          </a:solidFill>
          <a:ln w="28575" cap="rnd">
            <a:solidFill>
              <a:schemeClr val="accent1"/>
            </a:solidFill>
            <a:round/>
          </a:ln>
          <a:effectLst/>
        </c:spPr>
        <c:marker>
          <c:symbol val="none"/>
        </c:marker>
      </c:pivotFmt>
      <c:pivotFmt>
        <c:idx val="145"/>
        <c:spPr>
          <a:solidFill>
            <a:schemeClr val="accent1"/>
          </a:solidFill>
          <a:ln w="28575" cap="rnd">
            <a:solidFill>
              <a:schemeClr val="accent1"/>
            </a:solidFill>
            <a:round/>
          </a:ln>
          <a:effectLst/>
        </c:spPr>
        <c:marker>
          <c:symbol val="none"/>
        </c:marker>
      </c:pivotFmt>
      <c:pivotFmt>
        <c:idx val="146"/>
        <c:spPr>
          <a:solidFill>
            <a:schemeClr val="accent1"/>
          </a:solidFill>
          <a:ln w="28575" cap="rnd">
            <a:solidFill>
              <a:schemeClr val="accent1"/>
            </a:solidFill>
            <a:round/>
          </a:ln>
          <a:effectLst/>
        </c:spPr>
        <c:marker>
          <c:symbol val="none"/>
        </c:marker>
      </c:pivotFmt>
      <c:pivotFmt>
        <c:idx val="147"/>
        <c:spPr>
          <a:solidFill>
            <a:schemeClr val="accent1"/>
          </a:solidFill>
          <a:ln w="28575" cap="rnd">
            <a:solidFill>
              <a:schemeClr val="accent1"/>
            </a:solidFill>
            <a:round/>
          </a:ln>
          <a:effectLst/>
        </c:spPr>
        <c:marker>
          <c:symbol val="none"/>
        </c:marker>
      </c:pivotFmt>
      <c:pivotFmt>
        <c:idx val="148"/>
        <c:spPr>
          <a:solidFill>
            <a:schemeClr val="accent1"/>
          </a:solidFill>
          <a:ln w="28575" cap="rnd">
            <a:solidFill>
              <a:schemeClr val="accent1"/>
            </a:solidFill>
            <a:round/>
          </a:ln>
          <a:effectLst/>
        </c:spPr>
        <c:marker>
          <c:symbol val="none"/>
        </c:marker>
      </c:pivotFmt>
      <c:pivotFmt>
        <c:idx val="149"/>
        <c:spPr>
          <a:solidFill>
            <a:schemeClr val="accent1"/>
          </a:solidFill>
          <a:ln w="28575" cap="rnd">
            <a:solidFill>
              <a:schemeClr val="accent1"/>
            </a:solidFill>
            <a:round/>
          </a:ln>
          <a:effectLst/>
        </c:spPr>
        <c:marker>
          <c:symbol val="none"/>
        </c:marker>
      </c:pivotFmt>
      <c:pivotFmt>
        <c:idx val="150"/>
        <c:spPr>
          <a:solidFill>
            <a:schemeClr val="accent1"/>
          </a:solidFill>
          <a:ln w="28575" cap="rnd">
            <a:solidFill>
              <a:schemeClr val="accent1"/>
            </a:solidFill>
            <a:round/>
          </a:ln>
          <a:effectLst/>
        </c:spPr>
        <c:marker>
          <c:symbol val="none"/>
        </c:marker>
      </c:pivotFmt>
      <c:pivotFmt>
        <c:idx val="151"/>
        <c:spPr>
          <a:solidFill>
            <a:schemeClr val="accent1"/>
          </a:solidFill>
          <a:ln w="28575" cap="rnd">
            <a:solidFill>
              <a:schemeClr val="accent1"/>
            </a:solidFill>
            <a:round/>
          </a:ln>
          <a:effectLst/>
        </c:spPr>
        <c:marker>
          <c:symbol val="none"/>
        </c:marker>
      </c:pivotFmt>
      <c:pivotFmt>
        <c:idx val="152"/>
        <c:spPr>
          <a:solidFill>
            <a:schemeClr val="accent1"/>
          </a:solidFill>
          <a:ln w="28575" cap="rnd">
            <a:solidFill>
              <a:schemeClr val="accent1"/>
            </a:solidFill>
            <a:round/>
          </a:ln>
          <a:effectLst/>
        </c:spPr>
        <c:marker>
          <c:symbol val="none"/>
        </c:marker>
      </c:pivotFmt>
      <c:pivotFmt>
        <c:idx val="153"/>
        <c:spPr>
          <a:solidFill>
            <a:schemeClr val="accent1"/>
          </a:solidFill>
          <a:ln w="28575" cap="rnd">
            <a:solidFill>
              <a:schemeClr val="accent1"/>
            </a:solidFill>
            <a:round/>
          </a:ln>
          <a:effectLst/>
        </c:spPr>
        <c:marker>
          <c:symbol val="none"/>
        </c:marker>
      </c:pivotFmt>
      <c:pivotFmt>
        <c:idx val="154"/>
        <c:spPr>
          <a:solidFill>
            <a:schemeClr val="accent1"/>
          </a:solidFill>
          <a:ln w="28575" cap="rnd">
            <a:solidFill>
              <a:schemeClr val="accent1"/>
            </a:solidFill>
            <a:round/>
          </a:ln>
          <a:effectLst/>
        </c:spPr>
        <c:marker>
          <c:symbol val="none"/>
        </c:marker>
      </c:pivotFmt>
      <c:pivotFmt>
        <c:idx val="155"/>
        <c:spPr>
          <a:solidFill>
            <a:schemeClr val="accent1"/>
          </a:solidFill>
          <a:ln w="28575" cap="rnd">
            <a:solidFill>
              <a:schemeClr val="accent1"/>
            </a:solidFill>
            <a:round/>
          </a:ln>
          <a:effectLst/>
        </c:spPr>
        <c:marker>
          <c:symbol val="none"/>
        </c:marker>
      </c:pivotFmt>
      <c:pivotFmt>
        <c:idx val="156"/>
        <c:spPr>
          <a:solidFill>
            <a:schemeClr val="accent1"/>
          </a:solidFill>
          <a:ln w="28575" cap="rnd">
            <a:solidFill>
              <a:schemeClr val="accent1"/>
            </a:solidFill>
            <a:round/>
          </a:ln>
          <a:effectLst/>
        </c:spPr>
        <c:marker>
          <c:symbol val="none"/>
        </c:marker>
      </c:pivotFmt>
      <c:pivotFmt>
        <c:idx val="157"/>
        <c:spPr>
          <a:solidFill>
            <a:schemeClr val="accent1"/>
          </a:solidFill>
          <a:ln w="28575" cap="rnd">
            <a:solidFill>
              <a:schemeClr val="accent1"/>
            </a:solidFill>
            <a:round/>
          </a:ln>
          <a:effectLst/>
        </c:spPr>
        <c:marker>
          <c:symbol val="none"/>
        </c:marker>
      </c:pivotFmt>
      <c:pivotFmt>
        <c:idx val="158"/>
        <c:spPr>
          <a:solidFill>
            <a:schemeClr val="accent1"/>
          </a:solidFill>
          <a:ln w="28575" cap="rnd">
            <a:solidFill>
              <a:schemeClr val="accent1"/>
            </a:solidFill>
            <a:round/>
          </a:ln>
          <a:effectLst/>
        </c:spPr>
        <c:marker>
          <c:symbol val="none"/>
        </c:marker>
      </c:pivotFmt>
      <c:pivotFmt>
        <c:idx val="159"/>
        <c:spPr>
          <a:solidFill>
            <a:schemeClr val="accent1"/>
          </a:solidFill>
          <a:ln w="28575" cap="rnd">
            <a:solidFill>
              <a:schemeClr val="accent1"/>
            </a:solidFill>
            <a:round/>
          </a:ln>
          <a:effectLst/>
        </c:spPr>
        <c:marker>
          <c:symbol val="none"/>
        </c:marker>
      </c:pivotFmt>
      <c:pivotFmt>
        <c:idx val="160"/>
        <c:spPr>
          <a:solidFill>
            <a:schemeClr val="accent1"/>
          </a:solidFill>
          <a:ln w="28575" cap="rnd">
            <a:solidFill>
              <a:schemeClr val="accent1"/>
            </a:solidFill>
            <a:round/>
          </a:ln>
          <a:effectLst/>
        </c:spPr>
        <c:marker>
          <c:symbol val="none"/>
        </c:marker>
      </c:pivotFmt>
      <c:pivotFmt>
        <c:idx val="161"/>
        <c:spPr>
          <a:solidFill>
            <a:schemeClr val="accent1"/>
          </a:solidFill>
          <a:ln w="28575" cap="rnd">
            <a:solidFill>
              <a:schemeClr val="accent1"/>
            </a:solidFill>
            <a:round/>
          </a:ln>
          <a:effectLst/>
        </c:spPr>
        <c:marker>
          <c:symbol val="none"/>
        </c:marker>
      </c:pivotFmt>
      <c:pivotFmt>
        <c:idx val="162"/>
        <c:spPr>
          <a:solidFill>
            <a:schemeClr val="accent1"/>
          </a:solidFill>
          <a:ln w="28575" cap="rnd">
            <a:solidFill>
              <a:schemeClr val="accent1"/>
            </a:solidFill>
            <a:round/>
          </a:ln>
          <a:effectLst/>
        </c:spPr>
        <c:marker>
          <c:symbol val="none"/>
        </c:marker>
      </c:pivotFmt>
      <c:pivotFmt>
        <c:idx val="163"/>
        <c:spPr>
          <a:solidFill>
            <a:schemeClr val="accent1"/>
          </a:solidFill>
          <a:ln w="28575" cap="rnd">
            <a:solidFill>
              <a:schemeClr val="accent1"/>
            </a:solidFill>
            <a:round/>
          </a:ln>
          <a:effectLst/>
        </c:spPr>
        <c:marker>
          <c:symbol val="none"/>
        </c:marker>
      </c:pivotFmt>
      <c:pivotFmt>
        <c:idx val="164"/>
        <c:spPr>
          <a:solidFill>
            <a:schemeClr val="accent1"/>
          </a:solidFill>
          <a:ln w="28575" cap="rnd">
            <a:solidFill>
              <a:schemeClr val="accent1"/>
            </a:solidFill>
            <a:round/>
          </a:ln>
          <a:effectLst/>
        </c:spPr>
        <c:marker>
          <c:symbol val="none"/>
        </c:marker>
      </c:pivotFmt>
      <c:pivotFmt>
        <c:idx val="165"/>
        <c:spPr>
          <a:solidFill>
            <a:schemeClr val="accent1"/>
          </a:solidFill>
          <a:ln w="28575" cap="rnd">
            <a:solidFill>
              <a:schemeClr val="accent1"/>
            </a:solidFill>
            <a:round/>
          </a:ln>
          <a:effectLst/>
        </c:spPr>
        <c:marker>
          <c:symbol val="none"/>
        </c:marker>
      </c:pivotFmt>
      <c:pivotFmt>
        <c:idx val="166"/>
        <c:spPr>
          <a:solidFill>
            <a:schemeClr val="accent1"/>
          </a:solidFill>
          <a:ln w="28575" cap="rnd">
            <a:solidFill>
              <a:schemeClr val="accent1"/>
            </a:solidFill>
            <a:round/>
          </a:ln>
          <a:effectLst/>
        </c:spPr>
        <c:marker>
          <c:symbol val="none"/>
        </c:marker>
      </c:pivotFmt>
      <c:pivotFmt>
        <c:idx val="167"/>
        <c:spPr>
          <a:solidFill>
            <a:schemeClr val="accent1"/>
          </a:solidFill>
          <a:ln w="28575" cap="rnd">
            <a:solidFill>
              <a:schemeClr val="accent1"/>
            </a:solidFill>
            <a:round/>
          </a:ln>
          <a:effectLst/>
        </c:spPr>
        <c:marker>
          <c:symbol val="none"/>
        </c:marker>
      </c:pivotFmt>
      <c:pivotFmt>
        <c:idx val="168"/>
        <c:spPr>
          <a:solidFill>
            <a:schemeClr val="accent1"/>
          </a:solidFill>
          <a:ln w="28575" cap="rnd">
            <a:solidFill>
              <a:schemeClr val="accent1"/>
            </a:solidFill>
            <a:round/>
          </a:ln>
          <a:effectLst/>
        </c:spPr>
        <c:marker>
          <c:symbol val="none"/>
        </c:marker>
      </c:pivotFmt>
      <c:pivotFmt>
        <c:idx val="169"/>
        <c:spPr>
          <a:solidFill>
            <a:schemeClr val="accent1"/>
          </a:solidFill>
          <a:ln w="28575" cap="rnd">
            <a:solidFill>
              <a:schemeClr val="accent1"/>
            </a:solidFill>
            <a:round/>
          </a:ln>
          <a:effectLst/>
        </c:spPr>
        <c:marker>
          <c:symbol val="none"/>
        </c:marker>
      </c:pivotFmt>
      <c:pivotFmt>
        <c:idx val="170"/>
        <c:spPr>
          <a:solidFill>
            <a:schemeClr val="accent1"/>
          </a:solidFill>
          <a:ln w="28575" cap="rnd">
            <a:solidFill>
              <a:schemeClr val="accent1"/>
            </a:solidFill>
            <a:round/>
          </a:ln>
          <a:effectLst/>
        </c:spPr>
        <c:marker>
          <c:symbol val="none"/>
        </c:marker>
      </c:pivotFmt>
      <c:pivotFmt>
        <c:idx val="171"/>
        <c:spPr>
          <a:solidFill>
            <a:schemeClr val="accent1"/>
          </a:solidFill>
          <a:ln w="28575" cap="rnd">
            <a:solidFill>
              <a:schemeClr val="accent1"/>
            </a:solidFill>
            <a:round/>
          </a:ln>
          <a:effectLst/>
        </c:spPr>
        <c:marker>
          <c:symbol val="none"/>
        </c:marker>
      </c:pivotFmt>
      <c:pivotFmt>
        <c:idx val="17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3"/>
        <c:spPr>
          <a:solidFill>
            <a:schemeClr val="accent1"/>
          </a:solidFill>
          <a:ln w="28575" cap="rnd">
            <a:solidFill>
              <a:schemeClr val="accent2"/>
            </a:solidFill>
            <a:round/>
          </a:ln>
          <a:effectLst/>
        </c:spPr>
        <c:marker>
          <c:symbol val="none"/>
        </c:marker>
      </c:pivotFmt>
      <c:pivotFmt>
        <c:idx val="174"/>
        <c:spPr>
          <a:solidFill>
            <a:schemeClr val="accent1"/>
          </a:solidFill>
          <a:ln w="28575" cap="rnd">
            <a:solidFill>
              <a:schemeClr val="accent2"/>
            </a:solidFill>
            <a:round/>
          </a:ln>
          <a:effectLst/>
        </c:spPr>
        <c:marker>
          <c:symbol val="none"/>
        </c:marker>
      </c:pivotFmt>
      <c:pivotFmt>
        <c:idx val="175"/>
        <c:spPr>
          <a:solidFill>
            <a:schemeClr val="accent1"/>
          </a:solidFill>
          <a:ln w="28575" cap="rnd">
            <a:solidFill>
              <a:schemeClr val="accent2"/>
            </a:solidFill>
            <a:round/>
          </a:ln>
          <a:effectLst/>
        </c:spPr>
        <c:marker>
          <c:symbol val="none"/>
        </c:marker>
      </c:pivotFmt>
      <c:pivotFmt>
        <c:idx val="176"/>
        <c:spPr>
          <a:solidFill>
            <a:schemeClr val="accent1"/>
          </a:solidFill>
          <a:ln w="28575" cap="rnd">
            <a:solidFill>
              <a:schemeClr val="accent2"/>
            </a:solidFill>
            <a:round/>
          </a:ln>
          <a:effectLst/>
        </c:spPr>
        <c:marker>
          <c:symbol val="none"/>
        </c:marker>
      </c:pivotFmt>
      <c:pivotFmt>
        <c:idx val="177"/>
        <c:spPr>
          <a:solidFill>
            <a:schemeClr val="accent1"/>
          </a:solidFill>
          <a:ln w="28575" cap="rnd">
            <a:solidFill>
              <a:schemeClr val="accent2"/>
            </a:solidFill>
            <a:round/>
          </a:ln>
          <a:effectLst/>
        </c:spPr>
        <c:marker>
          <c:symbol val="none"/>
        </c:marker>
      </c:pivotFmt>
      <c:pivotFmt>
        <c:idx val="178"/>
        <c:spPr>
          <a:solidFill>
            <a:schemeClr val="accent1"/>
          </a:solidFill>
          <a:ln w="28575" cap="rnd">
            <a:solidFill>
              <a:schemeClr val="accent2"/>
            </a:solidFill>
            <a:round/>
          </a:ln>
          <a:effectLst/>
        </c:spPr>
        <c:marker>
          <c:symbol val="none"/>
        </c:marker>
      </c:pivotFmt>
      <c:pivotFmt>
        <c:idx val="179"/>
        <c:spPr>
          <a:solidFill>
            <a:schemeClr val="accent1"/>
          </a:solidFill>
          <a:ln w="28575" cap="rnd">
            <a:solidFill>
              <a:schemeClr val="accent2"/>
            </a:solidFill>
            <a:round/>
          </a:ln>
          <a:effectLst/>
        </c:spPr>
        <c:marker>
          <c:symbol val="none"/>
        </c:marker>
      </c:pivotFmt>
      <c:pivotFmt>
        <c:idx val="180"/>
        <c:spPr>
          <a:solidFill>
            <a:schemeClr val="accent1"/>
          </a:solidFill>
          <a:ln w="28575" cap="rnd">
            <a:solidFill>
              <a:schemeClr val="accent2"/>
            </a:solidFill>
            <a:round/>
          </a:ln>
          <a:effectLst/>
        </c:spPr>
        <c:marker>
          <c:symbol val="none"/>
        </c:marker>
      </c:pivotFmt>
      <c:pivotFmt>
        <c:idx val="181"/>
        <c:spPr>
          <a:solidFill>
            <a:schemeClr val="accent1"/>
          </a:solidFill>
          <a:ln w="28575" cap="rnd">
            <a:solidFill>
              <a:schemeClr val="accent2"/>
            </a:solidFill>
            <a:round/>
          </a:ln>
          <a:effectLst/>
        </c:spPr>
        <c:marker>
          <c:symbol val="none"/>
        </c:marker>
      </c:pivotFmt>
      <c:pivotFmt>
        <c:idx val="182"/>
        <c:spPr>
          <a:solidFill>
            <a:schemeClr val="accent1"/>
          </a:solidFill>
          <a:ln w="28575" cap="rnd">
            <a:solidFill>
              <a:schemeClr val="accent2"/>
            </a:solidFill>
            <a:round/>
          </a:ln>
          <a:effectLst/>
        </c:spPr>
        <c:marker>
          <c:symbol val="none"/>
        </c:marker>
      </c:pivotFmt>
      <c:pivotFmt>
        <c:idx val="183"/>
        <c:spPr>
          <a:solidFill>
            <a:schemeClr val="accent1"/>
          </a:solidFill>
          <a:ln w="28575" cap="rnd">
            <a:solidFill>
              <a:schemeClr val="accent2"/>
            </a:solidFill>
            <a:round/>
          </a:ln>
          <a:effectLst/>
        </c:spPr>
        <c:marker>
          <c:symbol val="none"/>
        </c:marker>
      </c:pivotFmt>
      <c:pivotFmt>
        <c:idx val="184"/>
        <c:spPr>
          <a:solidFill>
            <a:schemeClr val="accent1"/>
          </a:solidFill>
          <a:ln w="28575" cap="rnd">
            <a:solidFill>
              <a:schemeClr val="accent2"/>
            </a:solidFill>
            <a:round/>
          </a:ln>
          <a:effectLst/>
        </c:spPr>
        <c:marker>
          <c:symbol val="none"/>
        </c:marker>
      </c:pivotFmt>
      <c:pivotFmt>
        <c:idx val="185"/>
        <c:spPr>
          <a:solidFill>
            <a:schemeClr val="accent1"/>
          </a:solidFill>
          <a:ln w="28575" cap="rnd">
            <a:solidFill>
              <a:schemeClr val="accent2"/>
            </a:solidFill>
            <a:round/>
          </a:ln>
          <a:effectLst/>
        </c:spPr>
        <c:marker>
          <c:symbol val="none"/>
        </c:marker>
      </c:pivotFmt>
      <c:pivotFmt>
        <c:idx val="186"/>
        <c:spPr>
          <a:solidFill>
            <a:schemeClr val="accent1"/>
          </a:solidFill>
          <a:ln w="28575" cap="rnd">
            <a:solidFill>
              <a:schemeClr val="accent2"/>
            </a:solidFill>
            <a:round/>
          </a:ln>
          <a:effectLst/>
        </c:spPr>
        <c:marker>
          <c:symbol val="none"/>
        </c:marker>
      </c:pivotFmt>
      <c:pivotFmt>
        <c:idx val="187"/>
        <c:spPr>
          <a:solidFill>
            <a:schemeClr val="accent1"/>
          </a:solidFill>
          <a:ln w="28575" cap="rnd">
            <a:solidFill>
              <a:schemeClr val="accent2"/>
            </a:solidFill>
            <a:round/>
          </a:ln>
          <a:effectLst/>
        </c:spPr>
        <c:marker>
          <c:symbol val="none"/>
        </c:marker>
      </c:pivotFmt>
      <c:pivotFmt>
        <c:idx val="188"/>
        <c:spPr>
          <a:solidFill>
            <a:schemeClr val="accent1"/>
          </a:solidFill>
          <a:ln w="28575" cap="rnd">
            <a:solidFill>
              <a:schemeClr val="accent2"/>
            </a:solidFill>
            <a:round/>
          </a:ln>
          <a:effectLst/>
        </c:spPr>
        <c:marker>
          <c:symbol val="none"/>
        </c:marker>
      </c:pivotFmt>
      <c:pivotFmt>
        <c:idx val="189"/>
        <c:spPr>
          <a:solidFill>
            <a:schemeClr val="accent1"/>
          </a:solidFill>
          <a:ln w="28575" cap="rnd">
            <a:solidFill>
              <a:schemeClr val="accent2"/>
            </a:solidFill>
            <a:round/>
          </a:ln>
          <a:effectLst/>
        </c:spPr>
        <c:marker>
          <c:symbol val="none"/>
        </c:marker>
      </c:pivotFmt>
      <c:pivotFmt>
        <c:idx val="190"/>
        <c:spPr>
          <a:solidFill>
            <a:schemeClr val="accent1"/>
          </a:solidFill>
          <a:ln w="28575" cap="rnd">
            <a:solidFill>
              <a:schemeClr val="accent2"/>
            </a:solidFill>
            <a:round/>
          </a:ln>
          <a:effectLst/>
        </c:spPr>
        <c:marker>
          <c:symbol val="none"/>
        </c:marker>
      </c:pivotFmt>
      <c:pivotFmt>
        <c:idx val="191"/>
        <c:spPr>
          <a:solidFill>
            <a:schemeClr val="accent1"/>
          </a:solidFill>
          <a:ln w="28575" cap="rnd">
            <a:solidFill>
              <a:schemeClr val="accent2"/>
            </a:solidFill>
            <a:round/>
          </a:ln>
          <a:effectLst/>
        </c:spPr>
        <c:marker>
          <c:symbol val="none"/>
        </c:marker>
      </c:pivotFmt>
      <c:pivotFmt>
        <c:idx val="192"/>
        <c:spPr>
          <a:solidFill>
            <a:schemeClr val="accent1"/>
          </a:solidFill>
          <a:ln w="28575" cap="rnd">
            <a:solidFill>
              <a:schemeClr val="accent2"/>
            </a:solidFill>
            <a:round/>
          </a:ln>
          <a:effectLst/>
        </c:spPr>
        <c:marker>
          <c:symbol val="none"/>
        </c:marker>
      </c:pivotFmt>
      <c:pivotFmt>
        <c:idx val="193"/>
        <c:spPr>
          <a:solidFill>
            <a:schemeClr val="accent1"/>
          </a:solidFill>
          <a:ln w="28575" cap="rnd">
            <a:solidFill>
              <a:schemeClr val="accent2"/>
            </a:solidFill>
            <a:round/>
          </a:ln>
          <a:effectLst/>
        </c:spPr>
        <c:marker>
          <c:symbol val="none"/>
        </c:marker>
      </c:pivotFmt>
      <c:pivotFmt>
        <c:idx val="194"/>
        <c:spPr>
          <a:solidFill>
            <a:schemeClr val="accent1"/>
          </a:solidFill>
          <a:ln w="28575" cap="rnd">
            <a:solidFill>
              <a:schemeClr val="accent2"/>
            </a:solidFill>
            <a:round/>
          </a:ln>
          <a:effectLst/>
        </c:spPr>
        <c:marker>
          <c:symbol val="none"/>
        </c:marker>
      </c:pivotFmt>
      <c:pivotFmt>
        <c:idx val="195"/>
        <c:spPr>
          <a:solidFill>
            <a:schemeClr val="accent1"/>
          </a:solidFill>
          <a:ln w="28575" cap="rnd">
            <a:solidFill>
              <a:schemeClr val="accent2"/>
            </a:solidFill>
            <a:round/>
          </a:ln>
          <a:effectLst/>
        </c:spPr>
        <c:marker>
          <c:symbol val="none"/>
        </c:marker>
      </c:pivotFmt>
      <c:pivotFmt>
        <c:idx val="196"/>
        <c:spPr>
          <a:solidFill>
            <a:schemeClr val="accent1"/>
          </a:solidFill>
          <a:ln w="28575" cap="rnd">
            <a:solidFill>
              <a:schemeClr val="accent2"/>
            </a:solidFill>
            <a:round/>
          </a:ln>
          <a:effectLst/>
        </c:spPr>
        <c:marker>
          <c:symbol val="none"/>
        </c:marker>
      </c:pivotFmt>
      <c:pivotFmt>
        <c:idx val="197"/>
        <c:spPr>
          <a:solidFill>
            <a:schemeClr val="accent1"/>
          </a:solidFill>
          <a:ln w="28575" cap="rnd">
            <a:solidFill>
              <a:schemeClr val="accent2"/>
            </a:solidFill>
            <a:round/>
          </a:ln>
          <a:effectLst/>
        </c:spPr>
        <c:marker>
          <c:symbol val="none"/>
        </c:marker>
      </c:pivotFmt>
      <c:pivotFmt>
        <c:idx val="198"/>
        <c:spPr>
          <a:solidFill>
            <a:schemeClr val="accent1"/>
          </a:solidFill>
          <a:ln w="28575" cap="rnd">
            <a:solidFill>
              <a:schemeClr val="accent2"/>
            </a:solidFill>
            <a:round/>
          </a:ln>
          <a:effectLst/>
        </c:spPr>
        <c:marker>
          <c:symbol val="none"/>
        </c:marker>
      </c:pivotFmt>
      <c:pivotFmt>
        <c:idx val="199"/>
        <c:spPr>
          <a:solidFill>
            <a:schemeClr val="accent1"/>
          </a:solidFill>
          <a:ln w="28575" cap="rnd">
            <a:solidFill>
              <a:schemeClr val="accent2"/>
            </a:solidFill>
            <a:round/>
          </a:ln>
          <a:effectLst/>
        </c:spPr>
        <c:marker>
          <c:symbol val="none"/>
        </c:marker>
      </c:pivotFmt>
      <c:pivotFmt>
        <c:idx val="200"/>
        <c:spPr>
          <a:solidFill>
            <a:schemeClr val="accent1"/>
          </a:solidFill>
          <a:ln w="28575" cap="rnd">
            <a:solidFill>
              <a:schemeClr val="accent2"/>
            </a:solidFill>
            <a:round/>
          </a:ln>
          <a:effectLst/>
        </c:spPr>
        <c:marker>
          <c:symbol val="none"/>
        </c:marker>
      </c:pivotFmt>
      <c:pivotFmt>
        <c:idx val="201"/>
        <c:spPr>
          <a:solidFill>
            <a:schemeClr val="accent1"/>
          </a:solidFill>
          <a:ln w="28575" cap="rnd">
            <a:solidFill>
              <a:schemeClr val="accent2"/>
            </a:solidFill>
            <a:round/>
          </a:ln>
          <a:effectLst/>
        </c:spPr>
        <c:marker>
          <c:symbol val="none"/>
        </c:marker>
      </c:pivotFmt>
      <c:pivotFmt>
        <c:idx val="202"/>
        <c:spPr>
          <a:solidFill>
            <a:schemeClr val="accent1"/>
          </a:solidFill>
          <a:ln w="28575" cap="rnd">
            <a:solidFill>
              <a:schemeClr val="accent2"/>
            </a:solidFill>
            <a:round/>
          </a:ln>
          <a:effectLst/>
        </c:spPr>
        <c:marker>
          <c:symbol val="none"/>
        </c:marker>
      </c:pivotFmt>
      <c:pivotFmt>
        <c:idx val="203"/>
        <c:spPr>
          <a:solidFill>
            <a:schemeClr val="accent1"/>
          </a:solidFill>
          <a:ln w="28575" cap="rnd">
            <a:solidFill>
              <a:schemeClr val="accent2"/>
            </a:solidFill>
            <a:round/>
          </a:ln>
          <a:effectLst/>
        </c:spPr>
        <c:marker>
          <c:symbol val="none"/>
        </c:marker>
      </c:pivotFmt>
      <c:pivotFmt>
        <c:idx val="204"/>
        <c:spPr>
          <a:solidFill>
            <a:schemeClr val="accent1"/>
          </a:solidFill>
          <a:ln w="28575" cap="rnd">
            <a:solidFill>
              <a:schemeClr val="accent2"/>
            </a:solidFill>
            <a:round/>
          </a:ln>
          <a:effectLst/>
        </c:spPr>
        <c:marker>
          <c:symbol val="none"/>
        </c:marker>
      </c:pivotFmt>
      <c:pivotFmt>
        <c:idx val="205"/>
        <c:spPr>
          <a:solidFill>
            <a:schemeClr val="accent1"/>
          </a:solidFill>
          <a:ln w="28575" cap="rnd">
            <a:solidFill>
              <a:schemeClr val="accent2"/>
            </a:solidFill>
            <a:round/>
          </a:ln>
          <a:effectLst/>
        </c:spPr>
        <c:marker>
          <c:symbol val="none"/>
        </c:marker>
      </c:pivotFmt>
      <c:pivotFmt>
        <c:idx val="206"/>
        <c:spPr>
          <a:solidFill>
            <a:schemeClr val="accent1"/>
          </a:solidFill>
          <a:ln w="28575" cap="rnd">
            <a:solidFill>
              <a:schemeClr val="accent2"/>
            </a:solidFill>
            <a:round/>
          </a:ln>
          <a:effectLst/>
        </c:spPr>
        <c:marker>
          <c:symbol val="none"/>
        </c:marker>
      </c:pivotFmt>
    </c:pivotFmts>
    <c:plotArea>
      <c:layout/>
      <c:lineChart>
        <c:grouping val="standard"/>
        <c:varyColors val="0"/>
        <c:ser>
          <c:idx val="0"/>
          <c:order val="0"/>
          <c:tx>
            <c:strRef>
              <c:f>'Q-4 I Subjective'!$C$12</c:f>
              <c:strCache>
                <c:ptCount val="1"/>
                <c:pt idx="0">
                  <c:v>Call volume</c:v>
                </c:pt>
              </c:strCache>
            </c:strRef>
          </c:tx>
          <c:spPr>
            <a:ln w="28575" cap="rnd">
              <a:solidFill>
                <a:schemeClr val="accent1"/>
              </a:solidFill>
              <a:round/>
            </a:ln>
            <a:effectLst/>
          </c:spPr>
          <c:marker>
            <c:symbol val="none"/>
          </c:marker>
          <c:dPt>
            <c:idx val="0"/>
            <c:marker>
              <c:symbol val="none"/>
            </c:marker>
            <c:bubble3D val="0"/>
            <c:spPr>
              <a:ln w="28575" cap="rnd">
                <a:solidFill>
                  <a:schemeClr val="accent1"/>
                </a:solidFill>
                <a:round/>
              </a:ln>
              <a:effectLst/>
            </c:spPr>
            <c:extLst>
              <c:ext xmlns:c16="http://schemas.microsoft.com/office/drawing/2014/chart" uri="{C3380CC4-5D6E-409C-BE32-E72D297353CC}">
                <c16:uniqueId val="{00000001-8E52-43F1-84E2-4D5B3E166DE5}"/>
              </c:ext>
            </c:extLst>
          </c:dPt>
          <c:dPt>
            <c:idx val="1"/>
            <c:marker>
              <c:symbol val="none"/>
            </c:marker>
            <c:bubble3D val="0"/>
            <c:spPr>
              <a:ln w="28575" cap="rnd">
                <a:solidFill>
                  <a:schemeClr val="accent1"/>
                </a:solidFill>
                <a:round/>
              </a:ln>
              <a:effectLst/>
            </c:spPr>
            <c:extLst>
              <c:ext xmlns:c16="http://schemas.microsoft.com/office/drawing/2014/chart" uri="{C3380CC4-5D6E-409C-BE32-E72D297353CC}">
                <c16:uniqueId val="{00000003-8E52-43F1-84E2-4D5B3E166DE5}"/>
              </c:ext>
            </c:extLst>
          </c:dPt>
          <c:dPt>
            <c:idx val="2"/>
            <c:marker>
              <c:symbol val="none"/>
            </c:marker>
            <c:bubble3D val="0"/>
            <c:spPr>
              <a:ln w="28575" cap="rnd">
                <a:solidFill>
                  <a:schemeClr val="accent1"/>
                </a:solidFill>
                <a:round/>
              </a:ln>
              <a:effectLst/>
            </c:spPr>
            <c:extLst>
              <c:ext xmlns:c16="http://schemas.microsoft.com/office/drawing/2014/chart" uri="{C3380CC4-5D6E-409C-BE32-E72D297353CC}">
                <c16:uniqueId val="{00000005-8E52-43F1-84E2-4D5B3E166DE5}"/>
              </c:ext>
            </c:extLst>
          </c:dPt>
          <c:dPt>
            <c:idx val="3"/>
            <c:marker>
              <c:symbol val="none"/>
            </c:marker>
            <c:bubble3D val="0"/>
            <c:spPr>
              <a:ln w="28575" cap="rnd">
                <a:solidFill>
                  <a:schemeClr val="accent1"/>
                </a:solidFill>
                <a:round/>
              </a:ln>
              <a:effectLst/>
            </c:spPr>
            <c:extLst>
              <c:ext xmlns:c16="http://schemas.microsoft.com/office/drawing/2014/chart" uri="{C3380CC4-5D6E-409C-BE32-E72D297353CC}">
                <c16:uniqueId val="{00000007-8E52-43F1-84E2-4D5B3E166DE5}"/>
              </c:ext>
            </c:extLst>
          </c:dPt>
          <c:dPt>
            <c:idx val="4"/>
            <c:marker>
              <c:symbol val="none"/>
            </c:marker>
            <c:bubble3D val="0"/>
            <c:spPr>
              <a:ln w="28575" cap="rnd">
                <a:solidFill>
                  <a:schemeClr val="accent1"/>
                </a:solidFill>
                <a:round/>
              </a:ln>
              <a:effectLst/>
            </c:spPr>
            <c:extLst>
              <c:ext xmlns:c16="http://schemas.microsoft.com/office/drawing/2014/chart" uri="{C3380CC4-5D6E-409C-BE32-E72D297353CC}">
                <c16:uniqueId val="{00000009-8E52-43F1-84E2-4D5B3E166DE5}"/>
              </c:ext>
            </c:extLst>
          </c:dPt>
          <c:dPt>
            <c:idx val="5"/>
            <c:marker>
              <c:symbol val="none"/>
            </c:marker>
            <c:bubble3D val="0"/>
            <c:spPr>
              <a:ln w="28575" cap="rnd">
                <a:solidFill>
                  <a:schemeClr val="accent1"/>
                </a:solidFill>
                <a:round/>
              </a:ln>
              <a:effectLst/>
            </c:spPr>
            <c:extLst>
              <c:ext xmlns:c16="http://schemas.microsoft.com/office/drawing/2014/chart" uri="{C3380CC4-5D6E-409C-BE32-E72D297353CC}">
                <c16:uniqueId val="{0000000B-8E52-43F1-84E2-4D5B3E166DE5}"/>
              </c:ext>
            </c:extLst>
          </c:dPt>
          <c:dPt>
            <c:idx val="6"/>
            <c:marker>
              <c:symbol val="none"/>
            </c:marker>
            <c:bubble3D val="0"/>
            <c:spPr>
              <a:ln w="28575" cap="rnd">
                <a:solidFill>
                  <a:schemeClr val="accent1"/>
                </a:solidFill>
                <a:round/>
              </a:ln>
              <a:effectLst/>
            </c:spPr>
            <c:extLst>
              <c:ext xmlns:c16="http://schemas.microsoft.com/office/drawing/2014/chart" uri="{C3380CC4-5D6E-409C-BE32-E72D297353CC}">
                <c16:uniqueId val="{0000000D-8E52-43F1-84E2-4D5B3E166DE5}"/>
              </c:ext>
            </c:extLst>
          </c:dPt>
          <c:dPt>
            <c:idx val="7"/>
            <c:marker>
              <c:symbol val="none"/>
            </c:marker>
            <c:bubble3D val="0"/>
            <c:spPr>
              <a:ln w="28575" cap="rnd">
                <a:solidFill>
                  <a:schemeClr val="accent1"/>
                </a:solidFill>
                <a:round/>
              </a:ln>
              <a:effectLst/>
            </c:spPr>
            <c:extLst>
              <c:ext xmlns:c16="http://schemas.microsoft.com/office/drawing/2014/chart" uri="{C3380CC4-5D6E-409C-BE32-E72D297353CC}">
                <c16:uniqueId val="{0000000F-8E52-43F1-84E2-4D5B3E166DE5}"/>
              </c:ext>
            </c:extLst>
          </c:dPt>
          <c:dPt>
            <c:idx val="8"/>
            <c:marker>
              <c:symbol val="none"/>
            </c:marker>
            <c:bubble3D val="0"/>
            <c:spPr>
              <a:ln w="28575" cap="rnd">
                <a:solidFill>
                  <a:schemeClr val="accent1"/>
                </a:solidFill>
                <a:round/>
              </a:ln>
              <a:effectLst/>
            </c:spPr>
            <c:extLst>
              <c:ext xmlns:c16="http://schemas.microsoft.com/office/drawing/2014/chart" uri="{C3380CC4-5D6E-409C-BE32-E72D297353CC}">
                <c16:uniqueId val="{00000011-8E52-43F1-84E2-4D5B3E166DE5}"/>
              </c:ext>
            </c:extLst>
          </c:dPt>
          <c:dPt>
            <c:idx val="9"/>
            <c:marker>
              <c:symbol val="none"/>
            </c:marker>
            <c:bubble3D val="0"/>
            <c:spPr>
              <a:ln w="28575" cap="rnd">
                <a:solidFill>
                  <a:schemeClr val="accent1"/>
                </a:solidFill>
                <a:round/>
              </a:ln>
              <a:effectLst/>
            </c:spPr>
            <c:extLst>
              <c:ext xmlns:c16="http://schemas.microsoft.com/office/drawing/2014/chart" uri="{C3380CC4-5D6E-409C-BE32-E72D297353CC}">
                <c16:uniqueId val="{00000013-8E52-43F1-84E2-4D5B3E166DE5}"/>
              </c:ext>
            </c:extLst>
          </c:dPt>
          <c:dPt>
            <c:idx val="10"/>
            <c:marker>
              <c:symbol val="none"/>
            </c:marker>
            <c:bubble3D val="0"/>
            <c:spPr>
              <a:ln w="28575" cap="rnd">
                <a:solidFill>
                  <a:schemeClr val="accent1"/>
                </a:solidFill>
                <a:round/>
              </a:ln>
              <a:effectLst/>
            </c:spPr>
            <c:extLst>
              <c:ext xmlns:c16="http://schemas.microsoft.com/office/drawing/2014/chart" uri="{C3380CC4-5D6E-409C-BE32-E72D297353CC}">
                <c16:uniqueId val="{00000015-8E52-43F1-84E2-4D5B3E166DE5}"/>
              </c:ext>
            </c:extLst>
          </c:dPt>
          <c:dPt>
            <c:idx val="11"/>
            <c:marker>
              <c:symbol val="none"/>
            </c:marker>
            <c:bubble3D val="0"/>
            <c:spPr>
              <a:ln w="28575" cap="rnd">
                <a:solidFill>
                  <a:schemeClr val="accent1"/>
                </a:solidFill>
                <a:round/>
              </a:ln>
              <a:effectLst/>
            </c:spPr>
            <c:extLst>
              <c:ext xmlns:c16="http://schemas.microsoft.com/office/drawing/2014/chart" uri="{C3380CC4-5D6E-409C-BE32-E72D297353CC}">
                <c16:uniqueId val="{00000017-8E52-43F1-84E2-4D5B3E166DE5}"/>
              </c:ext>
            </c:extLst>
          </c:dPt>
          <c:dPt>
            <c:idx val="12"/>
            <c:marker>
              <c:symbol val="none"/>
            </c:marker>
            <c:bubble3D val="0"/>
            <c:spPr>
              <a:ln w="28575" cap="rnd">
                <a:solidFill>
                  <a:schemeClr val="accent1"/>
                </a:solidFill>
                <a:round/>
              </a:ln>
              <a:effectLst/>
            </c:spPr>
            <c:extLst>
              <c:ext xmlns:c16="http://schemas.microsoft.com/office/drawing/2014/chart" uri="{C3380CC4-5D6E-409C-BE32-E72D297353CC}">
                <c16:uniqueId val="{00000019-8E52-43F1-84E2-4D5B3E166DE5}"/>
              </c:ext>
            </c:extLst>
          </c:dPt>
          <c:dPt>
            <c:idx val="13"/>
            <c:marker>
              <c:symbol val="none"/>
            </c:marker>
            <c:bubble3D val="0"/>
            <c:spPr>
              <a:ln w="28575" cap="rnd">
                <a:solidFill>
                  <a:schemeClr val="accent1"/>
                </a:solidFill>
                <a:round/>
              </a:ln>
              <a:effectLst/>
            </c:spPr>
            <c:extLst>
              <c:ext xmlns:c16="http://schemas.microsoft.com/office/drawing/2014/chart" uri="{C3380CC4-5D6E-409C-BE32-E72D297353CC}">
                <c16:uniqueId val="{0000001B-8E52-43F1-84E2-4D5B3E166DE5}"/>
              </c:ext>
            </c:extLst>
          </c:dPt>
          <c:dPt>
            <c:idx val="14"/>
            <c:marker>
              <c:symbol val="none"/>
            </c:marker>
            <c:bubble3D val="0"/>
            <c:spPr>
              <a:ln w="28575" cap="rnd">
                <a:solidFill>
                  <a:schemeClr val="accent1"/>
                </a:solidFill>
                <a:round/>
              </a:ln>
              <a:effectLst/>
            </c:spPr>
            <c:extLst>
              <c:ext xmlns:c16="http://schemas.microsoft.com/office/drawing/2014/chart" uri="{C3380CC4-5D6E-409C-BE32-E72D297353CC}">
                <c16:uniqueId val="{0000001D-8E52-43F1-84E2-4D5B3E166DE5}"/>
              </c:ext>
            </c:extLst>
          </c:dPt>
          <c:dPt>
            <c:idx val="15"/>
            <c:marker>
              <c:symbol val="none"/>
            </c:marker>
            <c:bubble3D val="0"/>
            <c:spPr>
              <a:ln w="28575" cap="rnd">
                <a:solidFill>
                  <a:schemeClr val="accent1"/>
                </a:solidFill>
                <a:round/>
              </a:ln>
              <a:effectLst/>
            </c:spPr>
            <c:extLst>
              <c:ext xmlns:c16="http://schemas.microsoft.com/office/drawing/2014/chart" uri="{C3380CC4-5D6E-409C-BE32-E72D297353CC}">
                <c16:uniqueId val="{0000001F-8E52-43F1-84E2-4D5B3E166DE5}"/>
              </c:ext>
            </c:extLst>
          </c:dPt>
          <c:dPt>
            <c:idx val="16"/>
            <c:marker>
              <c:symbol val="none"/>
            </c:marker>
            <c:bubble3D val="0"/>
            <c:spPr>
              <a:ln w="28575" cap="rnd">
                <a:solidFill>
                  <a:schemeClr val="accent1"/>
                </a:solidFill>
                <a:round/>
              </a:ln>
              <a:effectLst/>
            </c:spPr>
            <c:extLst>
              <c:ext xmlns:c16="http://schemas.microsoft.com/office/drawing/2014/chart" uri="{C3380CC4-5D6E-409C-BE32-E72D297353CC}">
                <c16:uniqueId val="{00000021-8E52-43F1-84E2-4D5B3E166DE5}"/>
              </c:ext>
            </c:extLst>
          </c:dPt>
          <c:dPt>
            <c:idx val="17"/>
            <c:marker>
              <c:symbol val="none"/>
            </c:marker>
            <c:bubble3D val="0"/>
            <c:spPr>
              <a:ln w="28575" cap="rnd">
                <a:solidFill>
                  <a:schemeClr val="accent1"/>
                </a:solidFill>
                <a:round/>
              </a:ln>
              <a:effectLst/>
            </c:spPr>
            <c:extLst>
              <c:ext xmlns:c16="http://schemas.microsoft.com/office/drawing/2014/chart" uri="{C3380CC4-5D6E-409C-BE32-E72D297353CC}">
                <c16:uniqueId val="{00000023-8E52-43F1-84E2-4D5B3E166DE5}"/>
              </c:ext>
            </c:extLst>
          </c:dPt>
          <c:dPt>
            <c:idx val="18"/>
            <c:marker>
              <c:symbol val="none"/>
            </c:marker>
            <c:bubble3D val="0"/>
            <c:spPr>
              <a:ln w="28575" cap="rnd">
                <a:solidFill>
                  <a:schemeClr val="accent1"/>
                </a:solidFill>
                <a:round/>
              </a:ln>
              <a:effectLst/>
            </c:spPr>
            <c:extLst>
              <c:ext xmlns:c16="http://schemas.microsoft.com/office/drawing/2014/chart" uri="{C3380CC4-5D6E-409C-BE32-E72D297353CC}">
                <c16:uniqueId val="{00000025-8E52-43F1-84E2-4D5B3E166DE5}"/>
              </c:ext>
            </c:extLst>
          </c:dPt>
          <c:dPt>
            <c:idx val="19"/>
            <c:marker>
              <c:symbol val="none"/>
            </c:marker>
            <c:bubble3D val="0"/>
            <c:spPr>
              <a:ln w="28575" cap="rnd">
                <a:solidFill>
                  <a:schemeClr val="accent1"/>
                </a:solidFill>
                <a:round/>
              </a:ln>
              <a:effectLst/>
            </c:spPr>
            <c:extLst>
              <c:ext xmlns:c16="http://schemas.microsoft.com/office/drawing/2014/chart" uri="{C3380CC4-5D6E-409C-BE32-E72D297353CC}">
                <c16:uniqueId val="{00000027-8E52-43F1-84E2-4D5B3E166DE5}"/>
              </c:ext>
            </c:extLst>
          </c:dPt>
          <c:dPt>
            <c:idx val="20"/>
            <c:marker>
              <c:symbol val="none"/>
            </c:marker>
            <c:bubble3D val="0"/>
            <c:spPr>
              <a:ln w="28575" cap="rnd">
                <a:solidFill>
                  <a:schemeClr val="accent1"/>
                </a:solidFill>
                <a:round/>
              </a:ln>
              <a:effectLst/>
            </c:spPr>
            <c:extLst>
              <c:ext xmlns:c16="http://schemas.microsoft.com/office/drawing/2014/chart" uri="{C3380CC4-5D6E-409C-BE32-E72D297353CC}">
                <c16:uniqueId val="{00000029-8E52-43F1-84E2-4D5B3E166DE5}"/>
              </c:ext>
            </c:extLst>
          </c:dPt>
          <c:dPt>
            <c:idx val="22"/>
            <c:marker>
              <c:symbol val="none"/>
            </c:marker>
            <c:bubble3D val="0"/>
            <c:spPr>
              <a:ln w="28575" cap="rnd">
                <a:solidFill>
                  <a:schemeClr val="accent1"/>
                </a:solidFill>
                <a:round/>
              </a:ln>
              <a:effectLst/>
            </c:spPr>
            <c:extLst>
              <c:ext xmlns:c16="http://schemas.microsoft.com/office/drawing/2014/chart" uri="{C3380CC4-5D6E-409C-BE32-E72D297353CC}">
                <c16:uniqueId val="{0000002B-8E52-43F1-84E2-4D5B3E166DE5}"/>
              </c:ext>
            </c:extLst>
          </c:dPt>
          <c:dPt>
            <c:idx val="23"/>
            <c:marker>
              <c:symbol val="none"/>
            </c:marker>
            <c:bubble3D val="0"/>
            <c:spPr>
              <a:ln w="28575" cap="rnd">
                <a:solidFill>
                  <a:schemeClr val="accent1"/>
                </a:solidFill>
                <a:round/>
              </a:ln>
              <a:effectLst/>
            </c:spPr>
            <c:extLst>
              <c:ext xmlns:c16="http://schemas.microsoft.com/office/drawing/2014/chart" uri="{C3380CC4-5D6E-409C-BE32-E72D297353CC}">
                <c16:uniqueId val="{0000002D-8E52-43F1-84E2-4D5B3E166DE5}"/>
              </c:ext>
            </c:extLst>
          </c:dPt>
          <c:dPt>
            <c:idx val="24"/>
            <c:marker>
              <c:symbol val="none"/>
            </c:marker>
            <c:bubble3D val="0"/>
            <c:spPr>
              <a:ln w="28575" cap="rnd">
                <a:solidFill>
                  <a:schemeClr val="accent1"/>
                </a:solidFill>
                <a:round/>
              </a:ln>
              <a:effectLst/>
            </c:spPr>
            <c:extLst>
              <c:ext xmlns:c16="http://schemas.microsoft.com/office/drawing/2014/chart" uri="{C3380CC4-5D6E-409C-BE32-E72D297353CC}">
                <c16:uniqueId val="{0000002F-8E52-43F1-84E2-4D5B3E166DE5}"/>
              </c:ext>
            </c:extLst>
          </c:dPt>
          <c:dPt>
            <c:idx val="25"/>
            <c:marker>
              <c:symbol val="none"/>
            </c:marker>
            <c:bubble3D val="0"/>
            <c:spPr>
              <a:ln w="28575" cap="rnd">
                <a:solidFill>
                  <a:schemeClr val="accent1"/>
                </a:solidFill>
                <a:round/>
              </a:ln>
              <a:effectLst/>
            </c:spPr>
            <c:extLst>
              <c:ext xmlns:c16="http://schemas.microsoft.com/office/drawing/2014/chart" uri="{C3380CC4-5D6E-409C-BE32-E72D297353CC}">
                <c16:uniqueId val="{00000031-8E52-43F1-84E2-4D5B3E166DE5}"/>
              </c:ext>
            </c:extLst>
          </c:dPt>
          <c:dPt>
            <c:idx val="26"/>
            <c:marker>
              <c:symbol val="none"/>
            </c:marker>
            <c:bubble3D val="0"/>
            <c:spPr>
              <a:ln w="28575" cap="rnd">
                <a:solidFill>
                  <a:schemeClr val="accent1"/>
                </a:solidFill>
                <a:round/>
              </a:ln>
              <a:effectLst/>
            </c:spPr>
            <c:extLst>
              <c:ext xmlns:c16="http://schemas.microsoft.com/office/drawing/2014/chart" uri="{C3380CC4-5D6E-409C-BE32-E72D297353CC}">
                <c16:uniqueId val="{00000033-8E52-43F1-84E2-4D5B3E166DE5}"/>
              </c:ext>
            </c:extLst>
          </c:dPt>
          <c:dPt>
            <c:idx val="27"/>
            <c:marker>
              <c:symbol val="none"/>
            </c:marker>
            <c:bubble3D val="0"/>
            <c:spPr>
              <a:ln w="28575" cap="rnd">
                <a:solidFill>
                  <a:schemeClr val="accent1"/>
                </a:solidFill>
                <a:round/>
              </a:ln>
              <a:effectLst/>
            </c:spPr>
            <c:extLst>
              <c:ext xmlns:c16="http://schemas.microsoft.com/office/drawing/2014/chart" uri="{C3380CC4-5D6E-409C-BE32-E72D297353CC}">
                <c16:uniqueId val="{00000035-8E52-43F1-84E2-4D5B3E166DE5}"/>
              </c:ext>
            </c:extLst>
          </c:dPt>
          <c:dPt>
            <c:idx val="28"/>
            <c:marker>
              <c:symbol val="none"/>
            </c:marker>
            <c:bubble3D val="0"/>
            <c:spPr>
              <a:ln w="28575" cap="rnd">
                <a:solidFill>
                  <a:schemeClr val="accent1"/>
                </a:solidFill>
                <a:round/>
              </a:ln>
              <a:effectLst/>
            </c:spPr>
            <c:extLst>
              <c:ext xmlns:c16="http://schemas.microsoft.com/office/drawing/2014/chart" uri="{C3380CC4-5D6E-409C-BE32-E72D297353CC}">
                <c16:uniqueId val="{00000037-8E52-43F1-84E2-4D5B3E166DE5}"/>
              </c:ext>
            </c:extLst>
          </c:dPt>
          <c:dPt>
            <c:idx val="29"/>
            <c:marker>
              <c:symbol val="none"/>
            </c:marker>
            <c:bubble3D val="0"/>
            <c:spPr>
              <a:ln w="28575" cap="rnd">
                <a:solidFill>
                  <a:schemeClr val="accent1"/>
                </a:solidFill>
                <a:round/>
              </a:ln>
              <a:effectLst/>
            </c:spPr>
            <c:extLst>
              <c:ext xmlns:c16="http://schemas.microsoft.com/office/drawing/2014/chart" uri="{C3380CC4-5D6E-409C-BE32-E72D297353CC}">
                <c16:uniqueId val="{00000039-8E52-43F1-84E2-4D5B3E166DE5}"/>
              </c:ext>
            </c:extLst>
          </c:dPt>
          <c:dPt>
            <c:idx val="30"/>
            <c:marker>
              <c:symbol val="none"/>
            </c:marker>
            <c:bubble3D val="0"/>
            <c:spPr>
              <a:ln w="28575" cap="rnd">
                <a:solidFill>
                  <a:schemeClr val="accent1"/>
                </a:solidFill>
                <a:round/>
              </a:ln>
              <a:effectLst/>
            </c:spPr>
            <c:extLst>
              <c:ext xmlns:c16="http://schemas.microsoft.com/office/drawing/2014/chart" uri="{C3380CC4-5D6E-409C-BE32-E72D297353CC}">
                <c16:uniqueId val="{0000003B-8E52-43F1-84E2-4D5B3E166DE5}"/>
              </c:ext>
            </c:extLst>
          </c:dPt>
          <c:dPt>
            <c:idx val="31"/>
            <c:marker>
              <c:symbol val="none"/>
            </c:marker>
            <c:bubble3D val="0"/>
            <c:spPr>
              <a:ln w="28575" cap="rnd">
                <a:solidFill>
                  <a:schemeClr val="accent1"/>
                </a:solidFill>
                <a:round/>
              </a:ln>
              <a:effectLst/>
            </c:spPr>
            <c:extLst>
              <c:ext xmlns:c16="http://schemas.microsoft.com/office/drawing/2014/chart" uri="{C3380CC4-5D6E-409C-BE32-E72D297353CC}">
                <c16:uniqueId val="{0000003D-8E52-43F1-84E2-4D5B3E166DE5}"/>
              </c:ext>
            </c:extLst>
          </c:dPt>
          <c:dPt>
            <c:idx val="32"/>
            <c:marker>
              <c:symbol val="none"/>
            </c:marker>
            <c:bubble3D val="0"/>
            <c:spPr>
              <a:ln w="28575" cap="rnd">
                <a:solidFill>
                  <a:schemeClr val="accent1"/>
                </a:solidFill>
                <a:round/>
              </a:ln>
              <a:effectLst/>
            </c:spPr>
            <c:extLst>
              <c:ext xmlns:c16="http://schemas.microsoft.com/office/drawing/2014/chart" uri="{C3380CC4-5D6E-409C-BE32-E72D297353CC}">
                <c16:uniqueId val="{0000003F-8E52-43F1-84E2-4D5B3E166DE5}"/>
              </c:ext>
            </c:extLst>
          </c:dPt>
          <c:dPt>
            <c:idx val="33"/>
            <c:marker>
              <c:symbol val="none"/>
            </c:marker>
            <c:bubble3D val="0"/>
            <c:spPr>
              <a:ln w="28575" cap="rnd">
                <a:solidFill>
                  <a:schemeClr val="accent1"/>
                </a:solidFill>
                <a:round/>
              </a:ln>
              <a:effectLst/>
            </c:spPr>
            <c:extLst>
              <c:ext xmlns:c16="http://schemas.microsoft.com/office/drawing/2014/chart" uri="{C3380CC4-5D6E-409C-BE32-E72D297353CC}">
                <c16:uniqueId val="{00000041-8E52-43F1-84E2-4D5B3E166DE5}"/>
              </c:ext>
            </c:extLst>
          </c:dPt>
          <c:cat>
            <c:multiLvlStrRef>
              <c:f>'Q-4 I Subjective'!$B$13:$B$51</c:f>
              <c:multiLvlStrCache>
                <c:ptCount val="34"/>
                <c:lvl>
                  <c:pt idx="0">
                    <c:v>01-Dec</c:v>
                  </c:pt>
                  <c:pt idx="1">
                    <c:v>02-Dec</c:v>
                  </c:pt>
                  <c:pt idx="2">
                    <c:v>03-Dec</c:v>
                  </c:pt>
                  <c:pt idx="3">
                    <c:v>04-Dec</c:v>
                  </c:pt>
                  <c:pt idx="4">
                    <c:v>05-Dec</c:v>
                  </c:pt>
                  <c:pt idx="5">
                    <c:v>06-Dec</c:v>
                  </c:pt>
                  <c:pt idx="6">
                    <c:v>07-Dec</c:v>
                  </c:pt>
                  <c:pt idx="7">
                    <c:v>08-Dec</c:v>
                  </c:pt>
                  <c:pt idx="8">
                    <c:v>09-Dec</c:v>
                  </c:pt>
                  <c:pt idx="9">
                    <c:v>10-Dec</c:v>
                  </c:pt>
                  <c:pt idx="10">
                    <c:v>11-Dec</c:v>
                  </c:pt>
                  <c:pt idx="11">
                    <c:v>12-Dec</c:v>
                  </c:pt>
                  <c:pt idx="12">
                    <c:v>13-Dec</c:v>
                  </c:pt>
                  <c:pt idx="13">
                    <c:v>14-Dec</c:v>
                  </c:pt>
                  <c:pt idx="14">
                    <c:v>15-Dec</c:v>
                  </c:pt>
                  <c:pt idx="15">
                    <c:v>16-Dec</c:v>
                  </c:pt>
                  <c:pt idx="16">
                    <c:v>17-Dec</c:v>
                  </c:pt>
                  <c:pt idx="17">
                    <c:v>18-Dec</c:v>
                  </c:pt>
                  <c:pt idx="18">
                    <c:v>19-Dec</c:v>
                  </c:pt>
                  <c:pt idx="19">
                    <c:v>20-Dec</c:v>
                  </c:pt>
                  <c:pt idx="20">
                    <c:v>21-Dec</c:v>
                  </c:pt>
                  <c:pt idx="21">
                    <c:v>22-Dec</c:v>
                  </c:pt>
                  <c:pt idx="22">
                    <c:v>23-Dec</c:v>
                  </c:pt>
                  <c:pt idx="23">
                    <c:v>24-Dec</c:v>
                  </c:pt>
                  <c:pt idx="24">
                    <c:v>25-Dec</c:v>
                  </c:pt>
                  <c:pt idx="25">
                    <c:v>26-Dec</c:v>
                  </c:pt>
                  <c:pt idx="26">
                    <c:v>27-Dec</c:v>
                  </c:pt>
                  <c:pt idx="27">
                    <c:v>28-Dec</c:v>
                  </c:pt>
                  <c:pt idx="28">
                    <c:v>29-Dec</c:v>
                  </c:pt>
                  <c:pt idx="29">
                    <c:v>30-Dec</c:v>
                  </c:pt>
                  <c:pt idx="30">
                    <c:v>31-Dec</c:v>
                  </c:pt>
                  <c:pt idx="31">
                    <c:v>01-Jan</c:v>
                  </c:pt>
                  <c:pt idx="32">
                    <c:v>02-Jan</c:v>
                  </c:pt>
                  <c:pt idx="33">
                    <c:v>03-Jan</c:v>
                  </c:pt>
                </c:lvl>
                <c:lvl>
                  <c:pt idx="0">
                    <c:v>Dec</c:v>
                  </c:pt>
                  <c:pt idx="31">
                    <c:v>Jan</c:v>
                  </c:pt>
                </c:lvl>
                <c:lvl>
                  <c:pt idx="0">
                    <c:v>2023</c:v>
                  </c:pt>
                  <c:pt idx="31">
                    <c:v>2024</c:v>
                  </c:pt>
                </c:lvl>
              </c:multiLvlStrCache>
            </c:multiLvlStrRef>
          </c:cat>
          <c:val>
            <c:numRef>
              <c:f>'Q-4 I Subjective'!$C$13:$C$51</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42-8E52-43F1-84E2-4D5B3E166DE5}"/>
            </c:ext>
          </c:extLst>
        </c:ser>
        <c:dLbls>
          <c:showLegendKey val="0"/>
          <c:showVal val="0"/>
          <c:showCatName val="0"/>
          <c:showSerName val="0"/>
          <c:showPercent val="0"/>
          <c:showBubbleSize val="0"/>
        </c:dLbls>
        <c:marker val="1"/>
        <c:smooth val="0"/>
        <c:axId val="2116145856"/>
        <c:axId val="2116137952"/>
      </c:lineChart>
      <c:lineChart>
        <c:grouping val="standard"/>
        <c:varyColors val="0"/>
        <c:ser>
          <c:idx val="1"/>
          <c:order val="1"/>
          <c:tx>
            <c:strRef>
              <c:f>'Q-4 I Subjective'!$D$12</c:f>
              <c:strCache>
                <c:ptCount val="1"/>
                <c:pt idx="0">
                  <c:v>Average of rating</c:v>
                </c:pt>
              </c:strCache>
            </c:strRef>
          </c:tx>
          <c:spPr>
            <a:ln w="28575" cap="rnd">
              <a:solidFill>
                <a:schemeClr val="accent2"/>
              </a:solidFill>
              <a:round/>
            </a:ln>
            <a:effectLst/>
          </c:spPr>
          <c:marker>
            <c:symbol val="none"/>
          </c:marker>
          <c:dPt>
            <c:idx val="0"/>
            <c:marker>
              <c:symbol val="none"/>
            </c:marker>
            <c:bubble3D val="0"/>
            <c:spPr>
              <a:ln w="28575" cap="rnd">
                <a:solidFill>
                  <a:schemeClr val="accent2"/>
                </a:solidFill>
                <a:round/>
              </a:ln>
              <a:effectLst/>
            </c:spPr>
            <c:extLst>
              <c:ext xmlns:c16="http://schemas.microsoft.com/office/drawing/2014/chart" uri="{C3380CC4-5D6E-409C-BE32-E72D297353CC}">
                <c16:uniqueId val="{00000044-8E52-43F1-84E2-4D5B3E166DE5}"/>
              </c:ext>
            </c:extLst>
          </c:dPt>
          <c:dPt>
            <c:idx val="1"/>
            <c:marker>
              <c:symbol val="none"/>
            </c:marker>
            <c:bubble3D val="0"/>
            <c:spPr>
              <a:ln w="28575" cap="rnd">
                <a:solidFill>
                  <a:schemeClr val="accent2"/>
                </a:solidFill>
                <a:round/>
              </a:ln>
              <a:effectLst/>
            </c:spPr>
            <c:extLst>
              <c:ext xmlns:c16="http://schemas.microsoft.com/office/drawing/2014/chart" uri="{C3380CC4-5D6E-409C-BE32-E72D297353CC}">
                <c16:uniqueId val="{00000046-8E52-43F1-84E2-4D5B3E166DE5}"/>
              </c:ext>
            </c:extLst>
          </c:dPt>
          <c:dPt>
            <c:idx val="2"/>
            <c:marker>
              <c:symbol val="none"/>
            </c:marker>
            <c:bubble3D val="0"/>
            <c:spPr>
              <a:ln w="28575" cap="rnd">
                <a:solidFill>
                  <a:schemeClr val="accent2"/>
                </a:solidFill>
                <a:round/>
              </a:ln>
              <a:effectLst/>
            </c:spPr>
            <c:extLst>
              <c:ext xmlns:c16="http://schemas.microsoft.com/office/drawing/2014/chart" uri="{C3380CC4-5D6E-409C-BE32-E72D297353CC}">
                <c16:uniqueId val="{00000048-8E52-43F1-84E2-4D5B3E166DE5}"/>
              </c:ext>
            </c:extLst>
          </c:dPt>
          <c:dPt>
            <c:idx val="3"/>
            <c:marker>
              <c:symbol val="none"/>
            </c:marker>
            <c:bubble3D val="0"/>
            <c:spPr>
              <a:ln w="28575" cap="rnd">
                <a:solidFill>
                  <a:schemeClr val="accent2"/>
                </a:solidFill>
                <a:round/>
              </a:ln>
              <a:effectLst/>
            </c:spPr>
            <c:extLst>
              <c:ext xmlns:c16="http://schemas.microsoft.com/office/drawing/2014/chart" uri="{C3380CC4-5D6E-409C-BE32-E72D297353CC}">
                <c16:uniqueId val="{0000004A-8E52-43F1-84E2-4D5B3E166DE5}"/>
              </c:ext>
            </c:extLst>
          </c:dPt>
          <c:dPt>
            <c:idx val="4"/>
            <c:marker>
              <c:symbol val="none"/>
            </c:marker>
            <c:bubble3D val="0"/>
            <c:spPr>
              <a:ln w="28575" cap="rnd">
                <a:solidFill>
                  <a:schemeClr val="accent2"/>
                </a:solidFill>
                <a:round/>
              </a:ln>
              <a:effectLst/>
            </c:spPr>
            <c:extLst>
              <c:ext xmlns:c16="http://schemas.microsoft.com/office/drawing/2014/chart" uri="{C3380CC4-5D6E-409C-BE32-E72D297353CC}">
                <c16:uniqueId val="{0000004C-8E52-43F1-84E2-4D5B3E166DE5}"/>
              </c:ext>
            </c:extLst>
          </c:dPt>
          <c:dPt>
            <c:idx val="5"/>
            <c:marker>
              <c:symbol val="none"/>
            </c:marker>
            <c:bubble3D val="0"/>
            <c:spPr>
              <a:ln w="28575" cap="rnd">
                <a:solidFill>
                  <a:schemeClr val="accent2"/>
                </a:solidFill>
                <a:round/>
              </a:ln>
              <a:effectLst/>
            </c:spPr>
            <c:extLst>
              <c:ext xmlns:c16="http://schemas.microsoft.com/office/drawing/2014/chart" uri="{C3380CC4-5D6E-409C-BE32-E72D297353CC}">
                <c16:uniqueId val="{0000004E-8E52-43F1-84E2-4D5B3E166DE5}"/>
              </c:ext>
            </c:extLst>
          </c:dPt>
          <c:dPt>
            <c:idx val="6"/>
            <c:marker>
              <c:symbol val="none"/>
            </c:marker>
            <c:bubble3D val="0"/>
            <c:spPr>
              <a:ln w="28575" cap="rnd">
                <a:solidFill>
                  <a:schemeClr val="accent2"/>
                </a:solidFill>
                <a:round/>
              </a:ln>
              <a:effectLst/>
            </c:spPr>
            <c:extLst>
              <c:ext xmlns:c16="http://schemas.microsoft.com/office/drawing/2014/chart" uri="{C3380CC4-5D6E-409C-BE32-E72D297353CC}">
                <c16:uniqueId val="{00000050-8E52-43F1-84E2-4D5B3E166DE5}"/>
              </c:ext>
            </c:extLst>
          </c:dPt>
          <c:dPt>
            <c:idx val="7"/>
            <c:marker>
              <c:symbol val="none"/>
            </c:marker>
            <c:bubble3D val="0"/>
            <c:spPr>
              <a:ln w="28575" cap="rnd">
                <a:solidFill>
                  <a:schemeClr val="accent2"/>
                </a:solidFill>
                <a:round/>
              </a:ln>
              <a:effectLst/>
            </c:spPr>
            <c:extLst>
              <c:ext xmlns:c16="http://schemas.microsoft.com/office/drawing/2014/chart" uri="{C3380CC4-5D6E-409C-BE32-E72D297353CC}">
                <c16:uniqueId val="{00000052-8E52-43F1-84E2-4D5B3E166DE5}"/>
              </c:ext>
            </c:extLst>
          </c:dPt>
          <c:dPt>
            <c:idx val="8"/>
            <c:marker>
              <c:symbol val="none"/>
            </c:marker>
            <c:bubble3D val="0"/>
            <c:spPr>
              <a:ln w="28575" cap="rnd">
                <a:solidFill>
                  <a:schemeClr val="accent2"/>
                </a:solidFill>
                <a:round/>
              </a:ln>
              <a:effectLst/>
            </c:spPr>
            <c:extLst>
              <c:ext xmlns:c16="http://schemas.microsoft.com/office/drawing/2014/chart" uri="{C3380CC4-5D6E-409C-BE32-E72D297353CC}">
                <c16:uniqueId val="{00000054-8E52-43F1-84E2-4D5B3E166DE5}"/>
              </c:ext>
            </c:extLst>
          </c:dPt>
          <c:dPt>
            <c:idx val="9"/>
            <c:marker>
              <c:symbol val="none"/>
            </c:marker>
            <c:bubble3D val="0"/>
            <c:spPr>
              <a:ln w="28575" cap="rnd">
                <a:solidFill>
                  <a:schemeClr val="accent2"/>
                </a:solidFill>
                <a:round/>
              </a:ln>
              <a:effectLst/>
            </c:spPr>
            <c:extLst>
              <c:ext xmlns:c16="http://schemas.microsoft.com/office/drawing/2014/chart" uri="{C3380CC4-5D6E-409C-BE32-E72D297353CC}">
                <c16:uniqueId val="{00000056-8E52-43F1-84E2-4D5B3E166DE5}"/>
              </c:ext>
            </c:extLst>
          </c:dPt>
          <c:dPt>
            <c:idx val="10"/>
            <c:marker>
              <c:symbol val="none"/>
            </c:marker>
            <c:bubble3D val="0"/>
            <c:spPr>
              <a:ln w="28575" cap="rnd">
                <a:solidFill>
                  <a:schemeClr val="accent2"/>
                </a:solidFill>
                <a:round/>
              </a:ln>
              <a:effectLst/>
            </c:spPr>
            <c:extLst>
              <c:ext xmlns:c16="http://schemas.microsoft.com/office/drawing/2014/chart" uri="{C3380CC4-5D6E-409C-BE32-E72D297353CC}">
                <c16:uniqueId val="{00000058-8E52-43F1-84E2-4D5B3E166DE5}"/>
              </c:ext>
            </c:extLst>
          </c:dPt>
          <c:dPt>
            <c:idx val="11"/>
            <c:marker>
              <c:symbol val="none"/>
            </c:marker>
            <c:bubble3D val="0"/>
            <c:spPr>
              <a:ln w="28575" cap="rnd">
                <a:solidFill>
                  <a:schemeClr val="accent2"/>
                </a:solidFill>
                <a:round/>
              </a:ln>
              <a:effectLst/>
            </c:spPr>
            <c:extLst>
              <c:ext xmlns:c16="http://schemas.microsoft.com/office/drawing/2014/chart" uri="{C3380CC4-5D6E-409C-BE32-E72D297353CC}">
                <c16:uniqueId val="{0000005A-8E52-43F1-84E2-4D5B3E166DE5}"/>
              </c:ext>
            </c:extLst>
          </c:dPt>
          <c:dPt>
            <c:idx val="12"/>
            <c:marker>
              <c:symbol val="none"/>
            </c:marker>
            <c:bubble3D val="0"/>
            <c:spPr>
              <a:ln w="28575" cap="rnd">
                <a:solidFill>
                  <a:schemeClr val="accent2"/>
                </a:solidFill>
                <a:round/>
              </a:ln>
              <a:effectLst/>
            </c:spPr>
            <c:extLst>
              <c:ext xmlns:c16="http://schemas.microsoft.com/office/drawing/2014/chart" uri="{C3380CC4-5D6E-409C-BE32-E72D297353CC}">
                <c16:uniqueId val="{0000005C-8E52-43F1-84E2-4D5B3E166DE5}"/>
              </c:ext>
            </c:extLst>
          </c:dPt>
          <c:dPt>
            <c:idx val="13"/>
            <c:marker>
              <c:symbol val="none"/>
            </c:marker>
            <c:bubble3D val="0"/>
            <c:spPr>
              <a:ln w="28575" cap="rnd">
                <a:solidFill>
                  <a:schemeClr val="accent2"/>
                </a:solidFill>
                <a:round/>
              </a:ln>
              <a:effectLst/>
            </c:spPr>
            <c:extLst>
              <c:ext xmlns:c16="http://schemas.microsoft.com/office/drawing/2014/chart" uri="{C3380CC4-5D6E-409C-BE32-E72D297353CC}">
                <c16:uniqueId val="{0000005E-8E52-43F1-84E2-4D5B3E166DE5}"/>
              </c:ext>
            </c:extLst>
          </c:dPt>
          <c:dPt>
            <c:idx val="14"/>
            <c:marker>
              <c:symbol val="none"/>
            </c:marker>
            <c:bubble3D val="0"/>
            <c:spPr>
              <a:ln w="28575" cap="rnd">
                <a:solidFill>
                  <a:schemeClr val="accent2"/>
                </a:solidFill>
                <a:round/>
              </a:ln>
              <a:effectLst/>
            </c:spPr>
            <c:extLst>
              <c:ext xmlns:c16="http://schemas.microsoft.com/office/drawing/2014/chart" uri="{C3380CC4-5D6E-409C-BE32-E72D297353CC}">
                <c16:uniqueId val="{00000060-8E52-43F1-84E2-4D5B3E166DE5}"/>
              </c:ext>
            </c:extLst>
          </c:dPt>
          <c:dPt>
            <c:idx val="15"/>
            <c:marker>
              <c:symbol val="none"/>
            </c:marker>
            <c:bubble3D val="0"/>
            <c:spPr>
              <a:ln w="28575" cap="rnd">
                <a:solidFill>
                  <a:schemeClr val="accent2"/>
                </a:solidFill>
                <a:round/>
              </a:ln>
              <a:effectLst/>
            </c:spPr>
            <c:extLst>
              <c:ext xmlns:c16="http://schemas.microsoft.com/office/drawing/2014/chart" uri="{C3380CC4-5D6E-409C-BE32-E72D297353CC}">
                <c16:uniqueId val="{00000062-8E52-43F1-84E2-4D5B3E166DE5}"/>
              </c:ext>
            </c:extLst>
          </c:dPt>
          <c:dPt>
            <c:idx val="16"/>
            <c:marker>
              <c:symbol val="none"/>
            </c:marker>
            <c:bubble3D val="0"/>
            <c:spPr>
              <a:ln w="28575" cap="rnd">
                <a:solidFill>
                  <a:schemeClr val="accent2"/>
                </a:solidFill>
                <a:round/>
              </a:ln>
              <a:effectLst/>
            </c:spPr>
            <c:extLst>
              <c:ext xmlns:c16="http://schemas.microsoft.com/office/drawing/2014/chart" uri="{C3380CC4-5D6E-409C-BE32-E72D297353CC}">
                <c16:uniqueId val="{00000064-8E52-43F1-84E2-4D5B3E166DE5}"/>
              </c:ext>
            </c:extLst>
          </c:dPt>
          <c:dPt>
            <c:idx val="17"/>
            <c:marker>
              <c:symbol val="none"/>
            </c:marker>
            <c:bubble3D val="0"/>
            <c:spPr>
              <a:ln w="28575" cap="rnd">
                <a:solidFill>
                  <a:schemeClr val="accent2"/>
                </a:solidFill>
                <a:round/>
              </a:ln>
              <a:effectLst/>
            </c:spPr>
            <c:extLst>
              <c:ext xmlns:c16="http://schemas.microsoft.com/office/drawing/2014/chart" uri="{C3380CC4-5D6E-409C-BE32-E72D297353CC}">
                <c16:uniqueId val="{00000066-8E52-43F1-84E2-4D5B3E166DE5}"/>
              </c:ext>
            </c:extLst>
          </c:dPt>
          <c:dPt>
            <c:idx val="18"/>
            <c:marker>
              <c:symbol val="none"/>
            </c:marker>
            <c:bubble3D val="0"/>
            <c:spPr>
              <a:ln w="28575" cap="rnd">
                <a:solidFill>
                  <a:schemeClr val="accent2"/>
                </a:solidFill>
                <a:round/>
              </a:ln>
              <a:effectLst/>
            </c:spPr>
            <c:extLst>
              <c:ext xmlns:c16="http://schemas.microsoft.com/office/drawing/2014/chart" uri="{C3380CC4-5D6E-409C-BE32-E72D297353CC}">
                <c16:uniqueId val="{00000068-8E52-43F1-84E2-4D5B3E166DE5}"/>
              </c:ext>
            </c:extLst>
          </c:dPt>
          <c:dPt>
            <c:idx val="19"/>
            <c:marker>
              <c:symbol val="none"/>
            </c:marker>
            <c:bubble3D val="0"/>
            <c:spPr>
              <a:ln w="28575" cap="rnd">
                <a:solidFill>
                  <a:schemeClr val="accent2"/>
                </a:solidFill>
                <a:round/>
              </a:ln>
              <a:effectLst/>
            </c:spPr>
            <c:extLst>
              <c:ext xmlns:c16="http://schemas.microsoft.com/office/drawing/2014/chart" uri="{C3380CC4-5D6E-409C-BE32-E72D297353CC}">
                <c16:uniqueId val="{0000006A-8E52-43F1-84E2-4D5B3E166DE5}"/>
              </c:ext>
            </c:extLst>
          </c:dPt>
          <c:dPt>
            <c:idx val="20"/>
            <c:marker>
              <c:symbol val="none"/>
            </c:marker>
            <c:bubble3D val="0"/>
            <c:spPr>
              <a:ln w="28575" cap="rnd">
                <a:solidFill>
                  <a:schemeClr val="accent2"/>
                </a:solidFill>
                <a:round/>
              </a:ln>
              <a:effectLst/>
            </c:spPr>
            <c:extLst>
              <c:ext xmlns:c16="http://schemas.microsoft.com/office/drawing/2014/chart" uri="{C3380CC4-5D6E-409C-BE32-E72D297353CC}">
                <c16:uniqueId val="{0000006C-8E52-43F1-84E2-4D5B3E166DE5}"/>
              </c:ext>
            </c:extLst>
          </c:dPt>
          <c:dPt>
            <c:idx val="21"/>
            <c:marker>
              <c:symbol val="none"/>
            </c:marker>
            <c:bubble3D val="0"/>
            <c:spPr>
              <a:ln w="28575" cap="rnd">
                <a:solidFill>
                  <a:schemeClr val="accent2"/>
                </a:solidFill>
                <a:round/>
              </a:ln>
              <a:effectLst/>
            </c:spPr>
            <c:extLst>
              <c:ext xmlns:c16="http://schemas.microsoft.com/office/drawing/2014/chart" uri="{C3380CC4-5D6E-409C-BE32-E72D297353CC}">
                <c16:uniqueId val="{0000006E-8E52-43F1-84E2-4D5B3E166DE5}"/>
              </c:ext>
            </c:extLst>
          </c:dPt>
          <c:dPt>
            <c:idx val="22"/>
            <c:marker>
              <c:symbol val="none"/>
            </c:marker>
            <c:bubble3D val="0"/>
            <c:spPr>
              <a:ln w="28575" cap="rnd">
                <a:solidFill>
                  <a:schemeClr val="accent2"/>
                </a:solidFill>
                <a:round/>
              </a:ln>
              <a:effectLst/>
            </c:spPr>
            <c:extLst>
              <c:ext xmlns:c16="http://schemas.microsoft.com/office/drawing/2014/chart" uri="{C3380CC4-5D6E-409C-BE32-E72D297353CC}">
                <c16:uniqueId val="{00000070-8E52-43F1-84E2-4D5B3E166DE5}"/>
              </c:ext>
            </c:extLst>
          </c:dPt>
          <c:dPt>
            <c:idx val="23"/>
            <c:marker>
              <c:symbol val="none"/>
            </c:marker>
            <c:bubble3D val="0"/>
            <c:spPr>
              <a:ln w="28575" cap="rnd">
                <a:solidFill>
                  <a:schemeClr val="accent2"/>
                </a:solidFill>
                <a:round/>
              </a:ln>
              <a:effectLst/>
            </c:spPr>
            <c:extLst>
              <c:ext xmlns:c16="http://schemas.microsoft.com/office/drawing/2014/chart" uri="{C3380CC4-5D6E-409C-BE32-E72D297353CC}">
                <c16:uniqueId val="{00000072-8E52-43F1-84E2-4D5B3E166DE5}"/>
              </c:ext>
            </c:extLst>
          </c:dPt>
          <c:dPt>
            <c:idx val="24"/>
            <c:marker>
              <c:symbol val="none"/>
            </c:marker>
            <c:bubble3D val="0"/>
            <c:spPr>
              <a:ln w="28575" cap="rnd">
                <a:solidFill>
                  <a:schemeClr val="accent2"/>
                </a:solidFill>
                <a:round/>
              </a:ln>
              <a:effectLst/>
            </c:spPr>
            <c:extLst>
              <c:ext xmlns:c16="http://schemas.microsoft.com/office/drawing/2014/chart" uri="{C3380CC4-5D6E-409C-BE32-E72D297353CC}">
                <c16:uniqueId val="{00000074-8E52-43F1-84E2-4D5B3E166DE5}"/>
              </c:ext>
            </c:extLst>
          </c:dPt>
          <c:dPt>
            <c:idx val="25"/>
            <c:marker>
              <c:symbol val="none"/>
            </c:marker>
            <c:bubble3D val="0"/>
            <c:spPr>
              <a:ln w="28575" cap="rnd">
                <a:solidFill>
                  <a:schemeClr val="accent2"/>
                </a:solidFill>
                <a:round/>
              </a:ln>
              <a:effectLst/>
            </c:spPr>
            <c:extLst>
              <c:ext xmlns:c16="http://schemas.microsoft.com/office/drawing/2014/chart" uri="{C3380CC4-5D6E-409C-BE32-E72D297353CC}">
                <c16:uniqueId val="{00000076-8E52-43F1-84E2-4D5B3E166DE5}"/>
              </c:ext>
            </c:extLst>
          </c:dPt>
          <c:dPt>
            <c:idx val="26"/>
            <c:marker>
              <c:symbol val="none"/>
            </c:marker>
            <c:bubble3D val="0"/>
            <c:spPr>
              <a:ln w="28575" cap="rnd">
                <a:solidFill>
                  <a:schemeClr val="accent2"/>
                </a:solidFill>
                <a:round/>
              </a:ln>
              <a:effectLst/>
            </c:spPr>
            <c:extLst>
              <c:ext xmlns:c16="http://schemas.microsoft.com/office/drawing/2014/chart" uri="{C3380CC4-5D6E-409C-BE32-E72D297353CC}">
                <c16:uniqueId val="{00000078-8E52-43F1-84E2-4D5B3E166DE5}"/>
              </c:ext>
            </c:extLst>
          </c:dPt>
          <c:dPt>
            <c:idx val="27"/>
            <c:marker>
              <c:symbol val="none"/>
            </c:marker>
            <c:bubble3D val="0"/>
            <c:spPr>
              <a:ln w="28575" cap="rnd">
                <a:solidFill>
                  <a:schemeClr val="accent2"/>
                </a:solidFill>
                <a:round/>
              </a:ln>
              <a:effectLst/>
            </c:spPr>
            <c:extLst>
              <c:ext xmlns:c16="http://schemas.microsoft.com/office/drawing/2014/chart" uri="{C3380CC4-5D6E-409C-BE32-E72D297353CC}">
                <c16:uniqueId val="{0000007A-8E52-43F1-84E2-4D5B3E166DE5}"/>
              </c:ext>
            </c:extLst>
          </c:dPt>
          <c:dPt>
            <c:idx val="28"/>
            <c:marker>
              <c:symbol val="none"/>
            </c:marker>
            <c:bubble3D val="0"/>
            <c:spPr>
              <a:ln w="28575" cap="rnd">
                <a:solidFill>
                  <a:schemeClr val="accent2"/>
                </a:solidFill>
                <a:round/>
              </a:ln>
              <a:effectLst/>
            </c:spPr>
            <c:extLst>
              <c:ext xmlns:c16="http://schemas.microsoft.com/office/drawing/2014/chart" uri="{C3380CC4-5D6E-409C-BE32-E72D297353CC}">
                <c16:uniqueId val="{0000007C-8E52-43F1-84E2-4D5B3E166DE5}"/>
              </c:ext>
            </c:extLst>
          </c:dPt>
          <c:dPt>
            <c:idx val="29"/>
            <c:marker>
              <c:symbol val="none"/>
            </c:marker>
            <c:bubble3D val="0"/>
            <c:spPr>
              <a:ln w="28575" cap="rnd">
                <a:solidFill>
                  <a:schemeClr val="accent2"/>
                </a:solidFill>
                <a:round/>
              </a:ln>
              <a:effectLst/>
            </c:spPr>
            <c:extLst>
              <c:ext xmlns:c16="http://schemas.microsoft.com/office/drawing/2014/chart" uri="{C3380CC4-5D6E-409C-BE32-E72D297353CC}">
                <c16:uniqueId val="{0000007E-8E52-43F1-84E2-4D5B3E166DE5}"/>
              </c:ext>
            </c:extLst>
          </c:dPt>
          <c:dPt>
            <c:idx val="30"/>
            <c:marker>
              <c:symbol val="none"/>
            </c:marker>
            <c:bubble3D val="0"/>
            <c:spPr>
              <a:ln w="28575" cap="rnd">
                <a:solidFill>
                  <a:schemeClr val="accent2"/>
                </a:solidFill>
                <a:round/>
              </a:ln>
              <a:effectLst/>
            </c:spPr>
            <c:extLst>
              <c:ext xmlns:c16="http://schemas.microsoft.com/office/drawing/2014/chart" uri="{C3380CC4-5D6E-409C-BE32-E72D297353CC}">
                <c16:uniqueId val="{00000080-8E52-43F1-84E2-4D5B3E166DE5}"/>
              </c:ext>
            </c:extLst>
          </c:dPt>
          <c:dPt>
            <c:idx val="31"/>
            <c:marker>
              <c:symbol val="none"/>
            </c:marker>
            <c:bubble3D val="0"/>
            <c:spPr>
              <a:ln w="28575" cap="rnd">
                <a:solidFill>
                  <a:schemeClr val="accent2"/>
                </a:solidFill>
                <a:round/>
              </a:ln>
              <a:effectLst/>
            </c:spPr>
            <c:extLst>
              <c:ext xmlns:c16="http://schemas.microsoft.com/office/drawing/2014/chart" uri="{C3380CC4-5D6E-409C-BE32-E72D297353CC}">
                <c16:uniqueId val="{00000082-8E52-43F1-84E2-4D5B3E166DE5}"/>
              </c:ext>
            </c:extLst>
          </c:dPt>
          <c:dPt>
            <c:idx val="32"/>
            <c:marker>
              <c:symbol val="none"/>
            </c:marker>
            <c:bubble3D val="0"/>
            <c:spPr>
              <a:ln w="28575" cap="rnd">
                <a:solidFill>
                  <a:schemeClr val="accent2"/>
                </a:solidFill>
                <a:round/>
              </a:ln>
              <a:effectLst/>
            </c:spPr>
            <c:extLst>
              <c:ext xmlns:c16="http://schemas.microsoft.com/office/drawing/2014/chart" uri="{C3380CC4-5D6E-409C-BE32-E72D297353CC}">
                <c16:uniqueId val="{00000084-8E52-43F1-84E2-4D5B3E166DE5}"/>
              </c:ext>
            </c:extLst>
          </c:dPt>
          <c:dPt>
            <c:idx val="33"/>
            <c:marker>
              <c:symbol val="none"/>
            </c:marker>
            <c:bubble3D val="0"/>
            <c:spPr>
              <a:ln w="28575" cap="rnd">
                <a:solidFill>
                  <a:schemeClr val="accent2"/>
                </a:solidFill>
                <a:round/>
              </a:ln>
              <a:effectLst/>
            </c:spPr>
            <c:extLst>
              <c:ext xmlns:c16="http://schemas.microsoft.com/office/drawing/2014/chart" uri="{C3380CC4-5D6E-409C-BE32-E72D297353CC}">
                <c16:uniqueId val="{00000086-8E52-43F1-84E2-4D5B3E166DE5}"/>
              </c:ext>
            </c:extLst>
          </c:dPt>
          <c:cat>
            <c:multiLvlStrRef>
              <c:f>'Q-4 I Subjective'!$B$13:$B$51</c:f>
              <c:multiLvlStrCache>
                <c:ptCount val="34"/>
                <c:lvl>
                  <c:pt idx="0">
                    <c:v>01-Dec</c:v>
                  </c:pt>
                  <c:pt idx="1">
                    <c:v>02-Dec</c:v>
                  </c:pt>
                  <c:pt idx="2">
                    <c:v>03-Dec</c:v>
                  </c:pt>
                  <c:pt idx="3">
                    <c:v>04-Dec</c:v>
                  </c:pt>
                  <c:pt idx="4">
                    <c:v>05-Dec</c:v>
                  </c:pt>
                  <c:pt idx="5">
                    <c:v>06-Dec</c:v>
                  </c:pt>
                  <c:pt idx="6">
                    <c:v>07-Dec</c:v>
                  </c:pt>
                  <c:pt idx="7">
                    <c:v>08-Dec</c:v>
                  </c:pt>
                  <c:pt idx="8">
                    <c:v>09-Dec</c:v>
                  </c:pt>
                  <c:pt idx="9">
                    <c:v>10-Dec</c:v>
                  </c:pt>
                  <c:pt idx="10">
                    <c:v>11-Dec</c:v>
                  </c:pt>
                  <c:pt idx="11">
                    <c:v>12-Dec</c:v>
                  </c:pt>
                  <c:pt idx="12">
                    <c:v>13-Dec</c:v>
                  </c:pt>
                  <c:pt idx="13">
                    <c:v>14-Dec</c:v>
                  </c:pt>
                  <c:pt idx="14">
                    <c:v>15-Dec</c:v>
                  </c:pt>
                  <c:pt idx="15">
                    <c:v>16-Dec</c:v>
                  </c:pt>
                  <c:pt idx="16">
                    <c:v>17-Dec</c:v>
                  </c:pt>
                  <c:pt idx="17">
                    <c:v>18-Dec</c:v>
                  </c:pt>
                  <c:pt idx="18">
                    <c:v>19-Dec</c:v>
                  </c:pt>
                  <c:pt idx="19">
                    <c:v>20-Dec</c:v>
                  </c:pt>
                  <c:pt idx="20">
                    <c:v>21-Dec</c:v>
                  </c:pt>
                  <c:pt idx="21">
                    <c:v>22-Dec</c:v>
                  </c:pt>
                  <c:pt idx="22">
                    <c:v>23-Dec</c:v>
                  </c:pt>
                  <c:pt idx="23">
                    <c:v>24-Dec</c:v>
                  </c:pt>
                  <c:pt idx="24">
                    <c:v>25-Dec</c:v>
                  </c:pt>
                  <c:pt idx="25">
                    <c:v>26-Dec</c:v>
                  </c:pt>
                  <c:pt idx="26">
                    <c:v>27-Dec</c:v>
                  </c:pt>
                  <c:pt idx="27">
                    <c:v>28-Dec</c:v>
                  </c:pt>
                  <c:pt idx="28">
                    <c:v>29-Dec</c:v>
                  </c:pt>
                  <c:pt idx="29">
                    <c:v>30-Dec</c:v>
                  </c:pt>
                  <c:pt idx="30">
                    <c:v>31-Dec</c:v>
                  </c:pt>
                  <c:pt idx="31">
                    <c:v>01-Jan</c:v>
                  </c:pt>
                  <c:pt idx="32">
                    <c:v>02-Jan</c:v>
                  </c:pt>
                  <c:pt idx="33">
                    <c:v>03-Jan</c:v>
                  </c:pt>
                </c:lvl>
                <c:lvl>
                  <c:pt idx="0">
                    <c:v>Dec</c:v>
                  </c:pt>
                  <c:pt idx="31">
                    <c:v>Jan</c:v>
                  </c:pt>
                </c:lvl>
                <c:lvl>
                  <c:pt idx="0">
                    <c:v>2023</c:v>
                  </c:pt>
                  <c:pt idx="31">
                    <c:v>2024</c:v>
                  </c:pt>
                </c:lvl>
              </c:multiLvlStrCache>
            </c:multiLvlStrRef>
          </c:cat>
          <c:val>
            <c:numRef>
              <c:f>'Q-4 I Subjective'!$D$13:$D$51</c:f>
              <c:numCache>
                <c:formatCode>0.00</c:formatCode>
                <c:ptCount val="34"/>
                <c:pt idx="0">
                  <c:v>3.478494623655914</c:v>
                </c:pt>
                <c:pt idx="1">
                  <c:v>3.4744744744744747</c:v>
                </c:pt>
                <c:pt idx="2">
                  <c:v>3.5143603133159269</c:v>
                </c:pt>
                <c:pt idx="3">
                  <c:v>3.5769230769230771</c:v>
                </c:pt>
                <c:pt idx="4">
                  <c:v>3.4031620553359683</c:v>
                </c:pt>
                <c:pt idx="5">
                  <c:v>3.4015748031496065</c:v>
                </c:pt>
                <c:pt idx="6">
                  <c:v>3.4251968503937009</c:v>
                </c:pt>
                <c:pt idx="7">
                  <c:v>3.3695652173913042</c:v>
                </c:pt>
                <c:pt idx="8">
                  <c:v>3.5798611111111112</c:v>
                </c:pt>
                <c:pt idx="9">
                  <c:v>3.5767441860465117</c:v>
                </c:pt>
                <c:pt idx="10">
                  <c:v>3.5070754716981134</c:v>
                </c:pt>
                <c:pt idx="11">
                  <c:v>3.4525139664804469</c:v>
                </c:pt>
                <c:pt idx="12">
                  <c:v>3.4827586206896552</c:v>
                </c:pt>
                <c:pt idx="13">
                  <c:v>3.4469026548672566</c:v>
                </c:pt>
                <c:pt idx="14">
                  <c:v>3.4710144927536231</c:v>
                </c:pt>
                <c:pt idx="15">
                  <c:v>3.5620155038759691</c:v>
                </c:pt>
                <c:pt idx="16">
                  <c:v>3.5081081081081082</c:v>
                </c:pt>
                <c:pt idx="17">
                  <c:v>3.6094420600858368</c:v>
                </c:pt>
                <c:pt idx="18">
                  <c:v>3.6507177033492821</c:v>
                </c:pt>
                <c:pt idx="19">
                  <c:v>3.5112359550561796</c:v>
                </c:pt>
                <c:pt idx="20">
                  <c:v>3.3962264150943398</c:v>
                </c:pt>
                <c:pt idx="21">
                  <c:v>3.5582822085889569</c:v>
                </c:pt>
                <c:pt idx="22">
                  <c:v>3.5103734439834025</c:v>
                </c:pt>
                <c:pt idx="23">
                  <c:v>3.3922413793103448</c:v>
                </c:pt>
                <c:pt idx="24">
                  <c:v>3.4302325581395348</c:v>
                </c:pt>
                <c:pt idx="25">
                  <c:v>3.5450980392156861</c:v>
                </c:pt>
                <c:pt idx="26">
                  <c:v>3.4834710743801653</c:v>
                </c:pt>
                <c:pt idx="27">
                  <c:v>3.5580110497237567</c:v>
                </c:pt>
                <c:pt idx="28">
                  <c:v>3.5852713178294575</c:v>
                </c:pt>
                <c:pt idx="29">
                  <c:v>3.5810055865921786</c:v>
                </c:pt>
                <c:pt idx="30">
                  <c:v>3.4113924050632911</c:v>
                </c:pt>
                <c:pt idx="31">
                  <c:v>3.6347826086956521</c:v>
                </c:pt>
                <c:pt idx="32">
                  <c:v>3.4183673469387754</c:v>
                </c:pt>
                <c:pt idx="33">
                  <c:v>3.4299065420560746</c:v>
                </c:pt>
              </c:numCache>
            </c:numRef>
          </c:val>
          <c:smooth val="0"/>
          <c:extLst>
            <c:ext xmlns:c16="http://schemas.microsoft.com/office/drawing/2014/chart" uri="{C3380CC4-5D6E-409C-BE32-E72D297353CC}">
              <c16:uniqueId val="{00000087-8E52-43F1-84E2-4D5B3E166DE5}"/>
            </c:ext>
          </c:extLst>
        </c:ser>
        <c:dLbls>
          <c:showLegendKey val="0"/>
          <c:showVal val="0"/>
          <c:showCatName val="0"/>
          <c:showSerName val="0"/>
          <c:showPercent val="0"/>
          <c:showBubbleSize val="0"/>
        </c:dLbls>
        <c:marker val="1"/>
        <c:smooth val="0"/>
        <c:axId val="217251712"/>
        <c:axId val="217250880"/>
      </c:lineChart>
      <c:catAx>
        <c:axId val="2116145856"/>
        <c:scaling>
          <c:orientation val="minMax"/>
        </c:scaling>
        <c:delete val="0"/>
        <c:axPos val="b"/>
        <c:numFmt formatCode="m/d/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137952"/>
        <c:crosses val="autoZero"/>
        <c:auto val="1"/>
        <c:lblAlgn val="ctr"/>
        <c:lblOffset val="100"/>
        <c:noMultiLvlLbl val="0"/>
      </c:catAx>
      <c:valAx>
        <c:axId val="21161379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145856"/>
        <c:crosses val="autoZero"/>
        <c:crossBetween val="between"/>
      </c:valAx>
      <c:valAx>
        <c:axId val="217250880"/>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251712"/>
        <c:crosses val="max"/>
        <c:crossBetween val="between"/>
      </c:valAx>
      <c:catAx>
        <c:axId val="217251712"/>
        <c:scaling>
          <c:orientation val="minMax"/>
        </c:scaling>
        <c:delete val="1"/>
        <c:axPos val="b"/>
        <c:numFmt formatCode="General" sourceLinked="1"/>
        <c:majorTickMark val="out"/>
        <c:minorTickMark val="none"/>
        <c:tickLblPos val="nextTo"/>
        <c:crossAx val="217250880"/>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440</TotalTime>
  <Pages>25</Pages>
  <Words>4224</Words>
  <Characters>24081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Dutt Sahu</dc:creator>
  <cp:keywords/>
  <dc:description/>
  <cp:lastModifiedBy>Rayan Dutt Sahu</cp:lastModifiedBy>
  <cp:revision>5</cp:revision>
  <dcterms:created xsi:type="dcterms:W3CDTF">2026-08-07T09:48:00Z</dcterms:created>
  <dcterms:modified xsi:type="dcterms:W3CDTF">2026-08-08T13:28:00Z</dcterms:modified>
</cp:coreProperties>
</file>