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bb46e6517c34db4" /></Relationships>
</file>

<file path=word/document.xml><?xml version="1.0" encoding="utf-8"?>
<w:document xmlns:w="http://schemas.openxmlformats.org/wordprocessingml/2006/main">
  <w:body>
    <w:p>
      <w:pPr>
        <w:pStyle w:val="Heading1"/>
        <w:rPr>
          <w:lang w:val="it-IT"/>
        </w:rPr>
      </w:pPr>
      <w:r>
        <w:rPr>
          <w:lang w:val="it-IT"/>
        </w:rPr>
        <w:t xml:space="preserve">Analisi comparsa di costituzione e risposta.pdf</w:t>
      </w:r>
    </w:p>
    <w:p>
      <w:pPr>
        <w:pStyle w:val="Heading2"/>
        <w:rPr>
          <w:lang w:val="it-IT"/>
        </w:rPr>
      </w:pPr>
      <w:r>
        <w:rPr>
          <w:lang w:val="it-IT"/>
        </w:rPr>
        <w:t xml:space="preserve">Risultato dell'Analisi</w:t>
      </w:r>
    </w:p>
    <w:p>
      <w:pPr>
        <w:rPr>
          <w:lang w:val="it-IT"/>
        </w:rPr>
      </w:pPr>
      <w:r>
        <w:rPr>
          <w:b/>
          <w:bCs/>
          <w:lang w:val="it-IT"/>
        </w:rPr>
        <w:t xml:space="preserve">Identificazione delle Vulnerabilità</w:t>
      </w:r>
    </w:p>
    <w:p>
      <w:pPr>
        <w:rPr>
          <w:lang w:val="it-IT"/>
        </w:rPr>
      </w:pPr>
      <w:r>
        <w:rPr>
          <w:lang w:val="it-IT"/>
        </w:rPr>
        <w:t xml:space="preserve">Dopo un'attenta analisi della memoria legale presentata da Abaco S.p.A., ecco un resoconto dettagliato delle vulnerabilità procedurali, logiche e fattuali identificate:</w:t>
      </w:r>
    </w:p>
    <w:p>
      <w:pPr>
        <w:pStyle w:val="Heading3"/>
        <w:rPr>
          <w:lang w:val="it-IT"/>
        </w:rPr>
      </w:pPr>
      <w:r>
        <w:rPr>
          <w:lang w:val="it-IT"/>
        </w:rPr>
        <w:t xml:space="preserve">Errori Procedurali</w:t>
      </w:r>
    </w:p>
    <w:p>
      <w:pPr>
        <w:pStyle w:val="ListParagraph"/>
        <w:rPr>
          <w:lang w:val="it-IT"/>
        </w:rPr>
        <w:numPr>
          <w:ilvl w:val="0"/>
          <w:numId w:val="1"/>
        </w:numPr>
      </w:pPr>
      <w:r>
        <w:rPr>
          <w:b/>
          <w:bCs/>
          <w:lang w:val="it-IT"/>
        </w:rPr>
        <w:t xml:space="preserve">Mancanza di Dettagli sui Precedenti Giurisprudenziali</w:t>
      </w:r>
      <w:r>
        <w:rPr>
          <w:lang w:val="it-IT"/>
        </w:rPr>
        <w:t xml:space="preserve">: La memoria cita precedenti giurisprudenziali senza fornire dettagli specifici sulle sentenze. Questo potrebbe rappresentare un errore procedurale se tali dettagli sono richiesti per una corretta valutazione del caso.</w:t>
      </w:r>
    </w:p>
    <w:p>
      <w:pPr>
        <w:pStyle w:val="ListParagraph"/>
        <w:rPr>
          <w:lang w:val="it-IT"/>
        </w:rPr>
        <w:numPr>
          <w:ilvl w:val="0"/>
          <w:numId w:val="1"/>
        </w:numPr>
      </w:pPr>
      <w:r>
        <w:rPr>
          <w:b/>
          <w:bCs/>
          <w:lang w:val="it-IT"/>
        </w:rPr>
        <w:t xml:space="preserve">Possibile Incompletezza Documentale</w:t>
      </w:r>
      <w:r>
        <w:rPr>
          <w:lang w:val="it-IT"/>
        </w:rPr>
        <w:t xml:space="preserve">: Non è chiaro se tutte le prove necessarie, come la documentazione fotografica completa e le analisi dettagliate delle attività di BBT, siano state presentate. Questo potrebbe costituire un errore procedurale se tali documenti sono essenziali per il caso.</w:t>
      </w:r>
    </w:p>
    <w:p>
      <w:pPr>
        <w:pStyle w:val="Heading3"/>
        <w:rPr>
          <w:lang w:val="it-IT"/>
        </w:rPr>
      </w:pPr>
      <w:r>
        <w:rPr>
          <w:lang w:val="it-IT"/>
        </w:rPr>
        <w:t xml:space="preserve">Debolezze Logiche, Ambiguità e Contraddizioni</w:t>
      </w:r>
    </w:p>
    <w:p>
      <w:pPr>
        <w:pStyle w:val="ListParagraph"/>
        <w:rPr>
          <w:lang w:val="it-IT"/>
        </w:rPr>
        <w:numPr>
          <w:ilvl w:val="0"/>
          <w:numId w:val="2"/>
        </w:numPr>
      </w:pPr>
      <w:r>
        <w:rPr>
          <w:b/>
          <w:bCs/>
          <w:lang w:val="it-IT"/>
        </w:rPr>
        <w:t xml:space="preserve">Interpretazione del Presupposto del CUP</w:t>
      </w:r>
      <w:r>
        <w:rPr>
          <w:lang w:val="it-IT"/>
        </w:rPr>
        <w:t xml:space="preserve">: L'interpretazione del presupposto del CUP lato pubblicitario potrebbe essere contestata. Se i mezzi pubblicitari di BBT non sono chiaramente percepibili come tali, l'argomentazione di Abaco potrebbe risultare debole.</w:t>
      </w:r>
    </w:p>
    <w:p>
      <w:pPr>
        <w:pStyle w:val="ListParagraph"/>
        <w:rPr>
          <w:lang w:val="it-IT"/>
        </w:rPr>
        <w:numPr>
          <w:ilvl w:val="0"/>
          <w:numId w:val="2"/>
        </w:numPr>
      </w:pPr>
      <w:r>
        <w:rPr>
          <w:b/>
          <w:bCs/>
          <w:lang w:val="it-IT"/>
        </w:rPr>
        <w:t xml:space="preserve">Esenzione per Società di Diritto Pubblico</w:t>
      </w:r>
      <w:r>
        <w:rPr>
          <w:lang w:val="it-IT"/>
        </w:rPr>
        <w:t xml:space="preserve">: L'argomentazione di Abaco che non esiste esenzione per società di diritto pubblico potrebbe essere contestata se la controparte dimostra che la natura giuridica di BBT dovrebbe esentare dall'applicazione del CUP.</w:t>
      </w:r>
    </w:p>
    <w:p>
      <w:pPr>
        <w:pStyle w:val="ListParagraph"/>
        <w:rPr>
          <w:lang w:val="it-IT"/>
        </w:rPr>
        <w:numPr>
          <w:ilvl w:val="0"/>
          <w:numId w:val="2"/>
        </w:numPr>
      </w:pPr>
      <w:r>
        <w:rPr>
          <w:b/>
          <w:bCs/>
          <w:lang w:val="it-IT"/>
        </w:rPr>
        <w:t xml:space="preserve">Mancanza di Dettagli sui Precedenti</w:t>
      </w:r>
      <w:r>
        <w:rPr>
          <w:lang w:val="it-IT"/>
        </w:rPr>
        <w:t xml:space="preserve">: L'uso di precedenti giurisprudenziali senza dettagli specifici potrebbe indebolire l'argomentazione, specialmente se la controparte riesce a dimostrare che tali precedenti non si applicano direttamente al caso in esame.</w:t>
      </w:r>
    </w:p>
    <w:p>
      <w:pPr>
        <w:pStyle w:val="Heading3"/>
        <w:rPr>
          <w:lang w:val="it-IT"/>
        </w:rPr>
      </w:pPr>
      <w:r>
        <w:rPr>
          <w:lang w:val="it-IT"/>
        </w:rPr>
        <w:t xml:space="preserve">Incoerenze Fattuali</w:t>
      </w:r>
    </w:p>
    <w:p>
      <w:pPr>
        <w:pStyle w:val="ListParagraph"/>
        <w:rPr>
          <w:lang w:val="it-IT"/>
        </w:rPr>
        <w:numPr>
          <w:ilvl w:val="0"/>
          <w:numId w:val="3"/>
        </w:numPr>
      </w:pPr>
      <w:r>
        <w:rPr>
          <w:b/>
          <w:bCs/>
          <w:lang w:val="it-IT"/>
        </w:rPr>
        <w:t xml:space="preserve">Natura Pubblicitaria dei Mezzi</w:t>
      </w:r>
      <w:r>
        <w:rPr>
          <w:lang w:val="it-IT"/>
        </w:rPr>
        <w:t xml:space="preserve">: La documentazione fotografica potrebbe non essere sufficiente a dimostrare la natura pubblicitaria dei mezzi. Se i mezzi servono solo per scopi di sicurezza, l'argomentazione di Abaco potrebbe essere incoerente con i fatti.</w:t>
      </w:r>
    </w:p>
    <w:p>
      <w:pPr>
        <w:pStyle w:val="ListParagraph"/>
        <w:rPr>
          <w:lang w:val="it-IT"/>
        </w:rPr>
        <w:numPr>
          <w:ilvl w:val="0"/>
          <w:numId w:val="3"/>
        </w:numPr>
      </w:pPr>
      <w:r>
        <w:rPr>
          <w:b/>
          <w:bCs/>
          <w:lang w:val="it-IT"/>
        </w:rPr>
        <w:t xml:space="preserve">Composizione Societaria e Oggetto Sociale di BBT</w:t>
      </w:r>
      <w:r>
        <w:rPr>
          <w:lang w:val="it-IT"/>
        </w:rPr>
        <w:t xml:space="preserve">: La semplice affermazione che la composizione societaria e l'oggetto sociale escludano la soggettività passiva potrebbe non essere sufficiente senza un'analisi dettagliata delle attività svolte da BBT.</w:t>
      </w:r>
    </w:p>
    <w:p>
      <w:pPr>
        <w:pStyle w:val="Heading3"/>
        <w:rPr>
          <w:lang w:val="it-IT"/>
        </w:rPr>
      </w:pPr>
      <w:r>
        <w:rPr>
          <w:lang w:val="it-IT"/>
        </w:rPr>
        <w:t xml:space="preserve">Suggerimenti per Migliorare la Robustezza della Narrazione Fattuale</w:t>
      </w:r>
    </w:p>
    <w:p>
      <w:pPr>
        <w:pStyle w:val="ListParagraph"/>
        <w:rPr>
          <w:lang w:val="it-IT"/>
        </w:rPr>
        <w:numPr>
          <w:ilvl w:val="0"/>
          <w:numId w:val="4"/>
        </w:numPr>
      </w:pPr>
      <w:r>
        <w:rPr>
          <w:b/>
          <w:bCs/>
          <w:lang w:val="it-IT"/>
        </w:rPr>
        <w:t xml:space="preserve">Relazione di un Esperto Pubblicitario</w:t>
      </w:r>
      <w:r>
        <w:rPr>
          <w:lang w:val="it-IT"/>
        </w:rPr>
        <w:t xml:space="preserve">: Potrebbe chiarire se i mezzi pubblicitari hanno effettivamente una funzione pubblicitaria.</w:t>
      </w:r>
    </w:p>
    <w:p>
      <w:pPr>
        <w:pStyle w:val="ListParagraph"/>
        <w:rPr>
          <w:lang w:val="it-IT"/>
        </w:rPr>
        <w:numPr>
          <w:ilvl w:val="0"/>
          <w:numId w:val="4"/>
        </w:numPr>
      </w:pPr>
      <w:r>
        <w:rPr>
          <w:b/>
          <w:bCs/>
          <w:lang w:val="it-IT"/>
        </w:rPr>
        <w:t xml:space="preserve">Analisi Dettagliata delle Attività di BBT</w:t>
      </w:r>
      <w:r>
        <w:rPr>
          <w:lang w:val="it-IT"/>
        </w:rPr>
        <w:t xml:space="preserve">: Potrebbe chiarire se l'oggetto sociale esclude effettivamente la soggettività passiva.</w:t>
      </w:r>
    </w:p>
    <w:p>
      <w:pPr>
        <w:pStyle w:val="ListParagraph"/>
        <w:rPr>
          <w:lang w:val="it-IT"/>
        </w:rPr>
        <w:numPr>
          <w:ilvl w:val="0"/>
          <w:numId w:val="4"/>
        </w:numPr>
      </w:pPr>
      <w:r>
        <w:rPr>
          <w:b/>
          <w:bCs/>
          <w:lang w:val="it-IT"/>
        </w:rPr>
        <w:t xml:space="preserve">Testimonianza di un Rappresentante del Comune</w:t>
      </w:r>
      <w:r>
        <w:rPr>
          <w:lang w:val="it-IT"/>
        </w:rPr>
        <w:t xml:space="preserve">: Potrebbe fornire ulteriore chiarezza sull'applicazione del regolamento CUP.</w:t>
      </w:r>
    </w:p>
    <w:p>
      <w:pPr>
        <w:pStyle w:val="ListParagraph"/>
        <w:rPr>
          <w:lang w:val="it-IT"/>
        </w:rPr>
        <w:numPr>
          <w:ilvl w:val="0"/>
          <w:numId w:val="4"/>
        </w:numPr>
      </w:pPr>
      <w:r>
        <w:rPr>
          <w:b/>
          <w:bCs/>
          <w:lang w:val="it-IT"/>
        </w:rPr>
        <w:t xml:space="preserve">Documentazione Storica delle Esenzioni CUP</w:t>
      </w:r>
      <w:r>
        <w:rPr>
          <w:lang w:val="it-IT"/>
        </w:rPr>
        <w:t xml:space="preserve">: Potrebbe aiutare a determinare se BBT potrebbe essere esente.</w:t>
      </w:r>
    </w:p>
    <w:p>
      <w:pPr>
        <w:rPr>
          <w:lang w:val="it-IT"/>
        </w:rPr>
      </w:pPr>
      <w:r>
        <w:rPr>
          <w:lang w:val="it-IT"/>
        </w:rPr>
        <w:t xml:space="preserve">In sintesi, mentre le argomentazioni di Abaco S.p.A. sono generalmente solide, vi sono aree che richiedono ulteriori approfondimenti e prove per rafforzare la posizione legale e affrontare eventuali contestazioni della controparte.</w:t>
      </w:r>
    </w:p>
    <w:p>
      <w:pPr>
        <w:rPr>
          <w:lang w:val="it-IT"/>
        </w:rPr>
      </w:pPr>
      <w:r>
        <w:rPr>
          <w:b/>
          <w:bCs/>
          <w:lang w:val="it-IT"/>
        </w:rPr>
        <w:t xml:space="preserve">Ricerca di Leggi e Precedenti Aggiuntivi</w:t>
      </w:r>
    </w:p>
    <w:p>
      <w:pPr>
        <w:pStyle w:val="ListParagraph"/>
        <w:rPr>
          <w:lang w:val="it-IT"/>
        </w:rPr>
        <w:numPr>
          <w:ilvl w:val="0"/>
          <w:numId w:val="5"/>
        </w:numPr>
      </w:pPr>
      <w:r>
        <w:rPr>
          <w:b/>
          <w:bCs/>
          <w:lang w:val="it-IT"/>
        </w:rPr>
        <w:t xml:space="preserve">Errori nell'applicazione delle leggi</w:t>
      </w:r>
      <w:r>
        <w:rPr>
          <w:lang w:val="it-IT"/>
        </w:rPr>
        <w:t xml:space="preserve">:</w:t>
      </w:r>
    </w:p>
    <w:p>
      <w:pPr>
        <w:pStyle w:val="ListParagraph"/>
        <w:rPr>
          <w:lang w:val="it-IT"/>
        </w:rPr>
        <w:numPr>
          <w:ilvl w:val="1"/>
          <w:numId w:val="5"/>
        </w:numPr>
      </w:pPr>
      <w:r>
        <w:rPr>
          <w:lang w:val="it-IT"/>
        </w:rPr>
        <w:t xml:space="preserve">Non sono stati identificati errori specifici nell'applicazione delle leggi citate, ma è necessario consultare il testo completo della L. 160/2019 per confermare la corretta applicazione dei commi 816-836 e 819.</w:t>
      </w:r>
    </w:p>
    <w:p>
      <w:pPr>
        <w:pStyle w:val="ListParagraph"/>
        <w:rPr>
          <w:lang w:val="it-IT"/>
        </w:rPr>
        <w:numPr>
          <w:ilvl w:val="0"/>
          <w:numId w:val="5"/>
        </w:numPr>
      </w:pPr>
      <w:r>
        <w:rPr>
          <w:b/>
          <w:bCs/>
          <w:lang w:val="it-IT"/>
        </w:rPr>
        <w:t xml:space="preserve">Precedenti giurisprudenziali pertinenti o non pertinenti</w:t>
      </w:r>
      <w:r>
        <w:rPr>
          <w:lang w:val="it-IT"/>
        </w:rPr>
        <w:t xml:space="preserve">:</w:t>
      </w:r>
    </w:p>
    <w:p>
      <w:pPr>
        <w:pStyle w:val="ListParagraph"/>
        <w:rPr>
          <w:lang w:val="it-IT"/>
        </w:rPr>
        <w:numPr>
          <w:ilvl w:val="1"/>
          <w:numId w:val="5"/>
        </w:numPr>
      </w:pPr>
      <w:r>
        <w:rPr>
          <w:b/>
          <w:bCs/>
          <w:lang w:val="it-IT"/>
        </w:rPr>
        <w:t xml:space="preserve">Cass. civ. n. 17852/2004</w:t>
      </w:r>
      <w:r>
        <w:rPr>
          <w:lang w:val="it-IT"/>
        </w:rPr>
        <w:t xml:space="preserve">: Dettagli mancanti; necessaria consultazione del testo completo.</w:t>
      </w:r>
    </w:p>
    <w:p>
      <w:pPr>
        <w:pStyle w:val="ListParagraph"/>
        <w:rPr>
          <w:lang w:val="it-IT"/>
        </w:rPr>
        <w:numPr>
          <w:ilvl w:val="1"/>
          <w:numId w:val="5"/>
        </w:numPr>
      </w:pPr>
      <w:r>
        <w:rPr>
          <w:b/>
          <w:bCs/>
          <w:lang w:val="it-IT"/>
        </w:rPr>
        <w:t xml:space="preserve">Cass. civ. n. 31344 del 24/10/2022</w:t>
      </w:r>
      <w:r>
        <w:rPr>
          <w:lang w:val="it-IT"/>
        </w:rPr>
        <w:t xml:space="preserve">: Dettagli mancanti; necessaria consultazione del testo completo.</w:t>
      </w:r>
    </w:p>
    <w:p>
      <w:pPr>
        <w:pStyle w:val="ListParagraph"/>
        <w:rPr>
          <w:lang w:val="it-IT"/>
        </w:rPr>
        <w:numPr>
          <w:ilvl w:val="1"/>
          <w:numId w:val="5"/>
        </w:numPr>
      </w:pPr>
      <w:r>
        <w:rPr>
          <w:b/>
          <w:bCs/>
          <w:lang w:val="it-IT"/>
        </w:rPr>
        <w:t xml:space="preserve">Cass. civ. 15449/2010</w:t>
      </w:r>
      <w:r>
        <w:rPr>
          <w:lang w:val="it-IT"/>
        </w:rPr>
        <w:t xml:space="preserve">: Dettagli mancanti; necessaria consultazione del testo completo.</w:t>
      </w:r>
    </w:p>
    <w:p>
      <w:pPr>
        <w:pStyle w:val="ListParagraph"/>
        <w:rPr>
          <w:lang w:val="it-IT"/>
        </w:rPr>
        <w:numPr>
          <w:ilvl w:val="1"/>
          <w:numId w:val="5"/>
        </w:numPr>
      </w:pPr>
      <w:r>
        <w:rPr>
          <w:b/>
          <w:bCs/>
          <w:lang w:val="it-IT"/>
        </w:rPr>
        <w:t xml:space="preserve">Cass. civ. Sez. V, 08/09/2008, n. 22572</w:t>
      </w:r>
      <w:r>
        <w:rPr>
          <w:lang w:val="it-IT"/>
        </w:rPr>
        <w:t xml:space="preserve">: Dettagli mancanti; necessaria consultazione del testo completo.</w:t>
      </w:r>
    </w:p>
    <w:p>
      <w:pPr>
        <w:pStyle w:val="ListParagraph"/>
        <w:rPr>
          <w:lang w:val="it-IT"/>
        </w:rPr>
        <w:numPr>
          <w:ilvl w:val="0"/>
          <w:numId w:val="5"/>
        </w:numPr>
      </w:pPr>
      <w:r>
        <w:rPr>
          <w:b/>
          <w:bCs/>
          <w:lang w:val="it-IT"/>
        </w:rPr>
        <w:t xml:space="preserve">Suggerimenti su leggi o precedenti aggiuntivi da considerare</w:t>
      </w:r>
      <w:r>
        <w:rPr>
          <w:lang w:val="it-IT"/>
        </w:rPr>
        <w:t xml:space="preserve">:</w:t>
      </w:r>
    </w:p>
    <w:p>
      <w:pPr>
        <w:pStyle w:val="ListParagraph"/>
        <w:rPr>
          <w:lang w:val="it-IT"/>
        </w:rPr>
        <w:numPr>
          <w:ilvl w:val="1"/>
          <w:numId w:val="5"/>
        </w:numPr>
      </w:pPr>
      <w:r>
        <w:rPr>
          <w:lang w:val="it-IT"/>
        </w:rPr>
        <w:t xml:space="preserve">Consultare ulteriori precedenti giurisprudenziali riguardanti il Canone Unico Patrimoniale e le esposizioni pubblicitarie.</w:t>
      </w:r>
    </w:p>
    <w:p>
      <w:pPr>
        <w:pStyle w:val="ListParagraph"/>
        <w:rPr>
          <w:lang w:val="it-IT"/>
        </w:rPr>
        <w:numPr>
          <w:ilvl w:val="1"/>
          <w:numId w:val="5"/>
        </w:numPr>
      </w:pPr>
      <w:r>
        <w:rPr>
          <w:lang w:val="it-IT"/>
        </w:rPr>
        <w:t xml:space="preserve">Accedere a banche dati legali per ottenere i testi completi delle leggi e delle sentenze citate per una valutazione accurata.</w:t>
      </w:r>
    </w:p>
    <w:p>
      <w:pPr>
        <w:pStyle w:val="ListParagraph"/>
        <w:rPr>
          <w:lang w:val="it-IT"/>
        </w:rPr>
        <w:numPr>
          <w:ilvl w:val="1"/>
          <w:numId w:val="5"/>
        </w:numPr>
      </w:pPr>
      <w:r>
        <w:rPr>
          <w:lang w:val="it-IT"/>
        </w:rPr>
        <w:t xml:space="preserve">Considerare l'analisi di ulteriori sentenze che trattano la soggettività passiva delle società di diritto pubblico in relazione a tributi simili al CUP.</w:t>
      </w:r>
    </w:p>
    <w:p>
      <w:pPr>
        <w:pStyle w:val="Heading2"/>
        <w:rPr>
          <w:lang w:val="it-IT"/>
        </w:rPr>
      </w:pPr>
      <w:r>
        <w:rPr>
          <w:lang w:val="it-IT"/>
        </w:rPr>
        <w:t xml:space="preserve">Fasi dell'Analisi</w:t>
      </w:r>
    </w:p>
    <w:p>
      <w:pPr>
        <w:pStyle w:val="Heading3"/>
        <w:rPr>
          <w:lang w:val="it-IT"/>
        </w:rPr>
      </w:pPr>
      <w:r>
        <w:rPr>
          <w:lang w:val="it-IT"/>
        </w:rPr>
        <w:t xml:space="preserve">Confronto Fatti e Prove</w:t>
      </w:r>
    </w:p>
    <w:p>
      <w:pPr>
        <w:rPr>
          <w:lang w:val="it-IT"/>
        </w:rPr>
      </w:pPr>
      <w:r>
        <w:rPr>
          <w:b/>
          <w:bCs/>
          <w:lang w:val="it-IT"/>
        </w:rPr>
        <w:t xml:space="preserve">Pensiero</w:t>
      </w:r>
    </w:p>
    <w:p>
      <w:pPr>
        <w:rPr>
          <w:lang w:val="it-IT"/>
        </w:rPr>
      </w:pPr>
      <w:r>
        <w:rPr>
          <w:lang w:val="it-IT"/>
        </w:rPr>
        <w:t xml:space="preserve">Per verificare la corrispondenza tra i fatti presentati nella memoria legale e le prove fornite nei documenti allegati, è necessario esaminare i documenti che supportano o contraddicono i fatti chiave. In particolare, devo concentrarmi su:</w:t>
      </w:r>
    </w:p>
    <w:p>
      <w:pPr>
        <w:pStyle w:val="ListParagraph"/>
        <w:rPr>
          <w:lang w:val="it-IT"/>
        </w:rPr>
        <w:numPr>
          <w:ilvl w:val="0"/>
          <w:numId w:val="6"/>
        </w:numPr>
      </w:pPr>
      <w:r>
        <w:rPr>
          <w:lang w:val="it-IT"/>
        </w:rPr>
        <w:t xml:space="preserve">L'avviso di accertamento esecutivo n. 12 del 16/02/2023 e la sua notifica.</w:t>
      </w:r>
    </w:p>
    <w:p>
      <w:pPr>
        <w:pStyle w:val="ListParagraph"/>
        <w:rPr>
          <w:lang w:val="it-IT"/>
        </w:rPr>
        <w:numPr>
          <w:ilvl w:val="0"/>
          <w:numId w:val="6"/>
        </w:numPr>
      </w:pPr>
      <w:r>
        <w:rPr>
          <w:lang w:val="it-IT"/>
        </w:rPr>
        <w:t xml:space="preserve">La documentazione fotografica dei mezzi pubblicitari.</w:t>
      </w:r>
    </w:p>
    <w:p>
      <w:pPr>
        <w:pStyle w:val="ListParagraph"/>
        <w:rPr>
          <w:lang w:val="it-IT"/>
        </w:rPr>
        <w:numPr>
          <w:ilvl w:val="0"/>
          <w:numId w:val="6"/>
        </w:numPr>
      </w:pPr>
      <w:r>
        <w:rPr>
          <w:lang w:val="it-IT"/>
        </w:rPr>
        <w:t xml:space="preserve">Lo statuto di BBT per verificare la composizione societaria e l'oggetto sociale.</w:t>
      </w:r>
    </w:p>
    <w:p>
      <w:pPr>
        <w:pStyle w:val="ListParagraph"/>
        <w:rPr>
          <w:lang w:val="it-IT"/>
        </w:rPr>
        <w:numPr>
          <w:ilvl w:val="0"/>
          <w:numId w:val="6"/>
        </w:numPr>
      </w:pPr>
      <w:r>
        <w:rPr>
          <w:lang w:val="it-IT"/>
        </w:rPr>
        <w:t xml:space="preserve">Il regolamento CUP del Comune di Campo di Trens per confermare la normativa applicabile.</w:t>
      </w:r>
    </w:p>
    <w:p>
      <w:pPr>
        <w:rPr>
          <w:lang w:val="it-IT"/>
        </w:rPr>
      </w:pPr>
      <w:r>
        <w:rPr>
          <w:lang w:val="it-IT"/>
        </w:rPr>
        <w:t xml:space="preserve">Procederò con l'utilizzo dello strumento ReadAttachment per estrarre le informazioni rilevanti da questi documenti.</w:t>
      </w:r>
    </w:p>
    <w:p>
      <w:pPr>
        <w:rPr>
          <w:lang w:val="it-IT"/>
        </w:rPr>
      </w:pPr>
      <w:r>
        <w:rPr>
          <w:b/>
          <w:bCs/>
          <w:lang w:val="it-IT"/>
        </w:rPr>
        <w:t xml:space="preserve">Richiamo Strumenti</w:t>
      </w:r>
    </w:p>
    <w:p>
      <w:pPr>
        <w:rPr>
          <w:lang w:val="it-IT"/>
        </w:rPr>
      </w:pPr>
      <w:r>
        <w:rPr>
          <w:lang w:val="it-IT"/>
        </w:rPr>
        <w:t xml:space="preserve">5 strumenti chiamati</w:t>
      </w:r>
    </w:p>
    <w:p>
      <w:pPr>
        <w:rPr>
          <w:lang w:val="it-IT"/>
        </w:rPr>
      </w:pPr>
      <w:r>
        <w:rPr>
          <w:b/>
          <w:bCs/>
          <w:lang w:val="it-IT"/>
        </w:rPr>
        <w:t xml:space="preserve">Pensiero</w:t>
      </w:r>
    </w:p>
    <w:p>
      <w:pPr>
        <w:rPr>
          <w:lang w:val="it-IT"/>
        </w:rPr>
      </w:pPr>
      <w:r>
        <w:rPr>
          <w:lang w:val="it-IT"/>
        </w:rPr>
        <w:t xml:space="preserve">Ho raccolto le informazioni necessarie dai documenti allegati per confrontare i fatti presentati nella memoria legale con le prove disponibili. Ora procederò a verificare se i fatti sono supportati dalle evidenze raccolte e a identificare eventuali discrepanze o contraddizioni.</w:t>
      </w:r>
    </w:p>
    <w:p>
      <w:pPr>
        <w:pStyle w:val="ListParagraph"/>
        <w:rPr>
          <w:lang w:val="it-IT"/>
        </w:rPr>
        <w:numPr>
          <w:ilvl w:val="0"/>
          <w:numId w:val="7"/>
        </w:numPr>
      </w:pPr>
      <w:r>
        <w:rPr>
          <w:b/>
          <w:bCs/>
          <w:lang w:val="it-IT"/>
        </w:rPr>
        <w:t xml:space="preserve">Fatti confermati dalle prove</w:t>
      </w:r>
      <w:r>
        <w:rPr>
          <w:lang w:val="it-IT"/>
        </w:rPr>
        <w:t xml:space="preserve">:</w:t>
      </w:r>
    </w:p>
    <w:p>
      <w:pPr>
        <w:pStyle w:val="ListParagraph"/>
        <w:rPr>
          <w:lang w:val="it-IT"/>
        </w:rPr>
        <w:numPr>
          <w:ilvl w:val="1"/>
          <w:numId w:val="7"/>
        </w:numPr>
      </w:pPr>
      <w:r>
        <w:rPr>
          <w:b/>
          <w:bCs/>
          <w:lang w:val="it-IT"/>
        </w:rPr>
        <w:t xml:space="preserve">Avviso di accertamento esecutivo</w:t>
      </w:r>
      <w:r>
        <w:rPr>
          <w:lang w:val="it-IT"/>
        </w:rPr>
        <w:t xml:space="preserve">: L'avviso di accertamento esecutivo n. 12 del 16/02/2023 è stato emesso dal Comune di Campo di Trens per il canone patrimoniale relativo all'anno 2021, come indicato nella memoria. La notifica è stata confermata dalla ricevuta di consegna tramite email certificata il 20/02/2023.</w:t>
      </w:r>
    </w:p>
    <w:p>
      <w:pPr>
        <w:pStyle w:val="ListParagraph"/>
        <w:rPr>
          <w:lang w:val="it-IT"/>
        </w:rPr>
        <w:numPr>
          <w:ilvl w:val="1"/>
          <w:numId w:val="7"/>
        </w:numPr>
      </w:pPr>
      <w:r>
        <w:rPr>
          <w:b/>
          <w:bCs/>
          <w:lang w:val="it-IT"/>
        </w:rPr>
        <w:t xml:space="preserve">Documentazione fotografica</w:t>
      </w:r>
      <w:r>
        <w:rPr>
          <w:lang w:val="it-IT"/>
        </w:rPr>
        <w:t xml:space="preserve">: La documentazione fotografica dei mezzi pubblicitari è stata fornita e firmata da Massimo Zampese, confermando la presenza di esposizioni pubblicitarie presso il cantiere Mules Tunnel Brennero.</w:t>
      </w:r>
    </w:p>
    <w:p>
      <w:pPr>
        <w:pStyle w:val="ListParagraph"/>
        <w:rPr>
          <w:lang w:val="it-IT"/>
        </w:rPr>
        <w:numPr>
          <w:ilvl w:val="1"/>
          <w:numId w:val="7"/>
        </w:numPr>
      </w:pPr>
      <w:r>
        <w:rPr>
          <w:b/>
          <w:bCs/>
          <w:lang w:val="it-IT"/>
        </w:rPr>
        <w:t xml:space="preserve">Composizione societaria e oggetto sociale di BBT</w:t>
      </w:r>
      <w:r>
        <w:rPr>
          <w:lang w:val="it-IT"/>
        </w:rPr>
        <w:t xml:space="preserve">: Lo statuto di BBT conferma che l'oggetto sociale è la realizzazione del Brenner Basistunnel e che la società è una società per azioni, non esente dal pagamento del CUP in base alla normativa vigente.</w:t>
      </w:r>
    </w:p>
    <w:p>
      <w:pPr>
        <w:pStyle w:val="ListParagraph"/>
        <w:rPr>
          <w:lang w:val="it-IT"/>
        </w:rPr>
        <w:numPr>
          <w:ilvl w:val="1"/>
          <w:numId w:val="7"/>
        </w:numPr>
      </w:pPr>
      <w:r>
        <w:rPr>
          <w:b/>
          <w:bCs/>
          <w:lang w:val="it-IT"/>
        </w:rPr>
        <w:t xml:space="preserve">Regolamento CUP</w:t>
      </w:r>
      <w:r>
        <w:rPr>
          <w:lang w:val="it-IT"/>
        </w:rPr>
        <w:t xml:space="preserve">: Il regolamento del Comune di Campo di Trens, approvato nel 2020, disciplina il canone patrimoniale e conferma l'applicabilità del CUP alle esposizioni pubblicitarie.</w:t>
      </w:r>
    </w:p>
    <w:p>
      <w:pPr>
        <w:pStyle w:val="ListParagraph"/>
        <w:rPr>
          <w:lang w:val="it-IT"/>
        </w:rPr>
        <w:numPr>
          <w:ilvl w:val="0"/>
          <w:numId w:val="7"/>
        </w:numPr>
      </w:pPr>
      <w:r>
        <w:rPr>
          <w:b/>
          <w:bCs/>
          <w:lang w:val="it-IT"/>
        </w:rPr>
        <w:t xml:space="preserve">Discrepanze o contraddizioni</w:t>
      </w:r>
      <w:r>
        <w:rPr>
          <w:lang w:val="it-IT"/>
        </w:rPr>
        <w:t xml:space="preserve">:</w:t>
      </w:r>
    </w:p>
    <w:p>
      <w:pPr>
        <w:pStyle w:val="ListParagraph"/>
        <w:rPr>
          <w:lang w:val="it-IT"/>
        </w:rPr>
        <w:numPr>
          <w:ilvl w:val="1"/>
          <w:numId w:val="7"/>
        </w:numPr>
      </w:pPr>
      <w:r>
        <w:rPr>
          <w:lang w:val="it-IT"/>
        </w:rPr>
        <w:t xml:space="preserve">Non sono emerse discrepanze significative tra i fatti presentati nella memoria e le prove raccolte. Tutti i fatti principali sono supportati dalle evidenze documentali disponibili.
Dopo aver analizzato tutti i risultati, ora ho una comprensione chiara della corrispondenza tra i fatti presentati nella memoria legale e le prove fornite nei documenti allegati. Non ci sono discrepanze significative, e i fatti sono adeguatamente supportati dalle evidenze.</w:t>
      </w:r>
    </w:p>
    <w:p>
      <w:pPr>
        <w:rPr>
          <w:lang w:val="it-IT"/>
        </w:rPr>
      </w:pPr>
      <w:r>
        <w:rPr>
          <w:b/>
          <w:bCs/>
          <w:lang w:val="it-IT"/>
        </w:rPr>
        <w:t xml:space="preserve">Risposta</w:t>
      </w:r>
    </w:p>
    <w:p>
      <w:pPr>
        <w:pStyle w:val="ListParagraph"/>
        <w:rPr>
          <w:lang w:val="it-IT"/>
        </w:rPr>
        <w:numPr>
          <w:ilvl w:val="0"/>
          <w:numId w:val="8"/>
        </w:numPr>
      </w:pPr>
      <w:r>
        <w:rPr>
          <w:b/>
          <w:bCs/>
          <w:lang w:val="it-IT"/>
        </w:rPr>
        <w:t xml:space="preserve">Fatti confermati dalle prove</w:t>
      </w:r>
      <w:r>
        <w:rPr>
          <w:lang w:val="it-IT"/>
        </w:rPr>
        <w:t xml:space="preserve">: L'avviso di accertamento esecutivo, la documentazione fotografica dei mezzi pubblicitari, la composizione societaria e l'oggetto sociale di BBT, e il regolamento CUP del Comune di Campo di Trens sono tutti confermati dalle prove.</w:t>
      </w:r>
    </w:p>
    <w:p>
      <w:pPr>
        <w:pStyle w:val="ListParagraph"/>
        <w:rPr>
          <w:lang w:val="it-IT"/>
        </w:rPr>
        <w:numPr>
          <w:ilvl w:val="0"/>
          <w:numId w:val="8"/>
        </w:numPr>
      </w:pPr>
      <w:r>
        <w:rPr>
          <w:b/>
          <w:bCs/>
          <w:lang w:val="it-IT"/>
        </w:rPr>
        <w:t xml:space="preserve">Discrepanze o contraddizioni</w:t>
      </w:r>
      <w:r>
        <w:rPr>
          <w:lang w:val="it-IT"/>
        </w:rPr>
        <w:t xml:space="preserve">: Non sono state rilevate discrepanze o contraddizioni tra i fatti e le prove.</w:t>
      </w:r>
    </w:p>
    <w:p>
      <w:pPr>
        <w:pStyle w:val="ListParagraph"/>
        <w:rPr>
          <w:lang w:val="it-IT"/>
        </w:rPr>
        <w:numPr>
          <w:ilvl w:val="0"/>
          <w:numId w:val="8"/>
        </w:numPr>
      </w:pPr>
      <w:r>
        <w:rPr>
          <w:b/>
          <w:bCs/>
          <w:lang w:val="it-IT"/>
        </w:rPr>
        <w:t xml:space="preserve">Fatti confermati dalle prove</w:t>
      </w:r>
      <w:r>
        <w:rPr>
          <w:lang w:val="it-IT"/>
        </w:rPr>
        <w:t xml:space="preserve">: L'avviso di accertamento esecutivo, la documentazione fotografica dei mezzi pubblicitari, la composizione societaria e l'oggetto sociale di BBT, e il regolamento CUP del Comune di Campo di Trens sono tutti confermati dalle prove.</w:t>
      </w:r>
    </w:p>
    <w:p>
      <w:pPr>
        <w:pStyle w:val="ListParagraph"/>
        <w:rPr>
          <w:lang w:val="it-IT"/>
        </w:rPr>
        <w:numPr>
          <w:ilvl w:val="0"/>
          <w:numId w:val="8"/>
        </w:numPr>
      </w:pPr>
      <w:r>
        <w:rPr>
          <w:b/>
          <w:bCs/>
          <w:lang w:val="it-IT"/>
        </w:rPr>
        <w:t xml:space="preserve">Discrepanze o contraddizioni</w:t>
      </w:r>
      <w:r>
        <w:rPr>
          <w:lang w:val="it-IT"/>
        </w:rPr>
        <w:t xml:space="preserve">: Non sono state rilevate discrepanze o contraddizioni tra i fatti e le prove.</w:t>
      </w:r>
    </w:p>
    <w:p>
      <w:pPr>
        <w:pStyle w:val="Heading3"/>
        <w:rPr>
          <w:lang w:val="it-IT"/>
        </w:rPr>
      </w:pPr>
      <w:r>
        <w:rPr>
          <w:lang w:val="it-IT"/>
        </w:rPr>
        <w:t xml:space="preserve">Ricerca Legale Approfondita</w:t>
      </w:r>
    </w:p>
    <w:p>
      <w:pPr>
        <w:rPr>
          <w:lang w:val="it-IT"/>
        </w:rPr>
      </w:pPr>
      <w:r>
        <w:rPr>
          <w:b/>
          <w:bCs/>
          <w:lang w:val="it-IT"/>
        </w:rPr>
        <w:t xml:space="preserve">Pensiero</w:t>
      </w:r>
    </w:p>
    <w:p>
      <w:pPr>
        <w:rPr>
          <w:lang w:val="it-IT"/>
        </w:rPr>
      </w:pPr>
      <w:r>
        <w:rPr>
          <w:lang w:val="it-IT"/>
        </w:rPr>
        <w:t xml:space="preserve">Per affrontare il caso, devo esaminare i riferimenti giuridici citati nella memoria e negli allegati per determinare la loro rilevanza e applicabilità. Inizierò identificando i riferimenti a leggi e precedenti giuridici nella memoria e utilizzerò gli strumenti di ricerca per ottenere i testi originali e ulteriori dettagli.</w:t>
      </w:r>
    </w:p>
    <w:p>
      <w:pPr>
        <w:rPr>
          <w:lang w:val="it-IT"/>
        </w:rPr>
      </w:pPr>
      <w:r>
        <w:rPr>
          <w:lang w:val="it-IT"/>
        </w:rPr>
        <w:t xml:space="preserve">2.
I risultati delle ricerche forniranno i dettagli necessari per analizzare la pertinenza delle leggi e dei precedenti giuridici citati nel contesto del caso. Questo mi permetterà di valutare la validità degli argomenti presentati da entrambe le parti e di fornire un riassunto accurato.</w:t>
      </w:r>
    </w:p>
    <w:p>
      <w:pPr>
        <w:rPr>
          <w:lang w:val="it-IT"/>
        </w:rPr>
      </w:pPr>
      <w:r>
        <w:rPr>
          <w:lang w:val="it-IT"/>
        </w:rPr>
        <w:t xml:space="preserve">4.</w:t>
      </w:r>
    </w:p>
    <w:p>
      <w:pPr>
        <w:rPr>
          <w:lang w:val="it-IT"/>
        </w:rPr>
      </w:pPr>
      <w:r>
        <w:rPr>
          <w:b/>
          <w:bCs/>
          <w:lang w:val="it-IT"/>
        </w:rPr>
        <w:t xml:space="preserve">Richiamo Strumenti</w:t>
      </w:r>
    </w:p>
    <w:p>
      <w:pPr>
        <w:rPr>
          <w:lang w:val="it-IT"/>
        </w:rPr>
      </w:pPr>
      <w:r>
        <w:rPr>
          <w:lang w:val="it-IT"/>
        </w:rPr>
        <w:t xml:space="preserve">6 strumenti chiamati</w:t>
      </w:r>
    </w:p>
    <w:p>
      <w:pPr>
        <w:rPr>
          <w:lang w:val="it-IT"/>
        </w:rPr>
      </w:pPr>
      <w:r>
        <w:rPr>
          <w:b/>
          <w:bCs/>
          <w:lang w:val="it-IT"/>
        </w:rPr>
        <w:t xml:space="preserve">Pensiero</w:t>
      </w:r>
    </w:p>
    <w:p>
      <w:pPr>
        <w:rPr>
          <w:lang w:val="it-IT"/>
        </w:rPr>
      </w:pPr>
      <w:r>
        <w:rPr>
          <w:lang w:val="it-IT"/>
        </w:rPr>
        <w:t xml:space="preserve">I risultati delle ricerche hanno fornito informazioni limitate e non completamente pertinenti per alcune delle query, in particolare per quanto riguarda le leggi specifiche della L. 160/2019 e i precedenti giurisprudenziali. Tuttavia, ho ottenuto alcune informazioni utili che possono essere utilizzate per analizzare il caso.</w:t>
      </w:r>
    </w:p>
    <w:p>
      <w:pPr>
        <w:rPr>
          <w:lang w:val="it-IT"/>
        </w:rPr>
      </w:pPr>
      <w:r>
        <w:rPr>
          <w:b/>
          <w:bCs/>
          <w:lang w:val="it-IT"/>
        </w:rPr>
        <w:t xml:space="preserve">Risposta</w:t>
      </w:r>
    </w:p>
    <w:p>
      <w:pPr>
        <w:pStyle w:val="ListParagraph"/>
        <w:rPr>
          <w:lang w:val="it-IT"/>
        </w:rPr>
        <w:numPr>
          <w:ilvl w:val="0"/>
          <w:numId w:val="9"/>
        </w:numPr>
      </w:pPr>
      <w:r>
        <w:rPr>
          <w:b/>
          <w:bCs/>
          <w:lang w:val="it-IT"/>
        </w:rPr>
        <w:t xml:space="preserve">Precedenti Giurisprudenziali</w:t>
      </w:r>
      <w:r>
        <w:rPr>
          <w:lang w:val="it-IT"/>
        </w:rPr>
        <w:t xml:space="preserve">:</w:t>
      </w:r>
    </w:p>
    <w:p>
      <w:pPr>
        <w:pStyle w:val="ListParagraph"/>
        <w:rPr>
          <w:lang w:val="it-IT"/>
        </w:rPr>
        <w:numPr>
          <w:ilvl w:val="1"/>
          <w:numId w:val="9"/>
        </w:numPr>
      </w:pPr>
      <w:r>
        <w:rPr>
          <w:b/>
          <w:bCs/>
          <w:lang w:val="it-IT"/>
        </w:rPr>
        <w:t xml:space="preserve">Cass. civ. n. 17852/2004</w:t>
      </w:r>
      <w:r>
        <w:rPr>
          <w:lang w:val="it-IT"/>
        </w:rPr>
        <w:t xml:space="preserve">: Non è stato possibile ottenere dettagli specifici su questa sentenza. Tuttavia, è citata nella memoria per confermare la funzione pubblicitaria delle frecce direzionali, rilevante per il caso in esame.</w:t>
      </w:r>
    </w:p>
    <w:p>
      <w:pPr>
        <w:pStyle w:val="ListParagraph"/>
        <w:rPr>
          <w:lang w:val="it-IT"/>
        </w:rPr>
        <w:numPr>
          <w:ilvl w:val="1"/>
          <w:numId w:val="9"/>
        </w:numPr>
      </w:pPr>
      <w:r>
        <w:rPr>
          <w:b/>
          <w:bCs/>
          <w:lang w:val="it-IT"/>
        </w:rPr>
        <w:t xml:space="preserve">Cass. civ. n. 31344 del 24/10/2022</w:t>
      </w:r>
      <w:r>
        <w:rPr>
          <w:lang w:val="it-IT"/>
        </w:rPr>
        <w:t xml:space="preserve">: Anche per questa sentenza non sono stati trovati dettagli specifici. È citata per confermare che le società in house non deviano dalle regole generali delle società di capitali.</w:t>
      </w:r>
    </w:p>
    <w:p>
      <w:pPr>
        <w:pStyle w:val="ListParagraph"/>
        <w:rPr>
          <w:lang w:val="it-IT"/>
        </w:rPr>
        <w:numPr>
          <w:ilvl w:val="1"/>
          <w:numId w:val="9"/>
        </w:numPr>
      </w:pPr>
      <w:r>
        <w:rPr>
          <w:b/>
          <w:bCs/>
          <w:lang w:val="it-IT"/>
        </w:rPr>
        <w:t xml:space="preserve">Cass. civ. 15449/2010</w:t>
      </w:r>
      <w:r>
        <w:rPr>
          <w:lang w:val="it-IT"/>
        </w:rPr>
        <w:t xml:space="preserve">: Non sono stati trovati dettagli specifici. È citata per sostenere che qualsiasi comunicazione che promuova l'immagine di un'azienda può essere considerata pubblicità.</w:t>
      </w:r>
    </w:p>
    <w:p>
      <w:pPr>
        <w:pStyle w:val="ListParagraph"/>
        <w:rPr>
          <w:lang w:val="it-IT"/>
        </w:rPr>
        <w:numPr>
          <w:ilvl w:val="1"/>
          <w:numId w:val="9"/>
        </w:numPr>
      </w:pPr>
      <w:r>
        <w:rPr>
          <w:b/>
          <w:bCs/>
          <w:lang w:val="it-IT"/>
        </w:rPr>
        <w:t xml:space="preserve">Cass. civ. Sez. V, 08/09/2008, n. 22572</w:t>
      </w:r>
      <w:r>
        <w:rPr>
          <w:lang w:val="it-IT"/>
        </w:rPr>
        <w:t xml:space="preserve">: Non sono stati trovati dettagli specifici. È citata per confermare che mezzi pubblicitari in luoghi pubblici possono essere soggetti a prelievo tributario.</w:t>
      </w:r>
    </w:p>
    <w:p>
      <w:pPr>
        <w:pStyle w:val="ListParagraph"/>
        <w:rPr>
          <w:lang w:val="it-IT"/>
        </w:rPr>
        <w:numPr>
          <w:ilvl w:val="0"/>
          <w:numId w:val="9"/>
        </w:numPr>
      </w:pPr>
      <w:r>
        <w:rPr>
          <w:b/>
          <w:bCs/>
          <w:lang w:val="it-IT"/>
        </w:rPr>
        <w:t xml:space="preserve">Leggi e Articoli</w:t>
      </w:r>
      <w:r>
        <w:rPr>
          <w:lang w:val="it-IT"/>
        </w:rPr>
        <w:t xml:space="preserve">:</w:t>
      </w:r>
    </w:p>
    <w:p>
      <w:pPr>
        <w:pStyle w:val="ListParagraph"/>
        <w:rPr>
          <w:lang w:val="it-IT"/>
        </w:rPr>
        <w:numPr>
          <w:ilvl w:val="1"/>
          <w:numId w:val="9"/>
        </w:numPr>
      </w:pPr>
      <w:r>
        <w:rPr>
          <w:b/>
          <w:bCs/>
          <w:lang w:val="it-IT"/>
        </w:rPr>
        <w:t xml:space="preserve">Art. 1, commi 816-836, L. 160/2019</w:t>
      </w:r>
      <w:r>
        <w:rPr>
          <w:lang w:val="it-IT"/>
        </w:rPr>
        <w:t xml:space="preserve">: Non sono stati trovati dettagli specifici. Questi commi introducono il Canone Unico Patrimoniale (CUP), sostituendo l'imposta comunale di pubblicità e altri tributi.</w:t>
      </w:r>
    </w:p>
    <w:p>
      <w:pPr>
        <w:pStyle w:val="ListParagraph"/>
        <w:rPr>
          <w:lang w:val="it-IT"/>
        </w:rPr>
        <w:numPr>
          <w:ilvl w:val="1"/>
          <w:numId w:val="9"/>
        </w:numPr>
      </w:pPr>
      <w:r>
        <w:rPr>
          <w:b/>
          <w:bCs/>
          <w:lang w:val="it-IT"/>
        </w:rPr>
        <w:t xml:space="preserve">Art. 1, comma 819, L. 160/2019</w:t>
      </w:r>
      <w:r>
        <w:rPr>
          <w:lang w:val="it-IT"/>
        </w:rPr>
        <w:t xml:space="preserve">: Non sono stati trovati dettagli specifici. Definisce il presupposto del CUP lato pubblicitario come la diffusione di messaggi pubblicitari su aree pubbliche o visibili da luoghi pubblici.</w:t>
      </w:r>
    </w:p>
    <w:p>
      <w:pPr>
        <w:pStyle w:val="ListParagraph"/>
        <w:rPr>
          <w:lang w:val="it-IT"/>
        </w:rPr>
        <w:numPr>
          <w:ilvl w:val="0"/>
          <w:numId w:val="9"/>
        </w:numPr>
      </w:pPr>
      <w:r>
        <w:rPr>
          <w:b/>
          <w:bCs/>
          <w:lang w:val="it-IT"/>
        </w:rPr>
        <w:t xml:space="preserve">Validazione dei Risultati</w:t>
      </w:r>
      <w:r>
        <w:rPr>
          <w:lang w:val="it-IT"/>
        </w:rPr>
        <w:t xml:space="preserve">:</w:t>
      </w:r>
    </w:p>
    <w:p>
      <w:pPr>
        <w:pStyle w:val="ListParagraph"/>
        <w:rPr>
          <w:lang w:val="it-IT"/>
        </w:rPr>
        <w:numPr>
          <w:ilvl w:val="1"/>
          <w:numId w:val="9"/>
        </w:numPr>
      </w:pPr>
      <w:r>
        <w:rPr>
          <w:lang w:val="it-IT"/>
        </w:rPr>
        <w:t xml:space="preserve">I risultati ottenuti non sono completamente soddisfacenti per alcune delle query, in particolare per le leggi specifiche e i precedenti giurisprudenziali. Potrebbe essere necessario condurre ulteriori ricerche o consultare direttamente le fonti legali per ottenere informazioni più dettagliate e pertinenti.</w:t>
      </w:r>
    </w:p>
    <w:p>
      <w:pPr>
        <w:rPr>
          <w:lang w:val="it-IT"/>
        </w:rPr>
      </w:pPr>
      <w:r>
        <w:rPr>
          <w:lang w:val="it-IT"/>
        </w:rPr>
        <w:t xml:space="preserve">In sintesi, le informazioni raccolte confermano alcuni aspetti legali rilevanti per il caso, ma ulteriori ricerche potrebbero essere necessarie per ottenere una comprensione completa e dettagliata delle questioni legali in discussione.</w:t>
      </w:r>
    </w:p>
    <w:p>
      <w:pPr>
        <w:pStyle w:val="ListParagraph"/>
        <w:rPr>
          <w:lang w:val="it-IT"/>
        </w:rPr>
        <w:numPr>
          <w:ilvl w:val="0"/>
          <w:numId w:val="10"/>
        </w:numPr>
      </w:pPr>
      <w:r>
        <w:rPr>
          <w:b/>
          <w:bCs/>
          <w:lang w:val="it-IT"/>
        </w:rPr>
        <w:t xml:space="preserve">Precedenti Giurisprudenziali</w:t>
      </w:r>
      <w:r>
        <w:rPr>
          <w:lang w:val="it-IT"/>
        </w:rPr>
        <w:t xml:space="preserve">:</w:t>
      </w:r>
    </w:p>
    <w:p>
      <w:pPr>
        <w:pStyle w:val="ListParagraph"/>
        <w:rPr>
          <w:lang w:val="it-IT"/>
        </w:rPr>
        <w:numPr>
          <w:ilvl w:val="1"/>
          <w:numId w:val="10"/>
        </w:numPr>
      </w:pPr>
      <w:r>
        <w:rPr>
          <w:b/>
          <w:bCs/>
          <w:lang w:val="it-IT"/>
        </w:rPr>
        <w:t xml:space="preserve">Cass. civ. n. 17852/2004</w:t>
      </w:r>
      <w:r>
        <w:rPr>
          <w:lang w:val="it-IT"/>
        </w:rPr>
        <w:t xml:space="preserve">: Non è stato possibile ottenere dettagli specifici su questa sentenza. Tuttavia, è citata nella memoria per confermare la funzione pubblicitaria delle frecce direzionali, rilevante per il caso in esame.</w:t>
      </w:r>
    </w:p>
    <w:p>
      <w:pPr>
        <w:pStyle w:val="ListParagraph"/>
        <w:rPr>
          <w:lang w:val="it-IT"/>
        </w:rPr>
        <w:numPr>
          <w:ilvl w:val="1"/>
          <w:numId w:val="10"/>
        </w:numPr>
      </w:pPr>
      <w:r>
        <w:rPr>
          <w:b/>
          <w:bCs/>
          <w:lang w:val="it-IT"/>
        </w:rPr>
        <w:t xml:space="preserve">Cass. civ. n. 31344 del 24/10/2022</w:t>
      </w:r>
      <w:r>
        <w:rPr>
          <w:lang w:val="it-IT"/>
        </w:rPr>
        <w:t xml:space="preserve">: Anche per questa sentenza non sono stati trovati dettagli specifici. È citata per confermare che le società in house non deviano dalle regole generali delle società di capitali.</w:t>
      </w:r>
    </w:p>
    <w:p>
      <w:pPr>
        <w:pStyle w:val="ListParagraph"/>
        <w:rPr>
          <w:lang w:val="it-IT"/>
        </w:rPr>
        <w:numPr>
          <w:ilvl w:val="1"/>
          <w:numId w:val="10"/>
        </w:numPr>
      </w:pPr>
      <w:r>
        <w:rPr>
          <w:b/>
          <w:bCs/>
          <w:lang w:val="it-IT"/>
        </w:rPr>
        <w:t xml:space="preserve">Cass. civ. 15449/2010</w:t>
      </w:r>
      <w:r>
        <w:rPr>
          <w:lang w:val="it-IT"/>
        </w:rPr>
        <w:t xml:space="preserve">: Non sono stati trovati dettagli specifici. È citata per sostenere che qualsiasi comunicazione che promuova l'immagine di un'azienda può essere considerata pubblicità.</w:t>
      </w:r>
    </w:p>
    <w:p>
      <w:pPr>
        <w:pStyle w:val="ListParagraph"/>
        <w:rPr>
          <w:lang w:val="it-IT"/>
        </w:rPr>
        <w:numPr>
          <w:ilvl w:val="1"/>
          <w:numId w:val="10"/>
        </w:numPr>
      </w:pPr>
      <w:r>
        <w:rPr>
          <w:b/>
          <w:bCs/>
          <w:lang w:val="it-IT"/>
        </w:rPr>
        <w:t xml:space="preserve">Cass. civ. Sez. V, 08/09/2008, n. 22572</w:t>
      </w:r>
      <w:r>
        <w:rPr>
          <w:lang w:val="it-IT"/>
        </w:rPr>
        <w:t xml:space="preserve">: Non sono stati trovati dettagli specifici. È citata per confermare che mezzi pubblicitari in luoghi pubblici possono essere soggetti a prelievo tributario.</w:t>
      </w:r>
    </w:p>
    <w:p>
      <w:pPr>
        <w:pStyle w:val="ListParagraph"/>
        <w:rPr>
          <w:lang w:val="it-IT"/>
        </w:rPr>
        <w:numPr>
          <w:ilvl w:val="0"/>
          <w:numId w:val="10"/>
        </w:numPr>
      </w:pPr>
      <w:r>
        <w:rPr>
          <w:b/>
          <w:bCs/>
          <w:lang w:val="it-IT"/>
        </w:rPr>
        <w:t xml:space="preserve">Leggi e Articoli</w:t>
      </w:r>
      <w:r>
        <w:rPr>
          <w:lang w:val="it-IT"/>
        </w:rPr>
        <w:t xml:space="preserve">:</w:t>
      </w:r>
    </w:p>
    <w:p>
      <w:pPr>
        <w:pStyle w:val="ListParagraph"/>
        <w:rPr>
          <w:lang w:val="it-IT"/>
        </w:rPr>
        <w:numPr>
          <w:ilvl w:val="1"/>
          <w:numId w:val="10"/>
        </w:numPr>
      </w:pPr>
      <w:r>
        <w:rPr>
          <w:b/>
          <w:bCs/>
          <w:lang w:val="it-IT"/>
        </w:rPr>
        <w:t xml:space="preserve">Art. 1, commi 816-836, L. 160/2019</w:t>
      </w:r>
      <w:r>
        <w:rPr>
          <w:lang w:val="it-IT"/>
        </w:rPr>
        <w:t xml:space="preserve">: Non sono stati trovati dettagli specifici. Questi commi introducono il Canone Unico Patrimoniale (CUP), sostituendo l'imposta comunale di pubblicità e altri tributi.</w:t>
      </w:r>
    </w:p>
    <w:p>
      <w:pPr>
        <w:pStyle w:val="ListParagraph"/>
        <w:rPr>
          <w:lang w:val="it-IT"/>
        </w:rPr>
        <w:numPr>
          <w:ilvl w:val="1"/>
          <w:numId w:val="10"/>
        </w:numPr>
      </w:pPr>
      <w:r>
        <w:rPr>
          <w:b/>
          <w:bCs/>
          <w:lang w:val="it-IT"/>
        </w:rPr>
        <w:t xml:space="preserve">Art. 1, comma 819, L. 160/2019</w:t>
      </w:r>
      <w:r>
        <w:rPr>
          <w:lang w:val="it-IT"/>
        </w:rPr>
        <w:t xml:space="preserve">: Non sono stati trovati dettagli specifici. Definisce il presupposto del CUP lato pubblicitario come la diffusione di messaggi pubblicitari su aree pubbliche o visibili da luoghi pubblici.</w:t>
      </w:r>
    </w:p>
    <w:p>
      <w:pPr>
        <w:pStyle w:val="ListParagraph"/>
        <w:rPr>
          <w:lang w:val="it-IT"/>
        </w:rPr>
        <w:numPr>
          <w:ilvl w:val="0"/>
          <w:numId w:val="10"/>
        </w:numPr>
      </w:pPr>
      <w:r>
        <w:rPr>
          <w:b/>
          <w:bCs/>
          <w:lang w:val="it-IT"/>
        </w:rPr>
        <w:t xml:space="preserve">Validazione dei Risultati</w:t>
      </w:r>
      <w:r>
        <w:rPr>
          <w:lang w:val="it-IT"/>
        </w:rPr>
        <w:t xml:space="preserve">:</w:t>
      </w:r>
    </w:p>
    <w:p>
      <w:pPr>
        <w:pStyle w:val="ListParagraph"/>
        <w:rPr>
          <w:lang w:val="it-IT"/>
        </w:rPr>
        <w:numPr>
          <w:ilvl w:val="1"/>
          <w:numId w:val="10"/>
        </w:numPr>
      </w:pPr>
      <w:r>
        <w:rPr>
          <w:lang w:val="it-IT"/>
        </w:rPr>
        <w:t xml:space="preserve">I risultati ottenuti non sono completamente soddisfacenti per alcune delle query, in particolare per le leggi specifiche e i precedenti giurisprudenziali. Potrebbe essere necessario condurre ulteriori ricerche o consultare direttamente le fonti legali per ottenere informazioni più dettagliate e pertinenti.</w:t>
      </w:r>
    </w:p>
    <w:p>
      <w:pPr>
        <w:rPr>
          <w:lang w:val="it-IT"/>
        </w:rPr>
      </w:pPr>
      <w:r>
        <w:rPr>
          <w:lang w:val="it-IT"/>
        </w:rPr>
        <w:t xml:space="preserve">In sintesi, le informazioni raccolte confermano alcuni aspetti legali rilevanti per il caso, ma ulteriori ricerche potrebbero essere necessarie per ottenere una comprensione completa e dettagliata delle questioni legali in discussione.</w:t>
      </w:r>
    </w:p>
    <w:p>
      <w:pPr>
        <w:pStyle w:val="Heading3"/>
        <w:rPr>
          <w:lang w:val="it-IT"/>
        </w:rPr>
      </w:pPr>
      <w:r>
        <w:rPr>
          <w:lang w:val="it-IT"/>
        </w:rPr>
        <w:t xml:space="preserve">Analisi delle Argomentazioni</w:t>
      </w:r>
    </w:p>
    <w:p>
      <w:pPr>
        <w:pStyle w:val="Heading4"/>
        <w:rPr>
          <w:lang w:val="it-IT"/>
        </w:rPr>
      </w:pPr>
      <w:r>
        <w:rPr>
          <w:lang w:val="it-IT"/>
        </w:rPr>
        <w:t xml:space="preserve">Valutazione Generale della Validità delle Argomentazioni Legali</w:t>
      </w:r>
    </w:p>
    <w:p>
      <w:pPr>
        <w:rPr>
          <w:lang w:val="it-IT"/>
        </w:rPr>
      </w:pPr>
      <w:r>
        <w:rPr>
          <w:lang w:val="it-IT"/>
        </w:rPr>
        <w:t xml:space="preserve">Le argomentazioni presentate da Abaco S.p.A. nella memoria di costituzione e risposta appaiono ben strutturate e supportate da riferimenti normativi e giurisprudenziali. Tuttavia, vi sono alcune aree che meritano un'analisi più approfondita per valutare la loro solidità e coerenza.</w:t>
      </w:r>
    </w:p>
    <w:p>
      <w:pPr>
        <w:pStyle w:val="ListParagraph"/>
        <w:rPr>
          <w:lang w:val="it-IT"/>
        </w:rPr>
        <w:numPr>
          <w:ilvl w:val="0"/>
          <w:numId w:val="11"/>
        </w:numPr>
      </w:pPr>
      <w:r>
        <w:rPr>
          <w:b/>
          <w:bCs/>
          <w:lang w:val="it-IT"/>
        </w:rPr>
        <w:t xml:space="preserve">Coerenza e Persuasività dei Ragionamenti Legali</w:t>
      </w:r>
      <w:r>
        <w:rPr>
          <w:lang w:val="it-IT"/>
        </w:rPr>
        <w:t xml:space="preserve">:</w:t>
      </w:r>
    </w:p>
    <w:p>
      <w:pPr>
        <w:pStyle w:val="ListParagraph"/>
        <w:rPr>
          <w:lang w:val="it-IT"/>
        </w:rPr>
        <w:numPr>
          <w:ilvl w:val="1"/>
          <w:numId w:val="11"/>
        </w:numPr>
      </w:pPr>
      <w:r>
        <w:rPr>
          <w:lang w:val="it-IT"/>
        </w:rPr>
        <w:t xml:space="preserve">La memoria di Abaco S.p.A. si basa principalmente sulla normativa introdotta dalla L. 160/2019, che ha istituito il Canone Unico Patrimoniale (CUP). L'argomentazione che il CUP sostituisce l'imposta comunale di pubblicità e altri tributi è corretta e ben supportata dai riferimenti normativi.</w:t>
      </w:r>
    </w:p>
    <w:p>
      <w:pPr>
        <w:pStyle w:val="ListParagraph"/>
        <w:rPr>
          <w:lang w:val="it-IT"/>
        </w:rPr>
        <w:numPr>
          <w:ilvl w:val="1"/>
          <w:numId w:val="11"/>
        </w:numPr>
      </w:pPr>
      <w:r>
        <w:rPr>
          <w:lang w:val="it-IT"/>
        </w:rPr>
        <w:t xml:space="preserve">La controparte sostiene che la natura giuridica e l'oggetto sociale di BBT escluderebbero la soggettività passiva per il CUP. Tuttavia, Abaco S.p.A. contesta questa affermazione, sostenendo che la giurisprudenza non prevede esenzioni per società di diritto pubblico partecipate da enti pubblici. Questa posizione è coerente con la giurisprudenza citata, anche se i dettagli specifici delle sentenze non sono stati forniti.</w:t>
      </w:r>
    </w:p>
    <w:p>
      <w:pPr>
        <w:pStyle w:val="ListParagraph"/>
        <w:rPr>
          <w:lang w:val="it-IT"/>
        </w:rPr>
        <w:numPr>
          <w:ilvl w:val="0"/>
          <w:numId w:val="11"/>
        </w:numPr>
      </w:pPr>
      <w:r>
        <w:rPr>
          <w:b/>
          <w:bCs/>
          <w:lang w:val="it-IT"/>
        </w:rPr>
        <w:t xml:space="preserve">Applicazione delle Leggi</w:t>
      </w:r>
      <w:r>
        <w:rPr>
          <w:lang w:val="it-IT"/>
        </w:rPr>
        <w:t xml:space="preserve">:</w:t>
      </w:r>
    </w:p>
    <w:p>
      <w:pPr>
        <w:pStyle w:val="ListParagraph"/>
        <w:rPr>
          <w:lang w:val="it-IT"/>
        </w:rPr>
        <w:numPr>
          <w:ilvl w:val="1"/>
          <w:numId w:val="11"/>
        </w:numPr>
      </w:pPr>
      <w:r>
        <w:rPr>
          <w:lang w:val="it-IT"/>
        </w:rPr>
        <w:t xml:space="preserve">L'applicazione della L. 160/2019 è pertinente e correttamente interpretata nel contesto del caso. Tuttavia, la mancanza di dettagli specifici sui precedenti giurisprudenziali citati potrebbe indebolire l'argomentazione se non supportata da ulteriori ricerche.</w:t>
      </w:r>
    </w:p>
    <w:p>
      <w:pPr>
        <w:pStyle w:val="ListParagraph"/>
        <w:rPr>
          <w:lang w:val="it-IT"/>
        </w:rPr>
        <w:numPr>
          <w:ilvl w:val="1"/>
          <w:numId w:val="11"/>
        </w:numPr>
      </w:pPr>
      <w:r>
        <w:rPr>
          <w:lang w:val="it-IT"/>
        </w:rPr>
        <w:t xml:space="preserve">L'interpretazione del presupposto del CUP lato pubblicitario, come definito dall'art. 1, comma 819, L. 160/2019, è corretta. Tuttavia, la controparte potrebbe contestare l'applicazione di questa norma se i mezzi pubblicitari di BBT non fossero chiaramente percepibili come tali.</w:t>
      </w:r>
    </w:p>
    <w:p>
      <w:pPr>
        <w:pStyle w:val="ListParagraph"/>
        <w:rPr>
          <w:lang w:val="it-IT"/>
        </w:rPr>
        <w:numPr>
          <w:ilvl w:val="0"/>
          <w:numId w:val="11"/>
        </w:numPr>
      </w:pPr>
      <w:r>
        <w:rPr>
          <w:b/>
          <w:bCs/>
          <w:lang w:val="it-IT"/>
        </w:rPr>
        <w:t xml:space="preserve">Coerenza Contestuale dei Precedenti</w:t>
      </w:r>
      <w:r>
        <w:rPr>
          <w:lang w:val="it-IT"/>
        </w:rPr>
        <w:t xml:space="preserve">:</w:t>
      </w:r>
    </w:p>
    <w:p>
      <w:pPr>
        <w:pStyle w:val="ListParagraph"/>
        <w:rPr>
          <w:lang w:val="it-IT"/>
        </w:rPr>
        <w:numPr>
          <w:ilvl w:val="1"/>
          <w:numId w:val="11"/>
        </w:numPr>
      </w:pPr>
      <w:r>
        <w:rPr>
          <w:lang w:val="it-IT"/>
        </w:rPr>
        <w:t xml:space="preserve">I precedenti giurisprudenziali citati, come Cass. civ. n. 17852/2004 e Cass. civ. n. 31344 del 24/10/2022, sono utilizzati per supportare l'argomentazione che le società pubbliche non sono esenti dalle regole generali delle società di capitali e che i mezzi pubblicitari in luoghi pubblici possono essere soggetti a prelievo tributario. Tuttavia, la mancanza di dettagli specifici su queste sentenze potrebbe indebolire l'argomentazione.</w:t>
      </w:r>
    </w:p>
    <w:p>
      <w:pPr>
        <w:pStyle w:val="ListParagraph"/>
        <w:rPr>
          <w:lang w:val="it-IT"/>
        </w:rPr>
        <w:numPr>
          <w:ilvl w:val="1"/>
          <w:numId w:val="11"/>
        </w:numPr>
      </w:pPr>
      <w:r>
        <w:rPr>
          <w:lang w:val="it-IT"/>
        </w:rPr>
        <w:t xml:space="preserve">È essenziale verificare che i principi giuridici dei precedenti citati si applichino logicamente ai fatti del caso. La mancanza di dettagli specifici rende difficile valutare la coerenza contestuale.</w:t>
      </w:r>
    </w:p>
    <w:p>
      <w:pPr>
        <w:pStyle w:val="Heading4"/>
        <w:rPr>
          <w:lang w:val="it-IT"/>
        </w:rPr>
      </w:pPr>
      <w:r>
        <w:rPr>
          <w:lang w:val="it-IT"/>
        </w:rPr>
        <w:t xml:space="preserve">Interpretazioni Errate o Fuori Contesto delle Leggi o dei Precedenti</w:t>
      </w:r>
    </w:p>
    <w:p>
      <w:pPr>
        <w:pStyle w:val="ListParagraph"/>
        <w:rPr>
          <w:lang w:val="it-IT"/>
        </w:rPr>
        <w:numPr>
          <w:ilvl w:val="0"/>
          <w:numId w:val="12"/>
        </w:numPr>
      </w:pPr>
      <w:r>
        <w:rPr>
          <w:lang w:val="it-IT"/>
        </w:rPr>
        <w:t xml:space="preserve">Non sono state identificate interpretazioni chiaramente errate delle leggi citate. Tuttavia, la mancanza di dettagli specifici sui precedenti giurisprudenziali potrebbe indicare un uso potenzialmente fuori contesto se non supportato da ulteriori ricerche.</w:t>
      </w:r>
    </w:p>
    <w:p>
      <w:pPr>
        <w:pStyle w:val="Heading4"/>
        <w:rPr>
          <w:lang w:val="it-IT"/>
        </w:rPr>
      </w:pPr>
      <w:r>
        <w:rPr>
          <w:lang w:val="it-IT"/>
        </w:rPr>
        <w:t xml:space="preserve">Vulnerabilità Principali nell'Argomentazione</w:t>
      </w:r>
    </w:p>
    <w:p>
      <w:pPr>
        <w:pStyle w:val="ListParagraph"/>
        <w:rPr>
          <w:lang w:val="it-IT"/>
        </w:rPr>
        <w:numPr>
          <w:ilvl w:val="0"/>
          <w:numId w:val="13"/>
        </w:numPr>
      </w:pPr>
      <w:r>
        <w:rPr>
          <w:b/>
          <w:bCs/>
          <w:lang w:val="it-IT"/>
        </w:rPr>
        <w:t xml:space="preserve">Mancanza di Dettagli sui Precedenti Giurisprudenziali</w:t>
      </w:r>
      <w:r>
        <w:rPr>
          <w:lang w:val="it-IT"/>
        </w:rPr>
        <w:t xml:space="preserve">: L'assenza di dettagli specifici sui precedenti citati potrebbe indebolire l'argomentazione se la controparte riesce a dimostrare che tali precedenti non si applicano direttamente al caso in esame.</w:t>
      </w:r>
    </w:p>
    <w:p>
      <w:pPr>
        <w:pStyle w:val="ListParagraph"/>
        <w:rPr>
          <w:lang w:val="it-IT"/>
        </w:rPr>
        <w:numPr>
          <w:ilvl w:val="0"/>
          <w:numId w:val="13"/>
        </w:numPr>
      </w:pPr>
      <w:r>
        <w:rPr>
          <w:b/>
          <w:bCs/>
          <w:lang w:val="it-IT"/>
        </w:rPr>
        <w:t xml:space="preserve">Interpretazione del Presupposto del CUP</w:t>
      </w:r>
      <w:r>
        <w:rPr>
          <w:lang w:val="it-IT"/>
        </w:rPr>
        <w:t xml:space="preserve">: La controparte potrebbe contestare l'interpretazione del presupposto del CUP, sostenendo che i mezzi pubblicitari di BBT non rientrano nella definizione di pubblicità rilevante ai fini del CUP.</w:t>
      </w:r>
    </w:p>
    <w:p>
      <w:pPr>
        <w:pStyle w:val="ListParagraph"/>
        <w:rPr>
          <w:lang w:val="it-IT"/>
        </w:rPr>
        <w:numPr>
          <w:ilvl w:val="0"/>
          <w:numId w:val="13"/>
        </w:numPr>
      </w:pPr>
      <w:r>
        <w:rPr>
          <w:b/>
          <w:bCs/>
          <w:lang w:val="it-IT"/>
        </w:rPr>
        <w:t xml:space="preserve">Esenzione per Società di Diritto Pubblico</w:t>
      </w:r>
      <w:r>
        <w:rPr>
          <w:lang w:val="it-IT"/>
        </w:rPr>
        <w:t xml:space="preserve">: La controparte potrebbe argomentare che la natura giuridica di BBT, come società di diritto pubblico, dovrebbe esentare dall'applicazione del CUP, richiedendo un'analisi più approfondita della normativa e della giurisprudenza applicabile.</w:t>
      </w:r>
    </w:p>
    <w:p>
      <w:pPr>
        <w:rPr>
          <w:lang w:val="it-IT"/>
        </w:rPr>
      </w:pPr>
      <w:r>
        <w:rPr>
          <w:lang w:val="it-IT"/>
        </w:rPr>
        <w:t xml:space="preserve">In sintesi, mentre le argomentazioni di Abaco S.p.A. sono generalmente solide, vi sono aree che richiedono ulteriori approfondimenti per rafforzare la posizione legale e affrontare eventuali contestazioni della controparte.</w:t>
      </w:r>
    </w:p>
    <w:p>
      <w:pPr>
        <w:pStyle w:val="Heading3"/>
        <w:rPr>
          <w:lang w:val="it-IT"/>
        </w:rPr>
      </w:pPr>
      <w:r>
        <w:rPr>
          <w:lang w:val="it-IT"/>
        </w:rPr>
        <w:t xml:space="preserve">Conferma e Verifica dei Fatti</w:t>
      </w:r>
    </w:p>
    <w:p>
      <w:pPr>
        <w:pStyle w:val="Heading4"/>
        <w:rPr>
          <w:lang w:val="it-IT"/>
        </w:rPr>
      </w:pPr>
      <w:r>
        <w:rPr>
          <w:lang w:val="it-IT"/>
        </w:rPr>
        <w:t xml:space="preserve">Elenco dei fatti confermati come affidabili:</w:t>
      </w:r>
    </w:p>
    <w:p>
      <w:pPr>
        <w:pStyle w:val="ListParagraph"/>
        <w:rPr>
          <w:lang w:val="it-IT"/>
        </w:rPr>
        <w:numPr>
          <w:ilvl w:val="0"/>
          <w:numId w:val="14"/>
        </w:numPr>
      </w:pPr>
      <w:r>
        <w:rPr>
          <w:b/>
          <w:bCs/>
          <w:lang w:val="it-IT"/>
        </w:rPr>
        <w:t xml:space="preserve">Concessione e notifica dell'avviso</w:t>
      </w:r>
      <w:r>
        <w:rPr>
          <w:lang w:val="it-IT"/>
        </w:rPr>
        <w:t xml:space="preserve">:</w:t>
      </w:r>
    </w:p>
    <w:p>
      <w:pPr>
        <w:pStyle w:val="ListParagraph"/>
        <w:rPr>
          <w:lang w:val="it-IT"/>
        </w:rPr>
        <w:numPr>
          <w:ilvl w:val="1"/>
          <w:numId w:val="14"/>
        </w:numPr>
      </w:pPr>
      <w:r>
        <w:rPr>
          <w:lang w:val="it-IT"/>
        </w:rPr>
        <w:t xml:space="preserve">Abaco SpA è concessionaria per l'accertamento e riscossione del Canone Unico Patrimoniale (CUP) per il Comune di Campo di Trens.</w:t>
      </w:r>
    </w:p>
    <w:p>
      <w:pPr>
        <w:pStyle w:val="ListParagraph"/>
        <w:rPr>
          <w:lang w:val="it-IT"/>
        </w:rPr>
        <w:numPr>
          <w:ilvl w:val="1"/>
          <w:numId w:val="14"/>
        </w:numPr>
      </w:pPr>
      <w:r>
        <w:rPr>
          <w:lang w:val="it-IT"/>
        </w:rPr>
        <w:t xml:space="preserve">Il 20/02/2023, Abaco ha notificato a BBT un avviso di accertamento esecutivo per il CUP 2021, relativo a esposizioni pubblicitarie presso il cantiere Mules Tunnel Brennero.</w:t>
      </w:r>
    </w:p>
    <w:p>
      <w:pPr>
        <w:pStyle w:val="ListParagraph"/>
        <w:rPr>
          <w:lang w:val="it-IT"/>
        </w:rPr>
        <w:numPr>
          <w:ilvl w:val="1"/>
          <w:numId w:val="14"/>
        </w:numPr>
      </w:pPr>
      <w:r>
        <w:rPr>
          <w:lang w:val="it-IT"/>
        </w:rPr>
        <w:t xml:space="preserve">Prove: Avviso di accertamento esecutivo n. 12 del 16/02/2023 e documentazione fotografica dei mezzi pubblicitari.</w:t>
      </w:r>
    </w:p>
    <w:p>
      <w:pPr>
        <w:pStyle w:val="ListParagraph"/>
        <w:rPr>
          <w:lang w:val="it-IT"/>
        </w:rPr>
        <w:numPr>
          <w:ilvl w:val="0"/>
          <w:numId w:val="14"/>
        </w:numPr>
      </w:pPr>
      <w:r>
        <w:rPr>
          <w:b/>
          <w:bCs/>
          <w:lang w:val="it-IT"/>
        </w:rPr>
        <w:t xml:space="preserve">Normativa e presupposti del CUP</w:t>
      </w:r>
      <w:r>
        <w:rPr>
          <w:lang w:val="it-IT"/>
        </w:rPr>
        <w:t xml:space="preserve">:</w:t>
      </w:r>
    </w:p>
    <w:p>
      <w:pPr>
        <w:pStyle w:val="ListParagraph"/>
        <w:rPr>
          <w:lang w:val="it-IT"/>
        </w:rPr>
        <w:numPr>
          <w:ilvl w:val="1"/>
          <w:numId w:val="14"/>
        </w:numPr>
      </w:pPr>
      <w:r>
        <w:rPr>
          <w:lang w:val="it-IT"/>
        </w:rPr>
        <w:t xml:space="preserve">Il CUP sostituisce l'imposta comunale di pubblicità a partire dal 01/01/2021, con l'obiettivo di garantire un gettito invariato.</w:t>
      </w:r>
    </w:p>
    <w:p>
      <w:pPr>
        <w:pStyle w:val="ListParagraph"/>
        <w:rPr>
          <w:lang w:val="it-IT"/>
        </w:rPr>
        <w:numPr>
          <w:ilvl w:val="1"/>
          <w:numId w:val="14"/>
        </w:numPr>
      </w:pPr>
      <w:r>
        <w:rPr>
          <w:lang w:val="it-IT"/>
        </w:rPr>
        <w:t xml:space="preserve">Il presupposto del CUP lato pubblicitario include la diffusione di messaggi pubblicitari su aree pubbliche o visibili da luoghi pubblici.</w:t>
      </w:r>
    </w:p>
    <w:p>
      <w:pPr>
        <w:pStyle w:val="ListParagraph"/>
        <w:rPr>
          <w:lang w:val="it-IT"/>
        </w:rPr>
        <w:numPr>
          <w:ilvl w:val="1"/>
          <w:numId w:val="14"/>
        </w:numPr>
      </w:pPr>
      <w:r>
        <w:rPr>
          <w:lang w:val="it-IT"/>
        </w:rPr>
        <w:t xml:space="preserve">Prove: Art. 1, commi 816-836 e comma 819, L 160/2019.</w:t>
      </w:r>
    </w:p>
    <w:p>
      <w:pPr>
        <w:pStyle w:val="ListParagraph"/>
        <w:rPr>
          <w:lang w:val="it-IT"/>
        </w:rPr>
        <w:numPr>
          <w:ilvl w:val="0"/>
          <w:numId w:val="14"/>
        </w:numPr>
      </w:pPr>
      <w:r>
        <w:rPr>
          <w:b/>
          <w:bCs/>
          <w:lang w:val="it-IT"/>
        </w:rPr>
        <w:t xml:space="preserve">Contestazione di BBT</w:t>
      </w:r>
      <w:r>
        <w:rPr>
          <w:lang w:val="it-IT"/>
        </w:rPr>
        <w:t xml:space="preserve">:</w:t>
      </w:r>
    </w:p>
    <w:p>
      <w:pPr>
        <w:pStyle w:val="ListParagraph"/>
        <w:rPr>
          <w:lang w:val="it-IT"/>
        </w:rPr>
        <w:numPr>
          <w:ilvl w:val="1"/>
          <w:numId w:val="14"/>
        </w:numPr>
      </w:pPr>
      <w:r>
        <w:rPr>
          <w:lang w:val="it-IT"/>
        </w:rPr>
        <w:t xml:space="preserve">BBT ha presentato ricorso contro l'avviso di accertamento, sostenendo che il suo oggetto sociale e la sua composizione societaria escludono la soggettività passiva e il presupposto per il prelievo CUP.</w:t>
      </w:r>
    </w:p>
    <w:p>
      <w:pPr>
        <w:pStyle w:val="ListParagraph"/>
        <w:rPr>
          <w:lang w:val="it-IT"/>
        </w:rPr>
        <w:numPr>
          <w:ilvl w:val="1"/>
          <w:numId w:val="14"/>
        </w:numPr>
      </w:pPr>
      <w:r>
        <w:rPr>
          <w:lang w:val="it-IT"/>
        </w:rPr>
        <w:t xml:space="preserve">Prove: Notifica Ricorso e decreto fissazione udienza.</w:t>
      </w:r>
    </w:p>
    <w:p>
      <w:pPr>
        <w:pStyle w:val="ListParagraph"/>
        <w:rPr>
          <w:lang w:val="it-IT"/>
        </w:rPr>
        <w:numPr>
          <w:ilvl w:val="0"/>
          <w:numId w:val="14"/>
        </w:numPr>
      </w:pPr>
      <w:r>
        <w:rPr>
          <w:b/>
          <w:bCs/>
          <w:lang w:val="it-IT"/>
        </w:rPr>
        <w:t xml:space="preserve">Argomentazione di Abaco SpA</w:t>
      </w:r>
      <w:r>
        <w:rPr>
          <w:lang w:val="it-IT"/>
        </w:rPr>
        <w:t xml:space="preserve">:</w:t>
      </w:r>
    </w:p>
    <w:p>
      <w:pPr>
        <w:pStyle w:val="ListParagraph"/>
        <w:rPr>
          <w:lang w:val="it-IT"/>
        </w:rPr>
        <w:numPr>
          <w:ilvl w:val="1"/>
          <w:numId w:val="14"/>
        </w:numPr>
      </w:pPr>
      <w:r>
        <w:rPr>
          <w:lang w:val="it-IT"/>
        </w:rPr>
        <w:t xml:space="preserve">Abaco SpA sostiene che i mezzi pubblicitari rientrano nel presupposto del CUP, essendo esposti in luogo pubblico e idonei a promuovere l'immagine della società.</w:t>
      </w:r>
    </w:p>
    <w:p>
      <w:pPr>
        <w:pStyle w:val="ListParagraph"/>
        <w:rPr>
          <w:lang w:val="it-IT"/>
        </w:rPr>
        <w:numPr>
          <w:ilvl w:val="1"/>
          <w:numId w:val="14"/>
        </w:numPr>
      </w:pPr>
      <w:r>
        <w:rPr>
          <w:lang w:val="it-IT"/>
        </w:rPr>
        <w:t xml:space="preserve">Prove: Documentazione fotografica mezzi pubblicitari accertati.</w:t>
      </w:r>
    </w:p>
    <w:p>
      <w:pPr>
        <w:pStyle w:val="ListParagraph"/>
        <w:rPr>
          <w:lang w:val="it-IT"/>
        </w:rPr>
        <w:numPr>
          <w:ilvl w:val="0"/>
          <w:numId w:val="14"/>
        </w:numPr>
      </w:pPr>
      <w:r>
        <w:rPr>
          <w:b/>
          <w:bCs/>
          <w:lang w:val="it-IT"/>
        </w:rPr>
        <w:t xml:space="preserve">Composizione societaria di BBT</w:t>
      </w:r>
      <w:r>
        <w:rPr>
          <w:lang w:val="it-IT"/>
        </w:rPr>
        <w:t xml:space="preserve">:</w:t>
      </w:r>
    </w:p>
    <w:p>
      <w:pPr>
        <w:pStyle w:val="ListParagraph"/>
        <w:rPr>
          <w:lang w:val="it-IT"/>
        </w:rPr>
        <w:numPr>
          <w:ilvl w:val="1"/>
          <w:numId w:val="14"/>
        </w:numPr>
      </w:pPr>
      <w:r>
        <w:rPr>
          <w:lang w:val="it-IT"/>
        </w:rPr>
        <w:t xml:space="preserve">Abaco SpA sostiene che la composizione societaria di BBT non esenta dal pagamento del CUP, in quanto non vi è esenzione prevista per società di diritto pubblico partecipate da enti pubblici.</w:t>
      </w:r>
    </w:p>
    <w:p>
      <w:pPr>
        <w:pStyle w:val="ListParagraph"/>
        <w:rPr>
          <w:lang w:val="it-IT"/>
        </w:rPr>
        <w:numPr>
          <w:ilvl w:val="1"/>
          <w:numId w:val="14"/>
        </w:numPr>
      </w:pPr>
      <w:r>
        <w:rPr>
          <w:lang w:val="it-IT"/>
        </w:rPr>
        <w:t xml:space="preserve">Prove: Statuto BBT.</w:t>
      </w:r>
    </w:p>
    <w:p>
      <w:pPr>
        <w:pStyle w:val="Heading4"/>
        <w:rPr>
          <w:lang w:val="it-IT"/>
        </w:rPr>
      </w:pPr>
      <w:r>
        <w:rPr>
          <w:lang w:val="it-IT"/>
        </w:rPr>
        <w:t xml:space="preserve">Elenco delle contraddizioni, lacune o discrepanze rilevate:</w:t>
      </w:r>
    </w:p>
    <w:p>
      <w:pPr>
        <w:pStyle w:val="ListParagraph"/>
        <w:rPr>
          <w:lang w:val="it-IT"/>
        </w:rPr>
        <w:numPr>
          <w:ilvl w:val="0"/>
          <w:numId w:val="15"/>
        </w:numPr>
      </w:pPr>
      <w:r>
        <w:rPr>
          <w:b/>
          <w:bCs/>
          <w:lang w:val="it-IT"/>
        </w:rPr>
        <w:t xml:space="preserve">Contraddizioni o lacune</w:t>
      </w:r>
      <w:r>
        <w:rPr>
          <w:lang w:val="it-IT"/>
        </w:rPr>
        <w:t xml:space="preserve">: Non sono state rilevate contraddizioni o lacune significative tra i fatti presentati nella memoria legale e le prove fornite. Tutti i fatti chiave sono supportati da documentazione adeguata e coerente con la normativa e la giurisprudenza citata.</w:t>
      </w:r>
    </w:p>
    <w:p>
      <w:pPr>
        <w:rPr>
          <w:lang w:val="it-IT"/>
        </w:rPr>
      </w:pPr>
      <w:r>
        <w:rPr>
          <w:lang w:val="it-IT"/>
        </w:rPr>
        <w:t xml:space="preserve">In sintesi, i fatti presentati nella memoria legale sono accurati e supportati dalle prove disponibili, senza rilevare discrepanze significative.</w:t>
      </w:r>
    </w:p>
    <w:p>
      <w:pPr>
        <w:pStyle w:val="Heading3"/>
        <w:rPr>
          <w:lang w:val="it-IT"/>
        </w:rPr>
      </w:pPr>
      <w:r>
        <w:rPr>
          <w:lang w:val="it-IT"/>
        </w:rPr>
        <w:t xml:space="preserve">Suggerimenti per Prove Aggiuntive</w:t>
      </w:r>
    </w:p>
    <w:p>
      <w:pPr>
        <w:rPr>
          <w:lang w:val="it-IT"/>
        </w:rPr>
      </w:pPr>
      <w:r>
        <w:rPr>
          <w:lang w:val="it-IT"/>
        </w:rPr>
        <w:t xml:space="preserve">Per rafforzare o confutare i fatti presentati nella memoria legale, è importante identificare eventuali punti deboli nelle prove esistenti e suggerire prove aggiuntive che possano migliorare la robustezza della narrazione fattuale del caso. Di seguito sono elencati i suggerimenti per documenti o fonti aggiuntive e i fatti che potrebbero essere migliorati con prove aggiuntive:</w:t>
      </w:r>
    </w:p>
    <w:p>
      <w:pPr>
        <w:pStyle w:val="Heading4"/>
        <w:rPr>
          <w:lang w:val="it-IT"/>
        </w:rPr>
      </w:pPr>
      <w:r>
        <w:rPr>
          <w:lang w:val="it-IT"/>
        </w:rPr>
        <w:t xml:space="preserve">Punti deboli identificati:</w:t>
      </w:r>
    </w:p>
    <w:p>
      <w:pPr>
        <w:pStyle w:val="ListParagraph"/>
        <w:rPr>
          <w:lang w:val="it-IT"/>
        </w:rPr>
        <w:numPr>
          <w:ilvl w:val="0"/>
          <w:numId w:val="16"/>
        </w:numPr>
      </w:pPr>
      <w:r>
        <w:rPr>
          <w:b/>
          <w:bCs/>
          <w:lang w:val="it-IT"/>
        </w:rPr>
        <w:t xml:space="preserve">Documentazione fotografica dei mezzi pubblicitari</w:t>
      </w:r>
      <w:r>
        <w:rPr>
          <w:lang w:val="it-IT"/>
        </w:rPr>
        <w:t xml:space="preserve">: La documentazione fotografica esistente potrebbe non essere sufficiente a dimostrare la natura pubblicitaria dei mezzi. Potrebbe essere necessario un ulteriore approfondimento per chiarire se i mezzi pubblicitari hanno effettivamente una funzione pubblicitaria o se servono solo per scopi di sicurezza.</w:t>
      </w:r>
    </w:p>
    <w:p>
      <w:pPr>
        <w:pStyle w:val="ListParagraph"/>
        <w:rPr>
          <w:lang w:val="it-IT"/>
        </w:rPr>
        <w:numPr>
          <w:ilvl w:val="0"/>
          <w:numId w:val="16"/>
        </w:numPr>
      </w:pPr>
      <w:r>
        <w:rPr>
          <w:b/>
          <w:bCs/>
          <w:lang w:val="it-IT"/>
        </w:rPr>
        <w:t xml:space="preserve">Composizione societaria e oggetto sociale di BBT</w:t>
      </w:r>
      <w:r>
        <w:rPr>
          <w:lang w:val="it-IT"/>
        </w:rPr>
        <w:t xml:space="preserve">: La semplice affermazione che la composizione societaria e l'oggetto sociale escludano la soggettività passiva potrebbe non essere sufficiente senza un'analisi dettagliata delle attività svolte da BBT e di come queste si relazionano con il CUP.</w:t>
      </w:r>
    </w:p>
    <w:p>
      <w:pPr>
        <w:pStyle w:val="Heading4"/>
        <w:rPr>
          <w:lang w:val="it-IT"/>
        </w:rPr>
      </w:pPr>
      <w:r>
        <w:rPr>
          <w:lang w:val="it-IT"/>
        </w:rPr>
        <w:t xml:space="preserve">Proposte di prove aggiuntive:</w:t>
      </w:r>
    </w:p>
    <w:p>
      <w:pPr>
        <w:pStyle w:val="ListParagraph"/>
        <w:rPr>
          <w:lang w:val="it-IT"/>
        </w:rPr>
        <w:numPr>
          <w:ilvl w:val="0"/>
          <w:numId w:val="17"/>
        </w:numPr>
      </w:pPr>
      <w:r>
        <w:rPr>
          <w:b/>
          <w:bCs/>
          <w:lang w:val="it-IT"/>
        </w:rPr>
        <w:t xml:space="preserve">Relazione di un esperto pubblicitario</w:t>
      </w:r>
      <w:r>
        <w:rPr>
          <w:lang w:val="it-IT"/>
        </w:rPr>
        <w:t xml:space="preserve">:</w:t>
      </w:r>
    </w:p>
    <w:p>
      <w:pPr>
        <w:pStyle w:val="ListParagraph"/>
        <w:rPr>
          <w:lang w:val="it-IT"/>
        </w:rPr>
        <w:numPr>
          <w:ilvl w:val="1"/>
          <w:numId w:val="17"/>
        </w:numPr>
      </w:pPr>
      <w:r>
        <w:rPr>
          <w:lang w:val="it-IT"/>
        </w:rPr>
        <w:t xml:space="preserve">Un esperto potrebbe fornire una relazione che analizzi la natura dei mezzi pubblicitari utilizzati da BBT, determinando se effettivamente promuovono l'immagine della società o se sono puramente funzionali.</w:t>
      </w:r>
    </w:p>
    <w:p>
      <w:pPr>
        <w:pStyle w:val="ListParagraph"/>
        <w:rPr>
          <w:lang w:val="it-IT"/>
        </w:rPr>
        <w:numPr>
          <w:ilvl w:val="0"/>
          <w:numId w:val="17"/>
        </w:numPr>
      </w:pPr>
      <w:r>
        <w:rPr>
          <w:b/>
          <w:bCs/>
          <w:lang w:val="it-IT"/>
        </w:rPr>
        <w:t xml:space="preserve">Analisi dettagliata delle attività di BBT</w:t>
      </w:r>
      <w:r>
        <w:rPr>
          <w:lang w:val="it-IT"/>
        </w:rPr>
        <w:t xml:space="preserve">:</w:t>
      </w:r>
    </w:p>
    <w:p>
      <w:pPr>
        <w:pStyle w:val="ListParagraph"/>
        <w:rPr>
          <w:lang w:val="it-IT"/>
        </w:rPr>
        <w:numPr>
          <w:ilvl w:val="1"/>
          <w:numId w:val="17"/>
        </w:numPr>
      </w:pPr>
      <w:r>
        <w:rPr>
          <w:lang w:val="it-IT"/>
        </w:rPr>
        <w:t xml:space="preserve">Un documento che descriva in dettaglio le attività svolte da BBT e come queste si relazionano con il CUP potrebbe chiarire se l'oggetto sociale esclude effettivamente la soggettività passiva.</w:t>
      </w:r>
    </w:p>
    <w:p>
      <w:pPr>
        <w:pStyle w:val="ListParagraph"/>
        <w:rPr>
          <w:lang w:val="it-IT"/>
        </w:rPr>
        <w:numPr>
          <w:ilvl w:val="0"/>
          <w:numId w:val="17"/>
        </w:numPr>
      </w:pPr>
      <w:r>
        <w:rPr>
          <w:b/>
          <w:bCs/>
          <w:lang w:val="it-IT"/>
        </w:rPr>
        <w:t xml:space="preserve">Testimonianza di un rappresentante del Comune di Campo di Trens</w:t>
      </w:r>
      <w:r>
        <w:rPr>
          <w:lang w:val="it-IT"/>
        </w:rPr>
        <w:t xml:space="preserve">:</w:t>
      </w:r>
    </w:p>
    <w:p>
      <w:pPr>
        <w:pStyle w:val="ListParagraph"/>
        <w:rPr>
          <w:lang w:val="it-IT"/>
        </w:rPr>
        <w:numPr>
          <w:ilvl w:val="1"/>
          <w:numId w:val="17"/>
        </w:numPr>
      </w:pPr>
      <w:r>
        <w:rPr>
          <w:lang w:val="it-IT"/>
        </w:rPr>
        <w:t xml:space="preserve">Una testimonianza che chiarisca l'intento e l'applicazione del regolamento CUP nel contesto delle attività di BBT potrebbe fornire ulteriore chiarezza.</w:t>
      </w:r>
    </w:p>
    <w:p>
      <w:pPr>
        <w:pStyle w:val="ListParagraph"/>
        <w:rPr>
          <w:lang w:val="it-IT"/>
        </w:rPr>
        <w:numPr>
          <w:ilvl w:val="0"/>
          <w:numId w:val="17"/>
        </w:numPr>
      </w:pPr>
      <w:r>
        <w:rPr>
          <w:b/>
          <w:bCs/>
          <w:lang w:val="it-IT"/>
        </w:rPr>
        <w:t xml:space="preserve">Documentazione storica delle esenzioni CUP</w:t>
      </w:r>
      <w:r>
        <w:rPr>
          <w:lang w:val="it-IT"/>
        </w:rPr>
        <w:t xml:space="preserve">:</w:t>
      </w:r>
    </w:p>
    <w:p>
      <w:pPr>
        <w:pStyle w:val="ListParagraph"/>
        <w:rPr>
          <w:lang w:val="it-IT"/>
        </w:rPr>
        <w:numPr>
          <w:ilvl w:val="1"/>
          <w:numId w:val="17"/>
        </w:numPr>
      </w:pPr>
      <w:r>
        <w:rPr>
          <w:lang w:val="it-IT"/>
        </w:rPr>
        <w:t xml:space="preserve">Un'analisi delle esenzioni storiche concesse dal Comune di Campo di Trens per il CUP potrebbe aiutare a determinare se BBT potrebbe essere esente.</w:t>
      </w:r>
    </w:p>
    <w:p>
      <w:pPr>
        <w:pStyle w:val="ListParagraph"/>
        <w:rPr>
          <w:lang w:val="it-IT"/>
        </w:rPr>
        <w:numPr>
          <w:ilvl w:val="0"/>
          <w:numId w:val="17"/>
        </w:numPr>
      </w:pPr>
      <w:r>
        <w:rPr>
          <w:b/>
          <w:bCs/>
          <w:lang w:val="it-IT"/>
        </w:rPr>
        <w:t xml:space="preserve">Giurisprudenza aggiuntiva</w:t>
      </w:r>
      <w:r>
        <w:rPr>
          <w:lang w:val="it-IT"/>
        </w:rPr>
        <w:t xml:space="preserve">:</w:t>
      </w:r>
    </w:p>
    <w:p>
      <w:pPr>
        <w:pStyle w:val="ListParagraph"/>
        <w:rPr>
          <w:lang w:val="it-IT"/>
        </w:rPr>
        <w:numPr>
          <w:ilvl w:val="1"/>
          <w:numId w:val="17"/>
        </w:numPr>
      </w:pPr>
      <w:r>
        <w:rPr>
          <w:lang w:val="it-IT"/>
        </w:rPr>
        <w:t xml:space="preserve">Ulteriori casi giurisprudenziali che trattano situazioni simili potrebbero fornire un precedente utile per sostenere o confutare le argomentazioni legali presentate.</w:t>
      </w:r>
    </w:p>
    <w:p>
      <w:pPr>
        <w:pStyle w:val="Heading4"/>
        <w:rPr>
          <w:lang w:val="it-IT"/>
        </w:rPr>
      </w:pPr>
      <w:r>
        <w:rPr>
          <w:lang w:val="it-IT"/>
        </w:rPr>
        <w:t xml:space="preserve">Fatti che potrebbero essere migliorati con prove aggiuntive:</w:t>
      </w:r>
    </w:p>
    <w:p>
      <w:pPr>
        <w:pStyle w:val="ListParagraph"/>
        <w:rPr>
          <w:lang w:val="it-IT"/>
        </w:rPr>
        <w:numPr>
          <w:ilvl w:val="0"/>
          <w:numId w:val="18"/>
        </w:numPr>
      </w:pPr>
      <w:r>
        <w:rPr>
          <w:b/>
          <w:bCs/>
          <w:lang w:val="it-IT"/>
        </w:rPr>
        <w:t xml:space="preserve">Natura pubblicitaria dei mezzi</w:t>
      </w:r>
      <w:r>
        <w:rPr>
          <w:lang w:val="it-IT"/>
        </w:rPr>
        <w:t xml:space="preserve">:</w:t>
      </w:r>
    </w:p>
    <w:p>
      <w:pPr>
        <w:pStyle w:val="ListParagraph"/>
        <w:rPr>
          <w:lang w:val="it-IT"/>
        </w:rPr>
        <w:numPr>
          <w:ilvl w:val="1"/>
          <w:numId w:val="18"/>
        </w:numPr>
      </w:pPr>
      <w:r>
        <w:rPr>
          <w:lang w:val="it-IT"/>
        </w:rPr>
        <w:t xml:space="preserve">La relazione di un esperto pubblicitario e la documentazione fotografica dettagliata potrebbero chiarire se i mezzi hanno una funzione pubblicitaria.</w:t>
      </w:r>
    </w:p>
    <w:p>
      <w:pPr>
        <w:pStyle w:val="ListParagraph"/>
        <w:rPr>
          <w:lang w:val="it-IT"/>
        </w:rPr>
        <w:numPr>
          <w:ilvl w:val="0"/>
          <w:numId w:val="18"/>
        </w:numPr>
      </w:pPr>
      <w:r>
        <w:rPr>
          <w:b/>
          <w:bCs/>
          <w:lang w:val="it-IT"/>
        </w:rPr>
        <w:t xml:space="preserve">Soggettività passiva di BBT</w:t>
      </w:r>
      <w:r>
        <w:rPr>
          <w:lang w:val="it-IT"/>
        </w:rPr>
        <w:t xml:space="preserve">:</w:t>
      </w:r>
    </w:p>
    <w:p>
      <w:pPr>
        <w:pStyle w:val="ListParagraph"/>
        <w:rPr>
          <w:lang w:val="it-IT"/>
        </w:rPr>
        <w:numPr>
          <w:ilvl w:val="1"/>
          <w:numId w:val="18"/>
        </w:numPr>
      </w:pPr>
      <w:r>
        <w:rPr>
          <w:lang w:val="it-IT"/>
        </w:rPr>
        <w:t xml:space="preserve">Un'analisi dettagliata delle attività di BBT e delle esenzioni storiche potrebbe chiarire se BBT è soggetto al CUP.</w:t>
      </w:r>
    </w:p>
    <w:p>
      <w:pPr>
        <w:pStyle w:val="ListParagraph"/>
        <w:rPr>
          <w:lang w:val="it-IT"/>
        </w:rPr>
        <w:numPr>
          <w:ilvl w:val="0"/>
          <w:numId w:val="18"/>
        </w:numPr>
      </w:pPr>
      <w:r>
        <w:rPr>
          <w:b/>
          <w:bCs/>
          <w:lang w:val="it-IT"/>
        </w:rPr>
        <w:t xml:space="preserve">Applicazione del regolamento CUP</w:t>
      </w:r>
      <w:r>
        <w:rPr>
          <w:lang w:val="it-IT"/>
        </w:rPr>
        <w:t xml:space="preserve">:</w:t>
      </w:r>
    </w:p>
    <w:p>
      <w:pPr>
        <w:pStyle w:val="ListParagraph"/>
        <w:rPr>
          <w:lang w:val="it-IT"/>
        </w:rPr>
        <w:numPr>
          <w:ilvl w:val="1"/>
          <w:numId w:val="18"/>
        </w:numPr>
      </w:pPr>
      <w:r>
        <w:rPr>
          <w:lang w:val="it-IT"/>
        </w:rPr>
        <w:t xml:space="preserve">La testimonianza di un rappresentante del Comune e ulteriori giurisprudenza potrebbero chiarire l'applicazione del regolamento CUP nel contesto specifico di BBT.</w:t>
      </w:r>
    </w:p>
    <w:p>
      <w:pPr>
        <w:rPr>
          <w:lang w:val="it-IT"/>
        </w:rPr>
      </w:pPr>
      <w:r>
        <w:rPr>
          <w:lang w:val="it-IT"/>
        </w:rPr>
        <w:t xml:space="preserve">Queste prove aggiuntive potrebbero fornire una base più solida per sostenere o confutare i fatti presentati nella memoria legale, migliorando la robustezza della narrazione fattuale del caso.</w:t>
      </w:r>
    </w:p>
    <w:p>
      <w:pPr>
        <w:pStyle w:val="Heading3"/>
        <w:rPr>
          <w:lang w:val="it-IT"/>
        </w:rPr>
      </w:pPr>
      <w:r>
        <w:rPr>
          <w:lang w:val="it-IT"/>
        </w:rPr>
        <w:t xml:space="preserve">Identificazione delle Vulnerabilità</w:t>
      </w:r>
    </w:p>
    <w:p>
      <w:pPr>
        <w:rPr>
          <w:lang w:val="it-IT"/>
        </w:rPr>
      </w:pPr>
      <w:r>
        <w:rPr>
          <w:lang w:val="it-IT"/>
        </w:rPr>
        <w:t xml:space="preserve">Dopo un'attenta analisi della memoria legale presentata da Abaco S.p.A., ecco un resoconto dettagliato delle vulnerabilità procedurali, logiche e fattuali identificate:</w:t>
      </w:r>
    </w:p>
    <w:p>
      <w:pPr>
        <w:pStyle w:val="Heading4"/>
        <w:rPr>
          <w:lang w:val="it-IT"/>
        </w:rPr>
      </w:pPr>
      <w:r>
        <w:rPr>
          <w:lang w:val="it-IT"/>
        </w:rPr>
        <w:t xml:space="preserve">Errori Procedurali</w:t>
      </w:r>
    </w:p>
    <w:p>
      <w:pPr>
        <w:pStyle w:val="ListParagraph"/>
        <w:rPr>
          <w:lang w:val="it-IT"/>
        </w:rPr>
        <w:numPr>
          <w:ilvl w:val="0"/>
          <w:numId w:val="19"/>
        </w:numPr>
      </w:pPr>
      <w:r>
        <w:rPr>
          <w:b/>
          <w:bCs/>
          <w:lang w:val="it-IT"/>
        </w:rPr>
        <w:t xml:space="preserve">Mancanza di Dettagli sui Precedenti Giurisprudenziali</w:t>
      </w:r>
      <w:r>
        <w:rPr>
          <w:lang w:val="it-IT"/>
        </w:rPr>
        <w:t xml:space="preserve">: La memoria cita precedenti giurisprudenziali senza fornire dettagli specifici sulle sentenze. Questo potrebbe rappresentare un errore procedurale se tali dettagli sono richiesti per una corretta valutazione del caso.</w:t>
      </w:r>
    </w:p>
    <w:p>
      <w:pPr>
        <w:pStyle w:val="ListParagraph"/>
        <w:rPr>
          <w:lang w:val="it-IT"/>
        </w:rPr>
        <w:numPr>
          <w:ilvl w:val="0"/>
          <w:numId w:val="19"/>
        </w:numPr>
      </w:pPr>
      <w:r>
        <w:rPr>
          <w:b/>
          <w:bCs/>
          <w:lang w:val="it-IT"/>
        </w:rPr>
        <w:t xml:space="preserve">Possibile Incompletezza Documentale</w:t>
      </w:r>
      <w:r>
        <w:rPr>
          <w:lang w:val="it-IT"/>
        </w:rPr>
        <w:t xml:space="preserve">: Non è chiaro se tutte le prove necessarie, come la documentazione fotografica completa e le analisi dettagliate delle attività di BBT, siano state presentate. Questo potrebbe costituire un errore procedurale se tali documenti sono essenziali per il caso.</w:t>
      </w:r>
    </w:p>
    <w:p>
      <w:pPr>
        <w:pStyle w:val="Heading4"/>
        <w:rPr>
          <w:lang w:val="it-IT"/>
        </w:rPr>
      </w:pPr>
      <w:r>
        <w:rPr>
          <w:lang w:val="it-IT"/>
        </w:rPr>
        <w:t xml:space="preserve">Debolezze Logiche, Ambiguità e Contraddizioni</w:t>
      </w:r>
    </w:p>
    <w:p>
      <w:pPr>
        <w:pStyle w:val="ListParagraph"/>
        <w:rPr>
          <w:lang w:val="it-IT"/>
        </w:rPr>
        <w:numPr>
          <w:ilvl w:val="0"/>
          <w:numId w:val="20"/>
        </w:numPr>
      </w:pPr>
      <w:r>
        <w:rPr>
          <w:b/>
          <w:bCs/>
          <w:lang w:val="it-IT"/>
        </w:rPr>
        <w:t xml:space="preserve">Interpretazione del Presupposto del CUP</w:t>
      </w:r>
      <w:r>
        <w:rPr>
          <w:lang w:val="it-IT"/>
        </w:rPr>
        <w:t xml:space="preserve">: L'interpretazione del presupposto del CUP lato pubblicitario potrebbe essere contestata. Se i mezzi pubblicitari di BBT non sono chiaramente percepibili come tali, l'argomentazione di Abaco potrebbe risultare debole.</w:t>
      </w:r>
    </w:p>
    <w:p>
      <w:pPr>
        <w:pStyle w:val="ListParagraph"/>
        <w:rPr>
          <w:lang w:val="it-IT"/>
        </w:rPr>
        <w:numPr>
          <w:ilvl w:val="0"/>
          <w:numId w:val="20"/>
        </w:numPr>
      </w:pPr>
      <w:r>
        <w:rPr>
          <w:b/>
          <w:bCs/>
          <w:lang w:val="it-IT"/>
        </w:rPr>
        <w:t xml:space="preserve">Esenzione per Società di Diritto Pubblico</w:t>
      </w:r>
      <w:r>
        <w:rPr>
          <w:lang w:val="it-IT"/>
        </w:rPr>
        <w:t xml:space="preserve">: L'argomentazione di Abaco che non esiste esenzione per società di diritto pubblico potrebbe essere contestata se la controparte dimostra che la natura giuridica di BBT dovrebbe esentare dall'applicazione del CUP.</w:t>
      </w:r>
    </w:p>
    <w:p>
      <w:pPr>
        <w:pStyle w:val="ListParagraph"/>
        <w:rPr>
          <w:lang w:val="it-IT"/>
        </w:rPr>
        <w:numPr>
          <w:ilvl w:val="0"/>
          <w:numId w:val="20"/>
        </w:numPr>
      </w:pPr>
      <w:r>
        <w:rPr>
          <w:b/>
          <w:bCs/>
          <w:lang w:val="it-IT"/>
        </w:rPr>
        <w:t xml:space="preserve">Mancanza di Dettagli sui Precedenti</w:t>
      </w:r>
      <w:r>
        <w:rPr>
          <w:lang w:val="it-IT"/>
        </w:rPr>
        <w:t xml:space="preserve">: L'uso di precedenti giurisprudenziali senza dettagli specifici potrebbe indebolire l'argomentazione, specialmente se la controparte riesce a dimostrare che tali precedenti non si applicano direttamente al caso in esame.</w:t>
      </w:r>
    </w:p>
    <w:p>
      <w:pPr>
        <w:pStyle w:val="Heading4"/>
        <w:rPr>
          <w:lang w:val="it-IT"/>
        </w:rPr>
      </w:pPr>
      <w:r>
        <w:rPr>
          <w:lang w:val="it-IT"/>
        </w:rPr>
        <w:t xml:space="preserve">Incoerenze Fattuali</w:t>
      </w:r>
    </w:p>
    <w:p>
      <w:pPr>
        <w:pStyle w:val="ListParagraph"/>
        <w:rPr>
          <w:lang w:val="it-IT"/>
        </w:rPr>
        <w:numPr>
          <w:ilvl w:val="0"/>
          <w:numId w:val="21"/>
        </w:numPr>
      </w:pPr>
      <w:r>
        <w:rPr>
          <w:b/>
          <w:bCs/>
          <w:lang w:val="it-IT"/>
        </w:rPr>
        <w:t xml:space="preserve">Natura Pubblicitaria dei Mezzi</w:t>
      </w:r>
      <w:r>
        <w:rPr>
          <w:lang w:val="it-IT"/>
        </w:rPr>
        <w:t xml:space="preserve">: La documentazione fotografica potrebbe non essere sufficiente a dimostrare la natura pubblicitaria dei mezzi. Se i mezzi servono solo per scopi di sicurezza, l'argomentazione di Abaco potrebbe essere incoerente con i fatti.</w:t>
      </w:r>
    </w:p>
    <w:p>
      <w:pPr>
        <w:pStyle w:val="ListParagraph"/>
        <w:rPr>
          <w:lang w:val="it-IT"/>
        </w:rPr>
        <w:numPr>
          <w:ilvl w:val="0"/>
          <w:numId w:val="21"/>
        </w:numPr>
      </w:pPr>
      <w:r>
        <w:rPr>
          <w:b/>
          <w:bCs/>
          <w:lang w:val="it-IT"/>
        </w:rPr>
        <w:t xml:space="preserve">Composizione Societaria e Oggetto Sociale di BBT</w:t>
      </w:r>
      <w:r>
        <w:rPr>
          <w:lang w:val="it-IT"/>
        </w:rPr>
        <w:t xml:space="preserve">: La semplice affermazione che la composizione societaria e l'oggetto sociale escludano la soggettività passiva potrebbe non essere sufficiente senza un'analisi dettagliata delle attività svolte da BBT.</w:t>
      </w:r>
    </w:p>
    <w:p>
      <w:pPr>
        <w:pStyle w:val="Heading4"/>
        <w:rPr>
          <w:lang w:val="it-IT"/>
        </w:rPr>
      </w:pPr>
      <w:r>
        <w:rPr>
          <w:lang w:val="it-IT"/>
        </w:rPr>
        <w:t xml:space="preserve">Suggerimenti per Migliorare la Robustezza della Narrazione Fattuale</w:t>
      </w:r>
    </w:p>
    <w:p>
      <w:pPr>
        <w:pStyle w:val="ListParagraph"/>
        <w:rPr>
          <w:lang w:val="it-IT"/>
        </w:rPr>
        <w:numPr>
          <w:ilvl w:val="0"/>
          <w:numId w:val="22"/>
        </w:numPr>
      </w:pPr>
      <w:r>
        <w:rPr>
          <w:b/>
          <w:bCs/>
          <w:lang w:val="it-IT"/>
        </w:rPr>
        <w:t xml:space="preserve">Relazione di un Esperto Pubblicitario</w:t>
      </w:r>
      <w:r>
        <w:rPr>
          <w:lang w:val="it-IT"/>
        </w:rPr>
        <w:t xml:space="preserve">: Potrebbe chiarire se i mezzi pubblicitari hanno effettivamente una funzione pubblicitaria.</w:t>
      </w:r>
    </w:p>
    <w:p>
      <w:pPr>
        <w:pStyle w:val="ListParagraph"/>
        <w:rPr>
          <w:lang w:val="it-IT"/>
        </w:rPr>
        <w:numPr>
          <w:ilvl w:val="0"/>
          <w:numId w:val="22"/>
        </w:numPr>
      </w:pPr>
      <w:r>
        <w:rPr>
          <w:b/>
          <w:bCs/>
          <w:lang w:val="it-IT"/>
        </w:rPr>
        <w:t xml:space="preserve">Analisi Dettagliata delle Attività di BBT</w:t>
      </w:r>
      <w:r>
        <w:rPr>
          <w:lang w:val="it-IT"/>
        </w:rPr>
        <w:t xml:space="preserve">: Potrebbe chiarire se l'oggetto sociale esclude effettivamente la soggettività passiva.</w:t>
      </w:r>
    </w:p>
    <w:p>
      <w:pPr>
        <w:pStyle w:val="ListParagraph"/>
        <w:rPr>
          <w:lang w:val="it-IT"/>
        </w:rPr>
        <w:numPr>
          <w:ilvl w:val="0"/>
          <w:numId w:val="22"/>
        </w:numPr>
      </w:pPr>
      <w:r>
        <w:rPr>
          <w:b/>
          <w:bCs/>
          <w:lang w:val="it-IT"/>
        </w:rPr>
        <w:t xml:space="preserve">Testimonianza di un Rappresentante del Comune</w:t>
      </w:r>
      <w:r>
        <w:rPr>
          <w:lang w:val="it-IT"/>
        </w:rPr>
        <w:t xml:space="preserve">: Potrebbe fornire ulteriore chiarezza sull'applicazione del regolamento CUP.</w:t>
      </w:r>
    </w:p>
    <w:p>
      <w:pPr>
        <w:pStyle w:val="ListParagraph"/>
        <w:rPr>
          <w:lang w:val="it-IT"/>
        </w:rPr>
        <w:numPr>
          <w:ilvl w:val="0"/>
          <w:numId w:val="22"/>
        </w:numPr>
      </w:pPr>
      <w:r>
        <w:rPr>
          <w:b/>
          <w:bCs/>
          <w:lang w:val="it-IT"/>
        </w:rPr>
        <w:t xml:space="preserve">Documentazione Storica delle Esenzioni CUP</w:t>
      </w:r>
      <w:r>
        <w:rPr>
          <w:lang w:val="it-IT"/>
        </w:rPr>
        <w:t xml:space="preserve">: Potrebbe aiutare a determinare se BBT potrebbe essere esente.</w:t>
      </w:r>
    </w:p>
    <w:p>
      <w:pPr>
        <w:rPr>
          <w:lang w:val="it-IT"/>
        </w:rPr>
      </w:pPr>
      <w:r>
        <w:rPr>
          <w:lang w:val="it-IT"/>
        </w:rPr>
        <w:t xml:space="preserve">In sintesi, mentre le argomentazioni di Abaco S.p.A. sono generalmente solide, vi sono aree che richiedono ulteriori approfondimenti e prove per rafforzare la posizione legale e affrontare eventuali contestazioni della controparte.</w:t>
      </w:r>
    </w:p>
    <w:p>
      <w:pPr>
        <w:pStyle w:val="Heading3"/>
        <w:rPr>
          <w:lang w:val="it-IT"/>
        </w:rPr>
      </w:pPr>
      <w:r>
        <w:rPr>
          <w:lang w:val="it-IT"/>
        </w:rPr>
        <w:t xml:space="preserve">Ricerca di Leggi e Precedenti Aggiuntivi</w:t>
      </w:r>
    </w:p>
    <w:p>
      <w:pPr>
        <w:rPr>
          <w:lang w:val="it-IT"/>
        </w:rPr>
      </w:pPr>
      <w:r>
        <w:rPr>
          <w:b/>
          <w:bCs/>
          <w:lang w:val="it-IT"/>
        </w:rPr>
        <w:t xml:space="preserve">Pensiero</w:t>
      </w:r>
    </w:p>
    <w:p>
      <w:pPr>
        <w:rPr>
          <w:lang w:val="it-IT"/>
        </w:rPr>
      </w:pPr>
      <w:r>
        <w:rPr>
          <w:lang w:val="it-IT"/>
        </w:rPr>
        <w:t xml:space="preserve">Per affrontare la verifica dell'applicazione delle leggi e dei precedenti giurisprudenziali citati nella memoria legale, è necessario esaminare se le leggi menzionate sono state correttamente applicate e se i precedenti giurisprudenziali sono pertinenti al caso in questione. Inoltre, è importante identificare eventuali errori o lacune nella presentazione delle leggi e dei precedenti. Procederò con l'utilizzo del LegalResearchSpecialist per ottenere informazioni dettagliate sui riferimenti legali e giurisprudenziali citati, al fine di valutare la loro pertinenza e correttezza.
Dopo aver ricevuto i risultati, valuterò se le informazioni ottenute sono sufficienti per identificare eventuali errori o lacune nell'applicazione delle leggi e dei precedenti giurisprudenziali. Se necessario, procederò con ulteriori ricerche per colmare eventuali lacune e rafforzare la posizione del mio team.</w:t>
      </w:r>
    </w:p>
    <w:p>
      <w:pPr>
        <w:rPr>
          <w:lang w:val="it-IT"/>
        </w:rPr>
      </w:pPr>
      <w:r>
        <w:rPr>
          <w:b/>
          <w:bCs/>
          <w:lang w:val="it-IT"/>
        </w:rPr>
        <w:t xml:space="preserve">Richiamo Strumenti</w:t>
      </w:r>
    </w:p>
    <w:p>
      <w:pPr>
        <w:rPr>
          <w:lang w:val="it-IT"/>
        </w:rPr>
      </w:pPr>
      <w:r>
        <w:rPr>
          <w:lang w:val="it-IT"/>
        </w:rPr>
        <w:t xml:space="preserve">1 strumenti chiamati</w:t>
      </w:r>
    </w:p>
    <w:p>
      <w:pPr>
        <w:rPr>
          <w:lang w:val="it-IT"/>
        </w:rPr>
      </w:pPr>
      <w:r>
        <w:rPr>
          <w:b/>
          <w:bCs/>
          <w:lang w:val="it-IT"/>
        </w:rPr>
        <w:t xml:space="preserve">Pensiero</w:t>
      </w:r>
    </w:p>
    <w:p>
      <w:pPr>
        <w:rPr>
          <w:lang w:val="it-IT"/>
        </w:rPr>
      </w:pPr>
      <w:r>
        <w:rPr>
          <w:lang w:val="it-IT"/>
        </w:rPr>
        <w:t xml:space="preserve">Sembra che ci sia stato un errore tecnico durante il tentativo di ottenere i risultati della ricerca legale. È importante ripetere l'operazione per assicurarsi di ottenere le informazioni necessarie per valutare correttamente l'applicazione delle leggi e dei precedenti giurisprudenziali. Procederò nuovamente con l'utilizzo del LegalResearchSpecialist, assicurandomi che i parametri siano correttamente formattati.</w:t>
      </w:r>
    </w:p>
    <w:p>
      <w:pPr>
        <w:rPr>
          <w:lang w:val="it-IT"/>
        </w:rPr>
      </w:pPr>
      <w:r>
        <w:rPr>
          <w:b/>
          <w:bCs/>
          <w:lang w:val="it-IT"/>
        </w:rPr>
        <w:t xml:space="preserve">Richiamo Strumenti</w:t>
      </w:r>
    </w:p>
    <w:p>
      <w:pPr>
        <w:rPr>
          <w:lang w:val="it-IT"/>
        </w:rPr>
      </w:pPr>
      <w:r>
        <w:rPr>
          <w:lang w:val="it-IT"/>
        </w:rPr>
        <w:t xml:space="preserve">1 strumenti chiamati</w:t>
      </w:r>
    </w:p>
    <w:p>
      <w:pPr>
        <w:rPr>
          <w:lang w:val="it-IT"/>
        </w:rPr>
      </w:pPr>
      <w:r>
        <w:rPr>
          <w:b/>
          <w:bCs/>
          <w:lang w:val="it-IT"/>
        </w:rPr>
        <w:t xml:space="preserve">Pensiero</w:t>
      </w:r>
    </w:p>
    <w:p>
      <w:pPr>
        <w:rPr>
          <w:lang w:val="it-IT"/>
        </w:rPr>
      </w:pPr>
      <w:r>
        <w:rPr>
          <w:lang w:val="it-IT"/>
        </w:rPr>
        <w:t xml:space="preserve">I risultati ottenuti indicano che non sono stati trovati dettagli specifici sui commi della legge citata e sui precedenti giurisprudenziali menzionati. Questo suggerisce che è necessario accedere a fonti giuridiche affidabili, come banche dati legali, per ottenere i testi completi delle leggi e delle sentenze. Tuttavia, posso fornire un'analisi preliminare basata sulle informazioni disponibili e suggerire ulteriori passi per rafforzare la posizione del mio team.</w:t>
      </w:r>
    </w:p>
    <w:p>
      <w:pPr>
        <w:rPr>
          <w:lang w:val="it-IT"/>
        </w:rPr>
      </w:pPr>
      <w:r>
        <w:rPr>
          <w:b/>
          <w:bCs/>
          <w:lang w:val="it-IT"/>
        </w:rPr>
        <w:t xml:space="preserve">Risposta</w:t>
      </w:r>
    </w:p>
    <w:p>
      <w:pPr>
        <w:pStyle w:val="ListParagraph"/>
        <w:rPr>
          <w:lang w:val="it-IT"/>
        </w:rPr>
        <w:numPr>
          <w:ilvl w:val="0"/>
          <w:numId w:val="23"/>
        </w:numPr>
      </w:pPr>
      <w:r>
        <w:rPr>
          <w:b/>
          <w:bCs/>
          <w:lang w:val="it-IT"/>
        </w:rPr>
        <w:t xml:space="preserve">Errori nell'applicazione delle leggi</w:t>
      </w:r>
      <w:r>
        <w:rPr>
          <w:lang w:val="it-IT"/>
        </w:rPr>
        <w:t xml:space="preserve">:</w:t>
      </w:r>
    </w:p>
    <w:p>
      <w:pPr>
        <w:pStyle w:val="ListParagraph"/>
        <w:rPr>
          <w:lang w:val="it-IT"/>
        </w:rPr>
        <w:numPr>
          <w:ilvl w:val="1"/>
          <w:numId w:val="23"/>
        </w:numPr>
      </w:pPr>
      <w:r>
        <w:rPr>
          <w:lang w:val="it-IT"/>
        </w:rPr>
        <w:t xml:space="preserve">Non sono stati identificati errori specifici nell'applicazione delle leggi citate, ma è necessario consultare il testo completo della L. 160/2019 per confermare la corretta applicazione dei commi 816-836 e 819.</w:t>
      </w:r>
    </w:p>
    <w:p>
      <w:pPr>
        <w:pStyle w:val="ListParagraph"/>
        <w:rPr>
          <w:lang w:val="it-IT"/>
        </w:rPr>
        <w:numPr>
          <w:ilvl w:val="0"/>
          <w:numId w:val="23"/>
        </w:numPr>
      </w:pPr>
      <w:r>
        <w:rPr>
          <w:b/>
          <w:bCs/>
          <w:lang w:val="it-IT"/>
        </w:rPr>
        <w:t xml:space="preserve">Precedenti giurisprudenziali pertinenti o non pertinenti</w:t>
      </w:r>
      <w:r>
        <w:rPr>
          <w:lang w:val="it-IT"/>
        </w:rPr>
        <w:t xml:space="preserve">:</w:t>
      </w:r>
    </w:p>
    <w:p>
      <w:pPr>
        <w:pStyle w:val="ListParagraph"/>
        <w:rPr>
          <w:lang w:val="it-IT"/>
        </w:rPr>
        <w:numPr>
          <w:ilvl w:val="1"/>
          <w:numId w:val="23"/>
        </w:numPr>
      </w:pPr>
      <w:r>
        <w:rPr>
          <w:b/>
          <w:bCs/>
          <w:lang w:val="it-IT"/>
        </w:rPr>
        <w:t xml:space="preserve">Cass. civ. n. 17852/2004</w:t>
      </w:r>
      <w:r>
        <w:rPr>
          <w:lang w:val="it-IT"/>
        </w:rPr>
        <w:t xml:space="preserve">: Dettagli mancanti; necessaria consultazione del testo completo.</w:t>
      </w:r>
    </w:p>
    <w:p>
      <w:pPr>
        <w:pStyle w:val="ListParagraph"/>
        <w:rPr>
          <w:lang w:val="it-IT"/>
        </w:rPr>
        <w:numPr>
          <w:ilvl w:val="1"/>
          <w:numId w:val="23"/>
        </w:numPr>
      </w:pPr>
      <w:r>
        <w:rPr>
          <w:b/>
          <w:bCs/>
          <w:lang w:val="it-IT"/>
        </w:rPr>
        <w:t xml:space="preserve">Cass. civ. n. 31344 del 24/10/2022</w:t>
      </w:r>
      <w:r>
        <w:rPr>
          <w:lang w:val="it-IT"/>
        </w:rPr>
        <w:t xml:space="preserve">: Dettagli mancanti; necessaria consultazione del testo completo.</w:t>
      </w:r>
    </w:p>
    <w:p>
      <w:pPr>
        <w:pStyle w:val="ListParagraph"/>
        <w:rPr>
          <w:lang w:val="it-IT"/>
        </w:rPr>
        <w:numPr>
          <w:ilvl w:val="1"/>
          <w:numId w:val="23"/>
        </w:numPr>
      </w:pPr>
      <w:r>
        <w:rPr>
          <w:b/>
          <w:bCs/>
          <w:lang w:val="it-IT"/>
        </w:rPr>
        <w:t xml:space="preserve">Cass. civ. 15449/2010</w:t>
      </w:r>
      <w:r>
        <w:rPr>
          <w:lang w:val="it-IT"/>
        </w:rPr>
        <w:t xml:space="preserve">: Dettagli mancanti; necessaria consultazione del testo completo.</w:t>
      </w:r>
    </w:p>
    <w:p>
      <w:pPr>
        <w:pStyle w:val="ListParagraph"/>
        <w:rPr>
          <w:lang w:val="it-IT"/>
        </w:rPr>
        <w:numPr>
          <w:ilvl w:val="1"/>
          <w:numId w:val="23"/>
        </w:numPr>
      </w:pPr>
      <w:r>
        <w:rPr>
          <w:b/>
          <w:bCs/>
          <w:lang w:val="it-IT"/>
        </w:rPr>
        <w:t xml:space="preserve">Cass. civ. Sez. V, 08/09/2008, n. 22572</w:t>
      </w:r>
      <w:r>
        <w:rPr>
          <w:lang w:val="it-IT"/>
        </w:rPr>
        <w:t xml:space="preserve">: Dettagli mancanti; necessaria consultazione del testo completo.</w:t>
      </w:r>
    </w:p>
    <w:p>
      <w:pPr>
        <w:pStyle w:val="ListParagraph"/>
        <w:rPr>
          <w:lang w:val="it-IT"/>
        </w:rPr>
        <w:numPr>
          <w:ilvl w:val="0"/>
          <w:numId w:val="23"/>
        </w:numPr>
      </w:pPr>
      <w:r>
        <w:rPr>
          <w:b/>
          <w:bCs/>
          <w:lang w:val="it-IT"/>
        </w:rPr>
        <w:t xml:space="preserve">Suggerimenti su leggi o precedenti aggiuntivi da considerare</w:t>
      </w:r>
      <w:r>
        <w:rPr>
          <w:lang w:val="it-IT"/>
        </w:rPr>
        <w:t xml:space="preserve">:</w:t>
      </w:r>
    </w:p>
    <w:p>
      <w:pPr>
        <w:pStyle w:val="ListParagraph"/>
        <w:rPr>
          <w:lang w:val="it-IT"/>
        </w:rPr>
        <w:numPr>
          <w:ilvl w:val="1"/>
          <w:numId w:val="23"/>
        </w:numPr>
      </w:pPr>
      <w:r>
        <w:rPr>
          <w:lang w:val="it-IT"/>
        </w:rPr>
        <w:t xml:space="preserve">Consultare ulteriori precedenti giurisprudenziali riguardanti il Canone Unico Patrimoniale e le esposizioni pubblicitarie.</w:t>
      </w:r>
    </w:p>
    <w:p>
      <w:pPr>
        <w:pStyle w:val="ListParagraph"/>
        <w:rPr>
          <w:lang w:val="it-IT"/>
        </w:rPr>
        <w:numPr>
          <w:ilvl w:val="1"/>
          <w:numId w:val="23"/>
        </w:numPr>
      </w:pPr>
      <w:r>
        <w:rPr>
          <w:lang w:val="it-IT"/>
        </w:rPr>
        <w:t xml:space="preserve">Accedere a banche dati legali per ottenere i testi completi delle leggi e delle sentenze citate per una valutazione accurata.</w:t>
      </w:r>
    </w:p>
    <w:p>
      <w:pPr>
        <w:pStyle w:val="ListParagraph"/>
        <w:rPr>
          <w:lang w:val="it-IT"/>
        </w:rPr>
        <w:numPr>
          <w:ilvl w:val="1"/>
          <w:numId w:val="23"/>
        </w:numPr>
      </w:pPr>
      <w:r>
        <w:rPr>
          <w:lang w:val="it-IT"/>
        </w:rPr>
        <w:t xml:space="preserve">Considerare l'analisi di ulteriori sentenze che trattano la soggettività passiva delle società di diritto pubblico in relazione a tributi simili al CUP.</w:t>
      </w:r>
    </w:p>
    <w:p>
      <w:pPr>
        <w:pStyle w:val="ListParagraph"/>
        <w:rPr>
          <w:lang w:val="it-IT"/>
        </w:rPr>
        <w:numPr>
          <w:ilvl w:val="0"/>
          <w:numId w:val="23"/>
        </w:numPr>
      </w:pPr>
      <w:r>
        <w:rPr>
          <w:b/>
          <w:bCs/>
          <w:lang w:val="it-IT"/>
        </w:rPr>
        <w:t xml:space="preserve">Errori nell'applicazione delle leggi</w:t>
      </w:r>
      <w:r>
        <w:rPr>
          <w:lang w:val="it-IT"/>
        </w:rPr>
        <w:t xml:space="preserve">:</w:t>
      </w:r>
    </w:p>
    <w:p>
      <w:pPr>
        <w:pStyle w:val="ListParagraph"/>
        <w:rPr>
          <w:lang w:val="it-IT"/>
        </w:rPr>
        <w:numPr>
          <w:ilvl w:val="1"/>
          <w:numId w:val="23"/>
        </w:numPr>
      </w:pPr>
      <w:r>
        <w:rPr>
          <w:lang w:val="it-IT"/>
        </w:rPr>
        <w:t xml:space="preserve">Non sono stati identificati errori specifici nell'applicazione delle leggi citate, ma è necessario consultare il testo completo della L. 160/2019 per confermare la corretta applicazione dei commi 816-836 e 819.</w:t>
      </w:r>
    </w:p>
    <w:p>
      <w:pPr>
        <w:pStyle w:val="ListParagraph"/>
        <w:rPr>
          <w:lang w:val="it-IT"/>
        </w:rPr>
        <w:numPr>
          <w:ilvl w:val="0"/>
          <w:numId w:val="23"/>
        </w:numPr>
      </w:pPr>
      <w:r>
        <w:rPr>
          <w:b/>
          <w:bCs/>
          <w:lang w:val="it-IT"/>
        </w:rPr>
        <w:t xml:space="preserve">Precedenti giurisprudenziali pertinenti o non pertinenti</w:t>
      </w:r>
      <w:r>
        <w:rPr>
          <w:lang w:val="it-IT"/>
        </w:rPr>
        <w:t xml:space="preserve">:</w:t>
      </w:r>
    </w:p>
    <w:p>
      <w:pPr>
        <w:pStyle w:val="ListParagraph"/>
        <w:rPr>
          <w:lang w:val="it-IT"/>
        </w:rPr>
        <w:numPr>
          <w:ilvl w:val="1"/>
          <w:numId w:val="23"/>
        </w:numPr>
      </w:pPr>
      <w:r>
        <w:rPr>
          <w:b/>
          <w:bCs/>
          <w:lang w:val="it-IT"/>
        </w:rPr>
        <w:t xml:space="preserve">Cass. civ. n. 17852/2004</w:t>
      </w:r>
      <w:r>
        <w:rPr>
          <w:lang w:val="it-IT"/>
        </w:rPr>
        <w:t xml:space="preserve">: Dettagli mancanti; necessaria consultazione del testo completo.</w:t>
      </w:r>
    </w:p>
    <w:p>
      <w:pPr>
        <w:pStyle w:val="ListParagraph"/>
        <w:rPr>
          <w:lang w:val="it-IT"/>
        </w:rPr>
        <w:numPr>
          <w:ilvl w:val="1"/>
          <w:numId w:val="23"/>
        </w:numPr>
      </w:pPr>
      <w:r>
        <w:rPr>
          <w:b/>
          <w:bCs/>
          <w:lang w:val="it-IT"/>
        </w:rPr>
        <w:t xml:space="preserve">Cass. civ. n. 31344 del 24/10/2022</w:t>
      </w:r>
      <w:r>
        <w:rPr>
          <w:lang w:val="it-IT"/>
        </w:rPr>
        <w:t xml:space="preserve">: Dettagli mancanti; necessaria consultazione del testo completo.</w:t>
      </w:r>
    </w:p>
    <w:p>
      <w:pPr>
        <w:pStyle w:val="ListParagraph"/>
        <w:rPr>
          <w:lang w:val="it-IT"/>
        </w:rPr>
        <w:numPr>
          <w:ilvl w:val="1"/>
          <w:numId w:val="23"/>
        </w:numPr>
      </w:pPr>
      <w:r>
        <w:rPr>
          <w:b/>
          <w:bCs/>
          <w:lang w:val="it-IT"/>
        </w:rPr>
        <w:t xml:space="preserve">Cass. civ. 15449/2010</w:t>
      </w:r>
      <w:r>
        <w:rPr>
          <w:lang w:val="it-IT"/>
        </w:rPr>
        <w:t xml:space="preserve">: Dettagli mancanti; necessaria consultazione del testo completo.</w:t>
      </w:r>
    </w:p>
    <w:p>
      <w:pPr>
        <w:pStyle w:val="ListParagraph"/>
        <w:rPr>
          <w:lang w:val="it-IT"/>
        </w:rPr>
        <w:numPr>
          <w:ilvl w:val="1"/>
          <w:numId w:val="23"/>
        </w:numPr>
      </w:pPr>
      <w:r>
        <w:rPr>
          <w:b/>
          <w:bCs/>
          <w:lang w:val="it-IT"/>
        </w:rPr>
        <w:t xml:space="preserve">Cass. civ. Sez. V, 08/09/2008, n. 22572</w:t>
      </w:r>
      <w:r>
        <w:rPr>
          <w:lang w:val="it-IT"/>
        </w:rPr>
        <w:t xml:space="preserve">: Dettagli mancanti; necessaria consultazione del testo completo.</w:t>
      </w:r>
    </w:p>
    <w:p>
      <w:pPr>
        <w:pStyle w:val="ListParagraph"/>
        <w:rPr>
          <w:lang w:val="it-IT"/>
        </w:rPr>
        <w:numPr>
          <w:ilvl w:val="0"/>
          <w:numId w:val="23"/>
        </w:numPr>
      </w:pPr>
      <w:r>
        <w:rPr>
          <w:b/>
          <w:bCs/>
          <w:lang w:val="it-IT"/>
        </w:rPr>
        <w:t xml:space="preserve">Suggerimenti su leggi o precedenti aggiuntivi da considerare</w:t>
      </w:r>
      <w:r>
        <w:rPr>
          <w:lang w:val="it-IT"/>
        </w:rPr>
        <w:t xml:space="preserve">:</w:t>
      </w:r>
    </w:p>
    <w:p>
      <w:pPr>
        <w:pStyle w:val="ListParagraph"/>
        <w:rPr>
          <w:lang w:val="it-IT"/>
        </w:rPr>
        <w:numPr>
          <w:ilvl w:val="1"/>
          <w:numId w:val="23"/>
        </w:numPr>
      </w:pPr>
      <w:r>
        <w:rPr>
          <w:lang w:val="it-IT"/>
        </w:rPr>
        <w:t xml:space="preserve">Consultare ulteriori precedenti giurisprudenziali riguardanti il Canone Unico Patrimoniale e le esposizioni pubblicitarie.</w:t>
      </w:r>
    </w:p>
    <w:p>
      <w:pPr>
        <w:pStyle w:val="ListParagraph"/>
        <w:rPr>
          <w:lang w:val="it-IT"/>
        </w:rPr>
        <w:numPr>
          <w:ilvl w:val="1"/>
          <w:numId w:val="23"/>
        </w:numPr>
      </w:pPr>
      <w:r>
        <w:rPr>
          <w:lang w:val="it-IT"/>
        </w:rPr>
        <w:t xml:space="preserve">Accedere a banche dati legali per ottenere i testi completi delle leggi e delle sentenze citate per una valutazione accurata.</w:t>
      </w:r>
    </w:p>
    <w:p>
      <w:pPr>
        <w:pStyle w:val="ListParagraph"/>
        <w:rPr>
          <w:lang w:val="it-IT"/>
        </w:rPr>
        <w:numPr>
          <w:ilvl w:val="1"/>
          <w:numId w:val="23"/>
        </w:numPr>
      </w:pPr>
      <w:r>
        <w:rPr>
          <w:lang w:val="it-IT"/>
        </w:rPr>
        <w:t xml:space="preserve">Considerare l'analisi di ulteriori sentenze che trattano la soggettività passiva delle società di diritto pubblico in relazione a tributi simili al CUP.</w:t>
      </w:r>
    </w:p>
  </w:body>
</w:document>
</file>

<file path=word/numbering.xml><?xml version="1.0" encoding="utf-8"?>
<w:numbering xmlns:w="http://schemas.openxmlformats.org/wordprocessingml/2006/main">
  <w:abstractNum w:abstractNumId="1">
    <w:multiLevelType w:val="hybridMultilevel"/>
    <w:lvl w:ilvl="0">
      <w:start w:val="1"/>
      <w:numFmt w:val="decimal"/>
      <w:lvlText w:val="%1."/>
      <w:lvlJc w:val="left"/>
      <w:pPr>
        <w:tabs>
          <w:tab w:val="num" w:pos="720"/>
        </w:tabs>
        <w:ind w:left="720" w:hanging="360"/>
      </w:pPr>
    </w:lvl>
  </w:abstractNum>
  <w:abstractNum w:abstractNumId="2">
    <w:multiLevelType w:val="hybridMultilevel"/>
    <w:lvl w:ilvl="0">
      <w:start w:val="1"/>
      <w:numFmt w:val="decimal"/>
      <w:lvlText w:val="%1."/>
      <w:lvlJc w:val="left"/>
      <w:pPr>
        <w:tabs>
          <w:tab w:val="num" w:pos="720"/>
        </w:tabs>
        <w:ind w:left="720" w:hanging="360"/>
      </w:pPr>
    </w:lvl>
  </w:abstractNum>
  <w:abstractNum w:abstractNumId="3">
    <w:multiLevelType w:val="hybridMultilevel"/>
    <w:lvl w:ilvl="0">
      <w:start w:val="1"/>
      <w:numFmt w:val="decimal"/>
      <w:lvlText w:val="%1."/>
      <w:lvlJc w:val="left"/>
      <w:pPr>
        <w:tabs>
          <w:tab w:val="num" w:pos="720"/>
        </w:tabs>
        <w:ind w:left="720" w:hanging="360"/>
      </w:pPr>
    </w:lvl>
  </w:abstractNum>
  <w:abstractNum w:abstractNumId="4">
    <w:multiLevelType w:val="multilevel"/>
    <w:lvl w:ilvl="0">
      <w:start w:val="1"/>
      <w:numFmt w:val="bullet"/>
      <w:lvlText w:val=""/>
      <w:lvlJc w:val="left"/>
      <w:pPr>
        <w:tabs>
          <w:tab w:val="num" w:pos="720"/>
        </w:tabs>
        <w:ind w:left="720" w:hanging="360"/>
      </w:pPr>
      <w:rPr>
        <w:rFonts w:hint="default" w:ascii="Symbol" w:hAnsi="Symbol"/>
        <w:sz w:val="20"/>
      </w:rPr>
    </w:lvl>
  </w:abstractNum>
  <w:abstractNum w:abstractNumId="5">
    <w:multiLevelType w:val="multilevel"/>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1">
      <w:start w:val="1"/>
      <w:numFmt w:val="bullet"/>
      <w:lvlText w:val="o"/>
      <w:lvlJc w:val="left"/>
      <w:pPr>
        <w:tabs>
          <w:tab w:val="num" w:pos="1440"/>
        </w:tabs>
        <w:ind w:left="1440" w:hanging="360"/>
      </w:pPr>
      <w:rPr>
        <w:rFonts w:hint="default" w:ascii="Courier New" w:hAnsi="Courier New"/>
        <w:sz w:val="20"/>
      </w:rPr>
    </w:lvl>
    <w:lvl w:ilvl="1">
      <w:start w:val="1"/>
      <w:numFmt w:val="bullet"/>
      <w:lvlText w:val="o"/>
      <w:lvlJc w:val="left"/>
      <w:pPr>
        <w:tabs>
          <w:tab w:val="num" w:pos="1440"/>
        </w:tabs>
        <w:ind w:left="1440" w:hanging="360"/>
      </w:pPr>
      <w:rPr>
        <w:rFonts w:hint="default" w:ascii="Courier New" w:hAnsi="Courier New"/>
        <w:sz w:val="20"/>
      </w:rPr>
    </w:lvl>
  </w:abstractNum>
  <w:abstractNum w:abstractNumId="6">
    <w:multiLevelType w:val="hybridMultilevel"/>
    <w:lvl w:ilvl="0">
      <w:start w:val="1"/>
      <w:numFmt w:val="decimal"/>
      <w:lvlText w:val="%1."/>
      <w:lvlJc w:val="left"/>
      <w:pPr>
        <w:tabs>
          <w:tab w:val="num" w:pos="720"/>
        </w:tabs>
        <w:ind w:left="720" w:hanging="360"/>
      </w:pPr>
    </w:lvl>
  </w:abstractNum>
  <w:abstractNum w:abstractNumId="7">
    <w:multiLevelType w:val="multilevel"/>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1">
      <w:start w:val="1"/>
      <w:numFmt w:val="bullet"/>
      <w:lvlText w:val="o"/>
      <w:lvlJc w:val="left"/>
      <w:pPr>
        <w:tabs>
          <w:tab w:val="num" w:pos="1440"/>
        </w:tabs>
        <w:ind w:left="1440" w:hanging="360"/>
      </w:pPr>
      <w:rPr>
        <w:rFonts w:hint="default" w:ascii="Courier New" w:hAnsi="Courier New"/>
        <w:sz w:val="20"/>
      </w:rPr>
    </w:lvl>
  </w:abstractNum>
  <w:abstractNum w:abstractNumId="8">
    <w:multiLevelType w:val="multilevel"/>
    <w:lvl w:ilvl="0">
      <w:start w:val="1"/>
      <w:numFmt w:val="bullet"/>
      <w:lvlText w:val=""/>
      <w:lvlJc w:val="left"/>
      <w:pPr>
        <w:tabs>
          <w:tab w:val="num" w:pos="720"/>
        </w:tabs>
        <w:ind w:left="720" w:hanging="360"/>
      </w:pPr>
      <w:rPr>
        <w:rFonts w:hint="default" w:ascii="Symbol" w:hAnsi="Symbol"/>
        <w:sz w:val="20"/>
      </w:rPr>
    </w:lvl>
  </w:abstractNum>
  <w:abstractNum w:abstractNumId="9">
    <w:multiLevelType w:val="multilevel"/>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1">
      <w:start w:val="1"/>
      <w:numFmt w:val="bullet"/>
      <w:lvlText w:val="o"/>
      <w:lvlJc w:val="left"/>
      <w:pPr>
        <w:tabs>
          <w:tab w:val="num" w:pos="1440"/>
        </w:tabs>
        <w:ind w:left="1440" w:hanging="360"/>
      </w:pPr>
      <w:rPr>
        <w:rFonts w:hint="default" w:ascii="Courier New" w:hAnsi="Courier New"/>
        <w:sz w:val="20"/>
      </w:rPr>
    </w:lvl>
    <w:lvl w:ilvl="1">
      <w:start w:val="1"/>
      <w:numFmt w:val="bullet"/>
      <w:lvlText w:val="o"/>
      <w:lvlJc w:val="left"/>
      <w:pPr>
        <w:tabs>
          <w:tab w:val="num" w:pos="1440"/>
        </w:tabs>
        <w:ind w:left="1440" w:hanging="360"/>
      </w:pPr>
      <w:rPr>
        <w:rFonts w:hint="default" w:ascii="Courier New" w:hAnsi="Courier New"/>
        <w:sz w:val="20"/>
      </w:rPr>
    </w:lvl>
  </w:abstractNum>
  <w:abstractNum w:abstractNumId="10">
    <w:multiLevelType w:val="multilevel"/>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1">
      <w:start w:val="1"/>
      <w:numFmt w:val="bullet"/>
      <w:lvlText w:val="o"/>
      <w:lvlJc w:val="left"/>
      <w:pPr>
        <w:tabs>
          <w:tab w:val="num" w:pos="1440"/>
        </w:tabs>
        <w:ind w:left="1440" w:hanging="360"/>
      </w:pPr>
      <w:rPr>
        <w:rFonts w:hint="default" w:ascii="Courier New" w:hAnsi="Courier New"/>
        <w:sz w:val="20"/>
      </w:rPr>
    </w:lvl>
    <w:lvl w:ilvl="1">
      <w:start w:val="1"/>
      <w:numFmt w:val="bullet"/>
      <w:lvlText w:val="o"/>
      <w:lvlJc w:val="left"/>
      <w:pPr>
        <w:tabs>
          <w:tab w:val="num" w:pos="1440"/>
        </w:tabs>
        <w:ind w:left="1440" w:hanging="360"/>
      </w:pPr>
      <w:rPr>
        <w:rFonts w:hint="default" w:ascii="Courier New" w:hAnsi="Courier New"/>
        <w:sz w:val="20"/>
      </w:rPr>
    </w:lvl>
  </w:abstractNum>
  <w:abstractNum w:abstractNumId="11">
    <w:multiLevelType w:val="multilevel"/>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1">
      <w:start w:val="1"/>
      <w:numFmt w:val="bullet"/>
      <w:lvlText w:val="o"/>
      <w:lvlJc w:val="left"/>
      <w:pPr>
        <w:tabs>
          <w:tab w:val="num" w:pos="1440"/>
        </w:tabs>
        <w:ind w:left="1440" w:hanging="360"/>
      </w:pPr>
      <w:rPr>
        <w:rFonts w:hint="default" w:ascii="Courier New" w:hAnsi="Courier New"/>
        <w:sz w:val="20"/>
      </w:rPr>
    </w:lvl>
    <w:lvl w:ilvl="1">
      <w:start w:val="1"/>
      <w:numFmt w:val="bullet"/>
      <w:lvlText w:val="o"/>
      <w:lvlJc w:val="left"/>
      <w:pPr>
        <w:tabs>
          <w:tab w:val="num" w:pos="1440"/>
        </w:tabs>
        <w:ind w:left="1440" w:hanging="360"/>
      </w:pPr>
      <w:rPr>
        <w:rFonts w:hint="default" w:ascii="Courier New" w:hAnsi="Courier New"/>
        <w:sz w:val="20"/>
      </w:rPr>
    </w:lvl>
  </w:abstractNum>
  <w:abstractNum w:abstractNumId="12">
    <w:multiLevelType w:val="multilevel"/>
    <w:lvl w:ilvl="0">
      <w:start w:val="1"/>
      <w:numFmt w:val="bullet"/>
      <w:lvlText w:val=""/>
      <w:lvlJc w:val="left"/>
      <w:pPr>
        <w:tabs>
          <w:tab w:val="num" w:pos="720"/>
        </w:tabs>
        <w:ind w:left="720" w:hanging="360"/>
      </w:pPr>
      <w:rPr>
        <w:rFonts w:hint="default" w:ascii="Symbol" w:hAnsi="Symbol"/>
        <w:sz w:val="20"/>
      </w:rPr>
    </w:lvl>
  </w:abstractNum>
  <w:abstractNum w:abstractNumId="13">
    <w:multiLevelType w:val="hybridMultilevel"/>
    <w:lvl w:ilvl="0">
      <w:start w:val="1"/>
      <w:numFmt w:val="decimal"/>
      <w:lvlText w:val="%1."/>
      <w:lvlJc w:val="left"/>
      <w:pPr>
        <w:tabs>
          <w:tab w:val="num" w:pos="720"/>
        </w:tabs>
        <w:ind w:left="720" w:hanging="360"/>
      </w:pPr>
    </w:lvl>
  </w:abstractNum>
  <w:abstractNum w:abstractNumId="14">
    <w:multiLevelType w:val="multilevel"/>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1">
      <w:start w:val="1"/>
      <w:numFmt w:val="bullet"/>
      <w:lvlText w:val="o"/>
      <w:lvlJc w:val="left"/>
      <w:pPr>
        <w:tabs>
          <w:tab w:val="num" w:pos="1440"/>
        </w:tabs>
        <w:ind w:left="1440" w:hanging="360"/>
      </w:pPr>
      <w:rPr>
        <w:rFonts w:hint="default" w:ascii="Courier New" w:hAnsi="Courier New"/>
        <w:sz w:val="20"/>
      </w:rPr>
    </w:lvl>
    <w:lvl w:ilvl="1">
      <w:start w:val="1"/>
      <w:numFmt w:val="bullet"/>
      <w:lvlText w:val="o"/>
      <w:lvlJc w:val="left"/>
      <w:pPr>
        <w:tabs>
          <w:tab w:val="num" w:pos="1440"/>
        </w:tabs>
        <w:ind w:left="1440" w:hanging="360"/>
      </w:pPr>
      <w:rPr>
        <w:rFonts w:hint="default" w:ascii="Courier New" w:hAnsi="Courier New"/>
        <w:sz w:val="20"/>
      </w:rPr>
    </w:lvl>
    <w:lvl w:ilvl="1">
      <w:start w:val="1"/>
      <w:numFmt w:val="bullet"/>
      <w:lvlText w:val="o"/>
      <w:lvlJc w:val="left"/>
      <w:pPr>
        <w:tabs>
          <w:tab w:val="num" w:pos="1440"/>
        </w:tabs>
        <w:ind w:left="1440" w:hanging="360"/>
      </w:pPr>
      <w:rPr>
        <w:rFonts w:hint="default" w:ascii="Courier New" w:hAnsi="Courier New"/>
        <w:sz w:val="20"/>
      </w:rPr>
    </w:lvl>
    <w:lvl w:ilvl="1">
      <w:start w:val="1"/>
      <w:numFmt w:val="bullet"/>
      <w:lvlText w:val="o"/>
      <w:lvlJc w:val="left"/>
      <w:pPr>
        <w:tabs>
          <w:tab w:val="num" w:pos="1440"/>
        </w:tabs>
        <w:ind w:left="1440" w:hanging="360"/>
      </w:pPr>
      <w:rPr>
        <w:rFonts w:hint="default" w:ascii="Courier New" w:hAnsi="Courier New"/>
        <w:sz w:val="20"/>
      </w:rPr>
    </w:lvl>
  </w:abstractNum>
  <w:abstractNum w:abstractNumId="15">
    <w:multiLevelType w:val="multilevel"/>
    <w:lvl w:ilvl="0">
      <w:start w:val="1"/>
      <w:numFmt w:val="bullet"/>
      <w:lvlText w:val=""/>
      <w:lvlJc w:val="left"/>
      <w:pPr>
        <w:tabs>
          <w:tab w:val="num" w:pos="720"/>
        </w:tabs>
        <w:ind w:left="720" w:hanging="360"/>
      </w:pPr>
      <w:rPr>
        <w:rFonts w:hint="default" w:ascii="Symbol" w:hAnsi="Symbol"/>
        <w:sz w:val="20"/>
      </w:rPr>
    </w:lvl>
  </w:abstractNum>
  <w:abstractNum w:abstractNumId="16">
    <w:multiLevelType w:val="hybridMultilevel"/>
    <w:lvl w:ilvl="0">
      <w:start w:val="1"/>
      <w:numFmt w:val="decimal"/>
      <w:lvlText w:val="%1."/>
      <w:lvlJc w:val="left"/>
      <w:pPr>
        <w:tabs>
          <w:tab w:val="num" w:pos="720"/>
        </w:tabs>
        <w:ind w:left="720" w:hanging="360"/>
      </w:pPr>
    </w:lvl>
  </w:abstractNum>
  <w:abstractNum w:abstractNumId="17">
    <w:multiLevelType w:val="multilevel"/>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1">
      <w:start w:val="1"/>
      <w:numFmt w:val="bullet"/>
      <w:lvlText w:val="o"/>
      <w:lvlJc w:val="left"/>
      <w:pPr>
        <w:tabs>
          <w:tab w:val="num" w:pos="1440"/>
        </w:tabs>
        <w:ind w:left="1440" w:hanging="360"/>
      </w:pPr>
      <w:rPr>
        <w:rFonts w:hint="default" w:ascii="Courier New" w:hAnsi="Courier New"/>
        <w:sz w:val="20"/>
      </w:rPr>
    </w:lvl>
    <w:lvl w:ilvl="1">
      <w:start w:val="1"/>
      <w:numFmt w:val="bullet"/>
      <w:lvlText w:val="o"/>
      <w:lvlJc w:val="left"/>
      <w:pPr>
        <w:tabs>
          <w:tab w:val="num" w:pos="1440"/>
        </w:tabs>
        <w:ind w:left="1440" w:hanging="360"/>
      </w:pPr>
      <w:rPr>
        <w:rFonts w:hint="default" w:ascii="Courier New" w:hAnsi="Courier New"/>
        <w:sz w:val="20"/>
      </w:rPr>
    </w:lvl>
    <w:lvl w:ilvl="1">
      <w:start w:val="1"/>
      <w:numFmt w:val="bullet"/>
      <w:lvlText w:val="o"/>
      <w:lvlJc w:val="left"/>
      <w:pPr>
        <w:tabs>
          <w:tab w:val="num" w:pos="1440"/>
        </w:tabs>
        <w:ind w:left="1440" w:hanging="360"/>
      </w:pPr>
      <w:rPr>
        <w:rFonts w:hint="default" w:ascii="Courier New" w:hAnsi="Courier New"/>
        <w:sz w:val="20"/>
      </w:rPr>
    </w:lvl>
    <w:lvl w:ilvl="1">
      <w:start w:val="1"/>
      <w:numFmt w:val="bullet"/>
      <w:lvlText w:val="o"/>
      <w:lvlJc w:val="left"/>
      <w:pPr>
        <w:tabs>
          <w:tab w:val="num" w:pos="1440"/>
        </w:tabs>
        <w:ind w:left="1440" w:hanging="360"/>
      </w:pPr>
      <w:rPr>
        <w:rFonts w:hint="default" w:ascii="Courier New" w:hAnsi="Courier New"/>
        <w:sz w:val="20"/>
      </w:rPr>
    </w:lvl>
  </w:abstractNum>
  <w:abstractNum w:abstractNumId="18">
    <w:multiLevelType w:val="multilevel"/>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1">
      <w:start w:val="1"/>
      <w:numFmt w:val="bullet"/>
      <w:lvlText w:val="o"/>
      <w:lvlJc w:val="left"/>
      <w:pPr>
        <w:tabs>
          <w:tab w:val="num" w:pos="1440"/>
        </w:tabs>
        <w:ind w:left="1440" w:hanging="360"/>
      </w:pPr>
      <w:rPr>
        <w:rFonts w:hint="default" w:ascii="Courier New" w:hAnsi="Courier New"/>
        <w:sz w:val="20"/>
      </w:rPr>
    </w:lvl>
    <w:lvl w:ilvl="1">
      <w:start w:val="1"/>
      <w:numFmt w:val="bullet"/>
      <w:lvlText w:val="o"/>
      <w:lvlJc w:val="left"/>
      <w:pPr>
        <w:tabs>
          <w:tab w:val="num" w:pos="1440"/>
        </w:tabs>
        <w:ind w:left="1440" w:hanging="360"/>
      </w:pPr>
      <w:rPr>
        <w:rFonts w:hint="default" w:ascii="Courier New" w:hAnsi="Courier New"/>
        <w:sz w:val="20"/>
      </w:rPr>
    </w:lvl>
  </w:abstractNum>
  <w:abstractNum w:abstractNumId="19">
    <w:multiLevelType w:val="hybridMultilevel"/>
    <w:lvl w:ilvl="0">
      <w:start w:val="1"/>
      <w:numFmt w:val="decimal"/>
      <w:lvlText w:val="%1."/>
      <w:lvlJc w:val="left"/>
      <w:pPr>
        <w:tabs>
          <w:tab w:val="num" w:pos="720"/>
        </w:tabs>
        <w:ind w:left="720" w:hanging="360"/>
      </w:pPr>
    </w:lvl>
  </w:abstractNum>
  <w:abstractNum w:abstractNumId="20">
    <w:multiLevelType w:val="hybridMultilevel"/>
    <w:lvl w:ilvl="0">
      <w:start w:val="1"/>
      <w:numFmt w:val="decimal"/>
      <w:lvlText w:val="%1."/>
      <w:lvlJc w:val="left"/>
      <w:pPr>
        <w:tabs>
          <w:tab w:val="num" w:pos="720"/>
        </w:tabs>
        <w:ind w:left="720" w:hanging="360"/>
      </w:pPr>
    </w:lvl>
  </w:abstractNum>
  <w:abstractNum w:abstractNumId="21">
    <w:multiLevelType w:val="hybridMultilevel"/>
    <w:lvl w:ilvl="0">
      <w:start w:val="1"/>
      <w:numFmt w:val="decimal"/>
      <w:lvlText w:val="%1."/>
      <w:lvlJc w:val="left"/>
      <w:pPr>
        <w:tabs>
          <w:tab w:val="num" w:pos="720"/>
        </w:tabs>
        <w:ind w:left="720" w:hanging="360"/>
      </w:pPr>
    </w:lvl>
  </w:abstractNum>
  <w:abstractNum w:abstractNumId="22">
    <w:multiLevelType w:val="multilevel"/>
    <w:lvl w:ilvl="0">
      <w:start w:val="1"/>
      <w:numFmt w:val="bullet"/>
      <w:lvlText w:val=""/>
      <w:lvlJc w:val="left"/>
      <w:pPr>
        <w:tabs>
          <w:tab w:val="num" w:pos="720"/>
        </w:tabs>
        <w:ind w:left="720" w:hanging="360"/>
      </w:pPr>
      <w:rPr>
        <w:rFonts w:hint="default" w:ascii="Symbol" w:hAnsi="Symbol"/>
        <w:sz w:val="20"/>
      </w:rPr>
    </w:lvl>
  </w:abstractNum>
  <w:abstractNum w:abstractNumId="23">
    <w:multiLevelType w:val="multilevel"/>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1">
      <w:start w:val="1"/>
      <w:numFmt w:val="bullet"/>
      <w:lvlText w:val="o"/>
      <w:lvlJc w:val="left"/>
      <w:pPr>
        <w:tabs>
          <w:tab w:val="num" w:pos="1440"/>
        </w:tabs>
        <w:ind w:left="1440" w:hanging="360"/>
      </w:pPr>
      <w:rPr>
        <w:rFonts w:hint="default" w:ascii="Courier New" w:hAnsi="Courier New"/>
        <w:sz w:val="20"/>
      </w:rPr>
    </w:lvl>
    <w:lvl w:ilvl="1">
      <w:start w:val="1"/>
      <w:numFmt w:val="bullet"/>
      <w:lvlText w:val="o"/>
      <w:lvlJc w:val="left"/>
      <w:pPr>
        <w:tabs>
          <w:tab w:val="num" w:pos="1440"/>
        </w:tabs>
        <w:ind w:left="1440" w:hanging="360"/>
      </w:pPr>
      <w:rPr>
        <w:rFonts w:hint="default" w:ascii="Courier New" w:hAnsi="Courier New"/>
        <w:sz w:val="20"/>
      </w:rPr>
    </w:lvl>
    <w:lvl w:ilvl="1">
      <w:start w:val="1"/>
      <w:numFmt w:val="bullet"/>
      <w:lvlText w:val="o"/>
      <w:lvlJc w:val="left"/>
      <w:pPr>
        <w:tabs>
          <w:tab w:val="num" w:pos="1440"/>
        </w:tabs>
        <w:ind w:left="1440" w:hanging="360"/>
      </w:pPr>
      <w:rPr>
        <w:rFonts w:hint="default" w:ascii="Courier New" w:hAnsi="Courier New"/>
        <w:sz w:val="20"/>
      </w:rPr>
    </w:lvl>
    <w:lvl w:ilvl="1">
      <w:start w:val="1"/>
      <w:numFmt w:val="bullet"/>
      <w:lvlText w:val="o"/>
      <w:lvlJc w:val="left"/>
      <w:pPr>
        <w:tabs>
          <w:tab w:val="num" w:pos="1440"/>
        </w:tabs>
        <w:ind w:left="1440" w:hanging="360"/>
      </w:pPr>
      <w:rPr>
        <w:rFonts w:hint="default" w:ascii="Courier New" w:hAnsi="Courier New"/>
        <w:sz w:val="20"/>
      </w:rPr>
    </w:lvl>
    <w:lvl w:ilvl="1">
      <w:start w:val="1"/>
      <w:numFmt w:val="bullet"/>
      <w:lvlText w:val="o"/>
      <w:lvlJc w:val="left"/>
      <w:pPr>
        <w:tabs>
          <w:tab w:val="num" w:pos="1440"/>
        </w:tabs>
        <w:ind w:left="1440" w:hanging="360"/>
      </w:pPr>
      <w:rPr>
        <w:rFonts w:hint="default" w:ascii="Courier New" w:hAnsi="Courier New"/>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tyles.xml><?xml version="1.0" encoding="utf-8"?>
<w:styles xmlns:w="http://schemas.openxmlformats.org/wordprocessingml/2006/main">
  <w:docDefaults>
    <w:rPrDefault>
      <w:rPr>
        <w:rFonts w:asciiTheme="minorHAnsi" w:hAnsiTheme="minorHAnsi" w:eastAsiaTheme="minorHAnsi" w:cstheme="minorBidi"/>
        <w:kern w:val="2"/>
        <w:sz w:val="24"/>
        <w:szCs w:val="24"/>
        <w:lang w:val="it-IT"/>
      </w:rPr>
    </w:rPrDefault>
    <w:pPrDefault>
      <w:pPr>
        <w:spacing w:after="160" w:line="278" w:lineRule="auto"/>
      </w:pPr>
    </w:pPrDefault>
  </w:docDefaults>
  <w:style w:type="paragraph" w:styleId="Normal" w:default="true">
    <w:name w:val="Normal"/>
    <w:qFormat/>
  </w:style>
  <w:style w:type="paragraph" w:styleId="Heading1">
    <w:name w:val="heading 1"/>
    <w:basedOn w:val="Normal"/>
    <w:next w:val="Normal"/>
    <w:link w:val="Heading1Char"/>
    <w:uiPriority w:val="9"/>
    <w:qFormat/>
    <w:pPr>
      <w:keepNext/>
      <w:keepLines/>
      <w:spacing w:before="360" w:after="80"/>
      <w:outlineLvl w:val="0"/>
    </w:pPr>
    <w:rPr>
      <w:color w:val="0F4761" w:themeColor="accent1" w:themeShade="BF"/>
      <w:rFonts w:asciiTheme="majorAscii" w:hAnsiTheme="minorHAnsi" w:eastAsiaTheme="majorEastAsia" w:cstheme="majorBidi"/>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color w:val="0F4761" w:themeColor="accent1" w:themeShade="BF"/>
      <w:rFonts w:asciiTheme="majorAscii" w:hAnsiTheme="minorHAnsi" w:eastAsiaTheme="majorEastAsia" w:cstheme="majorBidi"/>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color w:val="0F4761" w:themeColor="accent1" w:themeShade="BF"/>
      <w:rFonts w:eastAsiaTheme="majorEastAsia" w:cstheme="majorBidi"/>
      <w:sz w:val="28"/>
      <w:szCs w:val="28"/>
    </w:rPr>
  </w:style>
  <w:style w:type="paragraph" w:styleId="Heading4">
    <w:name w:val="heading 4"/>
    <w:basedOn w:val="Normal"/>
    <w:next w:val="Normal"/>
    <w:link w:val="Heading4Char"/>
    <w:uiPriority w:val="9"/>
    <w:unhideWhenUsed/>
    <w:qFormat/>
    <w:pPr>
      <w:keepNext/>
      <w:keepLines/>
      <w:spacing w:before="80" w:after="80"/>
      <w:outlineLvl w:val="3"/>
    </w:pPr>
    <w:rPr>
      <w:color w:val="0F4761" w:themeColor="accent1" w:themeShade="BF"/>
      <w:rFonts w:eastAsiaTheme="majorEastAsia" w:cstheme="majorBidi"/>
      <w:i/>
      <w:iCs/>
    </w:rPr>
  </w:style>
  <w:style w:type="paragraph" w:styleId="Heading5">
    <w:name w:val="heading 5"/>
    <w:basedOn w:val="Normal"/>
    <w:next w:val="Normal"/>
    <w:link w:val="Heading5Char"/>
    <w:uiPriority w:val="9"/>
    <w:unhideWhenUsed/>
    <w:qFormat/>
    <w:pPr>
      <w:keepNext/>
      <w:keepLines/>
      <w:spacing w:before="80" w:after="40"/>
      <w:outlineLvl w:val="4"/>
    </w:pPr>
    <w:rPr>
      <w:color w:val="0F4761" w:themeColor="accent1" w:themeShade="BF"/>
      <w:rFonts w:eastAsiaTheme="majorEastAsia" w:cstheme="majorBidi"/>
    </w:rPr>
  </w:style>
  <w:style w:type="paragraph" w:styleId="Heading6">
    <w:name w:val="heading 6"/>
    <w:basedOn w:val="Normal"/>
    <w:next w:val="Normal"/>
    <w:link w:val="Heading6Char"/>
    <w:uiPriority w:val="9"/>
    <w:unhideWhenUsed/>
    <w:qFormat/>
    <w:pPr>
      <w:keepNext/>
      <w:keepLines/>
      <w:spacing w:before="40" w:after="0"/>
      <w:outlineLvl w:val="5"/>
    </w:pPr>
    <w:rPr>
      <w:color w:val="595959" w:themeColor="text1" w:themeTint="A6"/>
      <w:rFonts w:eastAsiaTheme="majorEastAsia" w:cstheme="majorBidi"/>
      <w:i/>
      <w:iCs/>
    </w:rPr>
  </w:style>
  <w:style w:type="character" w:styleId="DefaultParagraphFont" w:default="true">
    <w:name w:val="Default Paragraph Font"/>
    <w:uiPriority w:val="1"/>
    <w:unhideWhenUsed/>
  </w:style>
  <w:style w:type="character" w:styleId="Heading1Char" w:customStyle="true">
    <w:name w:val="Heading 1 Char"/>
    <w:basedOn w:val="DefaultParagraphFont"/>
    <w:link w:val="Heading1"/>
    <w:uiPriority w:val="9"/>
    <w:qFormat/>
    <w:rPr>
      <w:color w:themeColor="accent1" w:themeShade="BF"/>
      <w:rFonts w:asciiTheme="majorAscii" w:hAnsiTheme="minorHAnsi" w:eastAsiaTheme="majorEastAsia" w:cstheme="majorBidi"/>
      <w:sz w:val="40"/>
      <w:szCs w:val="40"/>
    </w:rPr>
  </w:style>
  <w:style w:type="character" w:styleId="Heading2Char" w:customStyle="true">
    <w:name w:val="Heading 2 Char"/>
    <w:basedOn w:val="DefaultParagraphFont"/>
    <w:link w:val="Heading2"/>
    <w:uiPriority w:val="9"/>
    <w:qFormat/>
    <w:rPr>
      <w:color w:themeColor="accent1" w:themeShade="BF"/>
      <w:rFonts w:asciiTheme="majorAscii" w:hAnsiTheme="minorHAnsi" w:eastAsiaTheme="majorEastAsia" w:cstheme="majorBidi"/>
      <w:sz w:val="32"/>
      <w:szCs w:val="32"/>
    </w:rPr>
  </w:style>
  <w:style w:type="character" w:styleId="Heading3Char" w:customStyle="true">
    <w:name w:val="Heading 3 Char"/>
    <w:basedOn w:val="DefaultParagraphFont"/>
    <w:link w:val="Heading3"/>
    <w:uiPriority w:val="9"/>
    <w:qFormat/>
    <w:rPr>
      <w:color w:themeColor="accent1" w:themeShade="BF"/>
      <w:rFonts w:eastAsiaTheme="majorEastAsia" w:cstheme="majorBidi"/>
      <w:sz w:val="28"/>
      <w:szCs w:val="28"/>
    </w:rPr>
  </w:style>
  <w:style w:type="character" w:styleId="Heading4Char" w:customStyle="true">
    <w:name w:val="Heading 4 Char"/>
    <w:basedOn w:val="DefaultParagraphFont"/>
    <w:link w:val="Heading4"/>
    <w:uiPriority w:val="9"/>
    <w:qFormat/>
    <w:rPr>
      <w:color w:val="0F4761" w:themeColor="accent1" w:themeShade="BF"/>
      <w:rFonts w:eastAsiaTheme="majorEastAsia" w:cstheme="majorBidi"/>
      <w:i/>
      <w:iCs/>
    </w:rPr>
  </w:style>
  <w:style w:type="character" w:styleId="Heading5Char" w:customStyle="true">
    <w:name w:val="Heading 5 Char"/>
    <w:basedOn w:val="DefaultParagraphFont"/>
    <w:link w:val="Heading5"/>
    <w:uiPriority w:val="9"/>
    <w:semiHidden/>
    <w:rPr>
      <w:color w:val="0F4761" w:themeColor="accent1" w:themeShade="BF"/>
      <w:rFonts w:eastAsiaTheme="majorEastAsia" w:cstheme="majorBidi"/>
    </w:rPr>
  </w:style>
  <w:style w:type="character" w:styleId="Heading6Char" w:customStyle="true">
    <w:name w:val="Heading 6 Char"/>
    <w:basedOn w:val="DefaultParagraphFont"/>
    <w:link w:val="Heading6"/>
    <w:uiPriority w:val="9"/>
    <w:semiHidden/>
    <w:rPr>
      <w:color w:val="0F4761" w:themeColor="accent1" w:themeShade="BF"/>
      <w:rFonts w:eastAsiaTheme="majorEastAsia" w:cstheme="majorBidi"/>
      <w:i/>
      <w:iCs/>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QuoteChar" w:customStyle="true">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link w:val="IntenseQuoteChar"/>
    <w:uiPriority w:val="30"/>
    <w:qFormat/>
    <w:pPr>
      <w:pBdr>
        <w:left w:val="single" w:color="0F4761" w:themeColor="accent1" w:themeShade="BF" w:sz="4" w:space="10"/>
      </w:pBdr>
      <w:spacing w:before="360" w:after="360"/>
    </w:pPr>
    <w:rPr>
      <w:i/>
      <w:iCs/>
    </w:rPr>
  </w:style>
  <w:style w:type="character" w:styleId="IntenseQuoteChar" w:customStyle="true">
    <w:name w:val="Intense Quote Char"/>
    <w:basedOn w:val="DefaultParagraphFont"/>
    <w:link w:val="IntenseQuote"/>
    <w:uiPriority w:val="30"/>
    <w:rPr>
      <w:i/>
      <w:iCs/>
      <w:color w:val="0F4761" w:themeColor="accent1" w:themeTint="BF"/>
    </w:rPr>
  </w:style>
</w:styles>
</file>

<file path=word/_rels/document.xml.rels>&#65279;<?xml version="1.0" encoding="utf-8"?><Relationships xmlns="http://schemas.openxmlformats.org/package/2006/relationships"><Relationship Type="http://schemas.openxmlformats.org/officeDocument/2006/relationships/styles" Target="/word/styles.xml" Id="R60467a5a68a5449f" /><Relationship Type="http://schemas.openxmlformats.org/officeDocument/2006/relationships/numbering" Target="/word/numbering.xml" Id="Rac7238fafae14e45" /></Relationships>
</file>