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10.0.0 -->
  <w:background w:color="00b8ff">
    <v:background id="_x0000_s1025" filled="t" fillcolor="#00b8ff">
      <v:fill color2="black"/>
      <v:shadow color="black"/>
    </v:background>
  </w:background>
  <w:body>
    <w:p w:rsidR="003030D9">
      <w:pPr>
        <w:pStyle w:val="Arial14"/>
      </w:pPr>
    </w:p>
    <w:p w:rsidR="003030D9">
      <w:pPr>
        <w:pStyle w:val="Arial1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53.08pt;width:234.11pt" filled="t" stroked="f">
            <v:fill color2="black" type="frame"/>
            <v:imagedata r:id="rId4" o:title=""/>
          </v:shape>
        </w:pict>
      </w:r>
    </w:p>
    <w:p w:rsidR="003030D9">
      <w:pPr>
        <w:pStyle w:val="Arial14"/>
      </w:pPr>
      <w:r>
        <w:t xml:space="preserve"> 2023 - 2024</w:t>
      </w:r>
    </w:p>
    <w:p w:rsidR="003030D9">
      <w:pPr>
        <w:jc w:val="center"/>
        <w:rPr>
          <w:sz w:val="28"/>
        </w:rPr>
      </w:pPr>
    </w:p>
    <w:p w:rsidR="003030D9">
      <w:pPr>
        <w:jc w:val="center"/>
        <w:rPr>
          <w:sz w:val="28"/>
        </w:rPr>
      </w:pPr>
    </w:p>
    <w:p w:rsidR="003030D9">
      <w:pPr>
        <w:jc w:val="center"/>
        <w:rPr>
          <w:sz w:val="48"/>
        </w:rPr>
      </w:pPr>
    </w:p>
    <w:p w:rsidR="003030D9">
      <w:pPr>
        <w:pStyle w:val="Arial36"/>
      </w:pPr>
      <w:r>
        <w:t>MINUTES</w:t>
      </w:r>
    </w:p>
    <w:p w:rsidR="003030D9">
      <w:pPr>
        <w:pStyle w:val="Arial14"/>
      </w:pPr>
    </w:p>
    <w:p w:rsidR="003030D9">
      <w:pPr>
        <w:pStyle w:val="Arial14"/>
      </w:pPr>
    </w:p>
    <w:p w:rsidR="003030D9">
      <w:pPr>
        <w:pStyle w:val="Arial14"/>
      </w:pPr>
    </w:p>
    <w:p w:rsidR="003030D9">
      <w:pPr>
        <w:pStyle w:val="Arial14"/>
      </w:pPr>
    </w:p>
    <w:p w:rsidR="003030D9">
      <w:pPr>
        <w:pStyle w:val="Arial14"/>
      </w:pPr>
      <w:r>
        <w:t>of the sitting of</w:t>
      </w:r>
    </w:p>
    <w:p w:rsidR="003030D9">
      <w:pPr>
        <w:pStyle w:val="Arial9"/>
      </w:pPr>
    </w:p>
    <w:p w:rsidR="003030D9">
      <w:pPr>
        <w:pStyle w:val="Arial14B"/>
      </w:pPr>
      <w:r>
        <w:t>Tuesday</w:t>
      </w:r>
    </w:p>
    <w:p w:rsidR="003030D9">
      <w:pPr>
        <w:pStyle w:val="Arial9"/>
      </w:pPr>
    </w:p>
    <w:p w:rsidR="003030D9">
      <w:pPr>
        <w:pStyle w:val="Arial14"/>
      </w:pPr>
      <w:r>
        <w:t>11 July 2023</w:t>
      </w:r>
    </w:p>
    <w:p w:rsidR="003030D9">
      <w:pPr>
        <w:pStyle w:val="Arial9"/>
      </w:pPr>
    </w:p>
    <w:p w:rsidR="003030D9">
      <w:pPr>
        <w:pStyle w:val="Arial9"/>
      </w:pPr>
    </w:p>
    <w:p w:rsidR="003030D9">
      <w:pPr>
        <w:jc w:val="center"/>
        <w:rPr>
          <w:sz w:val="48"/>
        </w:rPr>
      </w:pPr>
      <w:r>
        <w:pict>
          <v:shape id="_x0000_s1027" type="#_x0000_t75" style="height:99.15pt;margin-left:85.05pt;margin-top:0;mso-position-horizontal:center;mso-position-vertical:top;mso-position-vertical-relative:line;mso-wrap-distance-left:0;mso-wrap-distance-right:0;position:absolute;width:311.75pt;z-index:251658240" filled="t" stroked="f">
            <v:fill color2="black" type="frame"/>
            <v:imagedata r:id="rId5" o:title=""/>
            <w10:wrap type="topAndBottom"/>
          </v:shape>
        </w:pict>
      </w:r>
    </w:p>
    <w:p w:rsidR="003030D9">
      <w:pPr>
        <w:jc w:val="center"/>
        <w:rPr>
          <w:sz w:val="48"/>
        </w:rPr>
      </w:pPr>
    </w:p>
    <w:p w:rsidR="003030D9">
      <w:pPr>
        <w:pStyle w:val="Arial14B"/>
      </w:pPr>
    </w:p>
    <w:p w:rsidR="003030D9">
      <w:pPr>
        <w:pStyle w:val="Arial9"/>
      </w:pPr>
    </w:p>
    <w:p w:rsidR="003030D9">
      <w:pPr>
        <w:pStyle w:val="HorizontalLineSolid"/>
      </w:pPr>
    </w:p>
    <w:p w:rsidR="003030D9">
      <w:pPr>
        <w:pStyle w:val="Arial9CoverPageReferences"/>
      </w:pPr>
      <w:r>
        <w:t>P9_PV-PROV(2023)07-11</w:t>
        <w:tab/>
        <w:t>PROVISIONAL VERSION</w:t>
        <w:tab/>
        <w:t>PE 751.377</w:t>
      </w:r>
    </w:p>
    <w:tbl>
      <w:tblPr>
        <w:tblStyle w:val="TableNormal"/>
        <w:tblW w:w="0" w:type="auto"/>
        <w:jc w:val="center"/>
        <w:tblLayout w:type="fixed"/>
        <w:tblCellMar>
          <w:left w:w="0" w:type="dxa"/>
          <w:right w:w="0" w:type="dxa"/>
        </w:tblCellMar>
        <w:tblLook w:val="0000"/>
      </w:tblPr>
      <w:tblGrid>
        <w:gridCol w:w="1135"/>
        <w:gridCol w:w="7370"/>
        <w:gridCol w:w="1132"/>
      </w:tblGrid>
      <w:tr>
        <w:tblPrEx>
          <w:tblW w:w="0" w:type="auto"/>
          <w:jc w:val="center"/>
          <w:tblLayout w:type="fixed"/>
          <w:tblCellMar>
            <w:left w:w="0" w:type="dxa"/>
            <w:right w:w="0" w:type="dxa"/>
          </w:tblCellMar>
          <w:tblLook w:val="0000"/>
        </w:tblPrEx>
        <w:trPr>
          <w:cantSplit/>
          <w:jc w:val="center"/>
        </w:trPr>
        <w:tc>
          <w:tcPr>
            <w:tcW w:w="1135" w:type="dxa"/>
            <w:shd w:val="clear" w:color="auto" w:fill="FFFFFF"/>
          </w:tcPr>
          <w:p w:rsidR="003030D9">
            <w:pPr>
              <w:pStyle w:val="TableContents"/>
              <w:rPr>
                <w:rFonts w:ascii="Arial" w:hAnsi="Arial"/>
                <w:b/>
                <w:bCs/>
                <w:sz w:val="48"/>
                <w:szCs w:val="48"/>
                <w:lang w:val="en-GB"/>
              </w:rPr>
            </w:pPr>
            <w:r>
              <w:rPr>
                <w:rFonts w:ascii="Arial" w:hAnsi="Arial"/>
                <w:b/>
                <w:bCs/>
                <w:sz w:val="48"/>
                <w:szCs w:val="48"/>
                <w:lang w:val="en-GB"/>
              </w:rPr>
              <w:t>EN</w:t>
            </w:r>
          </w:p>
        </w:tc>
        <w:tc>
          <w:tcPr>
            <w:tcW w:w="7370" w:type="dxa"/>
            <w:shd w:val="clear" w:color="auto" w:fill="FFFFFF"/>
            <w:vAlign w:val="bottom"/>
          </w:tcPr>
          <w:p w:rsidR="003030D9">
            <w:pPr>
              <w:pStyle w:val="TableContents"/>
              <w:jc w:val="center"/>
              <w:rPr>
                <w:i/>
                <w:iCs/>
                <w:sz w:val="32"/>
                <w:szCs w:val="32"/>
                <w:lang w:val="en-GB"/>
              </w:rPr>
            </w:pPr>
            <w:r>
              <w:rPr>
                <w:i/>
                <w:iCs/>
                <w:sz w:val="32"/>
                <w:szCs w:val="32"/>
                <w:lang w:val="en-GB"/>
              </w:rPr>
              <w:t>United in diversity</w:t>
            </w:r>
          </w:p>
        </w:tc>
        <w:tc>
          <w:tcPr>
            <w:tcW w:w="1132" w:type="dxa"/>
            <w:shd w:val="clear" w:color="auto" w:fill="FFFFFF"/>
          </w:tcPr>
          <w:p w:rsidR="003030D9">
            <w:pPr>
              <w:pStyle w:val="TableContents"/>
              <w:jc w:val="right"/>
              <w:rPr>
                <w:rFonts w:ascii="Arial" w:hAnsi="Arial"/>
                <w:b/>
                <w:bCs/>
                <w:sz w:val="48"/>
                <w:szCs w:val="48"/>
                <w:lang w:val="en-GB"/>
              </w:rPr>
            </w:pPr>
            <w:r>
              <w:rPr>
                <w:rFonts w:ascii="Arial" w:hAnsi="Arial"/>
                <w:b/>
                <w:bCs/>
                <w:sz w:val="48"/>
                <w:szCs w:val="48"/>
                <w:lang w:val="en-GB"/>
              </w:rPr>
              <w:t>EN</w:t>
            </w:r>
          </w:p>
        </w:tc>
      </w:tr>
    </w:tbl>
    <w:p w:rsidR="003030D9">
      <w:pPr>
        <w:rPr>
          <w:sz w:val="20"/>
          <w:szCs w:val="20"/>
          <w:lang w:val="en-GB"/>
        </w:rPr>
      </w:pPr>
      <w:r>
        <w:br w:type="page"/>
      </w:r>
    </w:p>
    <w:tbl>
      <w:tblPr>
        <w:tblStyle w:val="TableNormal"/>
        <w:tblW w:w="0" w:type="auto"/>
        <w:tblLayout w:type="fixed"/>
        <w:tblCellMar>
          <w:left w:w="0" w:type="dxa"/>
          <w:right w:w="0" w:type="dxa"/>
        </w:tblCellMar>
        <w:tblLook w:val="0000"/>
      </w:tblPr>
      <w:tblGrid>
        <w:gridCol w:w="1658"/>
        <w:gridCol w:w="7994"/>
      </w:tblGrid>
      <w:tr>
        <w:tblPrEx>
          <w:tblW w:w="0" w:type="auto"/>
          <w:tblLayout w:type="fixed"/>
          <w:tblCellMar>
            <w:left w:w="0" w:type="dxa"/>
            <w:right w:w="0" w:type="dxa"/>
          </w:tblCellMar>
          <w:tblLook w:val="0000"/>
        </w:tblPrEx>
        <w:trPr>
          <w:cantSplit/>
        </w:trPr>
        <w:tc>
          <w:tcPr>
            <w:tcW w:w="9652" w:type="dxa"/>
            <w:gridSpan w:val="2"/>
          </w:tcPr>
          <w:p w:rsidR="003030D9">
            <w:pPr>
              <w:pStyle w:val="TableContents"/>
              <w:widowControl/>
              <w:spacing w:before="170" w:after="0"/>
              <w:jc w:val="center"/>
              <w:rPr>
                <w:sz w:val="20"/>
                <w:szCs w:val="20"/>
                <w:lang w:val="en-GB"/>
              </w:rPr>
            </w:pPr>
            <w:r>
              <w:rPr>
                <w:sz w:val="20"/>
                <w:szCs w:val="20"/>
                <w:lang w:val="en-GB"/>
              </w:rPr>
              <w:br/>
              <w:t>KEYS TO SYMBOLS USED</w:t>
              <w:br/>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w:t>
            </w:r>
          </w:p>
        </w:tc>
        <w:tc>
          <w:tcPr>
            <w:tcW w:w="7994" w:type="dxa"/>
          </w:tcPr>
          <w:p w:rsidR="003030D9">
            <w:pPr>
              <w:spacing w:after="1"/>
              <w:rPr>
                <w:sz w:val="20"/>
                <w:lang w:val="en-GB"/>
              </w:rPr>
            </w:pPr>
            <w:r>
              <w:rPr>
                <w:sz w:val="20"/>
                <w:lang w:val="en-GB"/>
              </w:rPr>
              <w:t>Consultation procedure</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w:t>
            </w:r>
          </w:p>
        </w:tc>
        <w:tc>
          <w:tcPr>
            <w:tcW w:w="7994" w:type="dxa"/>
          </w:tcPr>
          <w:p w:rsidR="003030D9">
            <w:pPr>
              <w:spacing w:after="1"/>
              <w:rPr>
                <w:sz w:val="20"/>
                <w:lang w:val="en-GB"/>
              </w:rPr>
            </w:pPr>
            <w:r>
              <w:rPr>
                <w:sz w:val="20"/>
                <w:lang w:val="en-GB"/>
              </w:rPr>
              <w:t>Consent procedure</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w:t>
            </w:r>
          </w:p>
        </w:tc>
        <w:tc>
          <w:tcPr>
            <w:tcW w:w="7994" w:type="dxa"/>
          </w:tcPr>
          <w:p w:rsidR="003030D9">
            <w:pPr>
              <w:spacing w:after="1"/>
              <w:rPr>
                <w:sz w:val="20"/>
                <w:lang w:val="en-GB"/>
              </w:rPr>
            </w:pPr>
            <w:r>
              <w:rPr>
                <w:sz w:val="20"/>
                <w:lang w:val="en-GB"/>
              </w:rPr>
              <w:t>Ordinary legislative procedure: first reading</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***II</w:t>
            </w:r>
          </w:p>
        </w:tc>
        <w:tc>
          <w:tcPr>
            <w:tcW w:w="7994" w:type="dxa"/>
          </w:tcPr>
          <w:p w:rsidR="003030D9">
            <w:pPr>
              <w:spacing w:after="1"/>
              <w:rPr>
                <w:sz w:val="20"/>
                <w:lang w:val="en-GB"/>
              </w:rPr>
            </w:pPr>
            <w:r>
              <w:rPr>
                <w:sz w:val="20"/>
                <w:lang w:val="en-GB"/>
              </w:rPr>
              <w:t>Ordinary legislative procedure: second reading</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***III</w:t>
            </w:r>
          </w:p>
        </w:tc>
        <w:tc>
          <w:tcPr>
            <w:tcW w:w="7994" w:type="dxa"/>
          </w:tcPr>
          <w:p w:rsidR="003030D9">
            <w:pPr>
              <w:spacing w:after="1"/>
              <w:rPr>
                <w:sz w:val="20"/>
                <w:lang w:val="en-GB"/>
              </w:rPr>
            </w:pPr>
            <w:r>
              <w:rPr>
                <w:sz w:val="20"/>
                <w:lang w:val="en-GB"/>
              </w:rPr>
              <w:t>Ordinary legislative procedure: third reading</w:t>
            </w:r>
          </w:p>
        </w:tc>
      </w:tr>
      <w:tr>
        <w:tblPrEx>
          <w:tblW w:w="0" w:type="auto"/>
          <w:tblLayout w:type="fixed"/>
          <w:tblCellMar>
            <w:left w:w="0" w:type="dxa"/>
            <w:right w:w="0" w:type="dxa"/>
          </w:tblCellMar>
          <w:tblLook w:val="0000"/>
        </w:tblPrEx>
        <w:trPr>
          <w:cantSplit/>
        </w:trPr>
        <w:tc>
          <w:tcPr>
            <w:tcW w:w="9652" w:type="dxa"/>
            <w:gridSpan w:val="2"/>
          </w:tcPr>
          <w:p w:rsidR="003030D9">
            <w:pPr>
              <w:spacing w:after="1"/>
              <w:rPr>
                <w:sz w:val="20"/>
                <w:lang w:val="en-GB"/>
              </w:rPr>
            </w:pPr>
            <w:r>
              <w:rPr>
                <w:sz w:val="20"/>
                <w:lang w:val="en-GB"/>
              </w:rPr>
              <w:t>(The type of procedure is determined by the legal basis proposed in the draft act.)</w:t>
            </w:r>
          </w:p>
        </w:tc>
      </w:tr>
      <w:tr>
        <w:tblPrEx>
          <w:tblW w:w="0" w:type="auto"/>
          <w:tblLayout w:type="fixed"/>
          <w:tblCellMar>
            <w:left w:w="0" w:type="dxa"/>
            <w:right w:w="0" w:type="dxa"/>
          </w:tblCellMar>
          <w:tblLook w:val="0000"/>
        </w:tblPrEx>
        <w:trPr>
          <w:cantSplit/>
        </w:trPr>
        <w:tc>
          <w:tcPr>
            <w:tcW w:w="9652" w:type="dxa"/>
            <w:gridSpan w:val="2"/>
          </w:tcPr>
          <w:p w:rsidR="003030D9">
            <w:pPr>
              <w:rPr>
                <w:sz w:val="20"/>
                <w:lang w:val="en-GB"/>
              </w:rPr>
            </w:pPr>
          </w:p>
        </w:tc>
      </w:tr>
      <w:tr>
        <w:tblPrEx>
          <w:tblW w:w="0" w:type="auto"/>
          <w:tblLayout w:type="fixed"/>
          <w:tblCellMar>
            <w:left w:w="0" w:type="dxa"/>
            <w:right w:w="0" w:type="dxa"/>
          </w:tblCellMar>
          <w:tblLook w:val="0000"/>
        </w:tblPrEx>
        <w:trPr>
          <w:cantSplit/>
        </w:trPr>
        <w:tc>
          <w:tcPr>
            <w:tcW w:w="9652" w:type="dxa"/>
            <w:gridSpan w:val="2"/>
          </w:tcPr>
          <w:p w:rsidR="003030D9">
            <w:pPr>
              <w:spacing w:after="1"/>
              <w:rPr>
                <w:sz w:val="20"/>
                <w:lang w:val="en-GB"/>
              </w:rPr>
            </w:pPr>
          </w:p>
        </w:tc>
      </w:tr>
      <w:tr>
        <w:tblPrEx>
          <w:tblW w:w="0" w:type="auto"/>
          <w:tblLayout w:type="fixed"/>
          <w:tblCellMar>
            <w:left w:w="0" w:type="dxa"/>
            <w:right w:w="0" w:type="dxa"/>
          </w:tblCellMar>
          <w:tblLook w:val="0000"/>
        </w:tblPrEx>
        <w:trPr>
          <w:cantSplit/>
        </w:trPr>
        <w:tc>
          <w:tcPr>
            <w:tcW w:w="9652" w:type="dxa"/>
            <w:gridSpan w:val="2"/>
          </w:tcPr>
          <w:p w:rsidR="003030D9">
            <w:pPr>
              <w:jc w:val="center"/>
              <w:rPr>
                <w:sz w:val="20"/>
                <w:szCs w:val="20"/>
                <w:lang w:val="en-GB"/>
              </w:rPr>
            </w:pPr>
            <w:r>
              <w:rPr>
                <w:sz w:val="20"/>
                <w:szCs w:val="20"/>
                <w:lang w:val="en-GB"/>
              </w:rPr>
              <w:t>ABBREVIATIONS USED FOR PARLIAMENTARY COMMITTEES</w:t>
            </w:r>
          </w:p>
        </w:tc>
      </w:tr>
      <w:tr>
        <w:tblPrEx>
          <w:tblW w:w="0" w:type="auto"/>
          <w:tblLayout w:type="fixed"/>
          <w:tblCellMar>
            <w:left w:w="0" w:type="dxa"/>
            <w:right w:w="0" w:type="dxa"/>
          </w:tblCellMar>
          <w:tblLook w:val="0000"/>
        </w:tblPrEx>
        <w:trPr>
          <w:cantSplit/>
        </w:trPr>
        <w:tc>
          <w:tcPr>
            <w:tcW w:w="9652" w:type="dxa"/>
            <w:gridSpan w:val="2"/>
          </w:tcPr>
          <w:p w:rsidR="003030D9">
            <w:pPr>
              <w:jc w:val="center"/>
              <w:rPr>
                <w:sz w:val="20"/>
                <w:szCs w:val="20"/>
                <w:lang w:val="en-GB"/>
              </w:rPr>
            </w:pP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AFET</w:t>
            </w:r>
          </w:p>
        </w:tc>
        <w:tc>
          <w:tcPr>
            <w:tcW w:w="7994" w:type="dxa"/>
          </w:tcPr>
          <w:p w:rsidR="003030D9">
            <w:pPr>
              <w:spacing w:after="1"/>
              <w:rPr>
                <w:rFonts w:eastAsia="Times New Roman"/>
                <w:sz w:val="20"/>
                <w:szCs w:val="22"/>
                <w:lang w:val="en-GB"/>
              </w:rPr>
            </w:pPr>
            <w:r>
              <w:rPr>
                <w:rFonts w:eastAsia="Times New Roman"/>
                <w:sz w:val="20"/>
                <w:szCs w:val="22"/>
                <w:lang w:val="en-GB"/>
              </w:rPr>
              <w:t>Committee on Foreign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DEVE</w:t>
            </w:r>
          </w:p>
        </w:tc>
        <w:tc>
          <w:tcPr>
            <w:tcW w:w="7994" w:type="dxa"/>
          </w:tcPr>
          <w:p w:rsidR="003030D9">
            <w:pPr>
              <w:spacing w:after="1"/>
              <w:rPr>
                <w:rFonts w:eastAsia="Times New Roman"/>
                <w:sz w:val="20"/>
                <w:szCs w:val="22"/>
                <w:lang w:val="en-GB"/>
              </w:rPr>
            </w:pPr>
            <w:r>
              <w:rPr>
                <w:rFonts w:eastAsia="Times New Roman"/>
                <w:sz w:val="20"/>
                <w:szCs w:val="22"/>
                <w:lang w:val="en-GB"/>
              </w:rPr>
              <w:t>Committee on Development</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INTA</w:t>
            </w:r>
          </w:p>
        </w:tc>
        <w:tc>
          <w:tcPr>
            <w:tcW w:w="7994" w:type="dxa"/>
          </w:tcPr>
          <w:p w:rsidR="003030D9">
            <w:pPr>
              <w:spacing w:after="1"/>
              <w:rPr>
                <w:rFonts w:eastAsia="Times New Roman"/>
                <w:sz w:val="20"/>
                <w:szCs w:val="22"/>
                <w:lang w:val="en-GB"/>
              </w:rPr>
            </w:pPr>
            <w:r>
              <w:rPr>
                <w:rFonts w:eastAsia="Times New Roman"/>
                <w:sz w:val="20"/>
                <w:szCs w:val="22"/>
                <w:lang w:val="en-GB"/>
              </w:rPr>
              <w:t>Committee on International Trade</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BUDG</w:t>
            </w:r>
          </w:p>
        </w:tc>
        <w:tc>
          <w:tcPr>
            <w:tcW w:w="7994" w:type="dxa"/>
          </w:tcPr>
          <w:p w:rsidR="003030D9">
            <w:pPr>
              <w:spacing w:after="1"/>
              <w:rPr>
                <w:rFonts w:eastAsia="Times New Roman"/>
                <w:sz w:val="20"/>
                <w:szCs w:val="22"/>
                <w:lang w:val="en-GB"/>
              </w:rPr>
            </w:pPr>
            <w:r>
              <w:rPr>
                <w:rFonts w:eastAsia="Times New Roman"/>
                <w:sz w:val="20"/>
                <w:szCs w:val="22"/>
                <w:lang w:val="en-GB"/>
              </w:rPr>
              <w:t>Committee on Budgets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CONT</w:t>
            </w:r>
          </w:p>
        </w:tc>
        <w:tc>
          <w:tcPr>
            <w:tcW w:w="7994" w:type="dxa"/>
          </w:tcPr>
          <w:p w:rsidR="003030D9">
            <w:pPr>
              <w:spacing w:after="1"/>
              <w:rPr>
                <w:rFonts w:eastAsia="Times New Roman"/>
                <w:sz w:val="20"/>
                <w:szCs w:val="22"/>
                <w:lang w:val="en-GB"/>
              </w:rPr>
            </w:pPr>
            <w:r>
              <w:rPr>
                <w:rFonts w:eastAsia="Times New Roman"/>
                <w:sz w:val="20"/>
                <w:szCs w:val="22"/>
                <w:lang w:val="en-GB"/>
              </w:rPr>
              <w:t>Committee on Budgetary Control</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ECON</w:t>
            </w:r>
          </w:p>
        </w:tc>
        <w:tc>
          <w:tcPr>
            <w:tcW w:w="7994" w:type="dxa"/>
          </w:tcPr>
          <w:p w:rsidR="003030D9">
            <w:pPr>
              <w:spacing w:after="1"/>
              <w:rPr>
                <w:rFonts w:eastAsia="Times New Roman"/>
                <w:sz w:val="20"/>
                <w:szCs w:val="22"/>
                <w:lang w:val="en-GB"/>
              </w:rPr>
            </w:pPr>
            <w:r>
              <w:rPr>
                <w:rFonts w:eastAsia="Times New Roman"/>
                <w:sz w:val="20"/>
                <w:szCs w:val="22"/>
                <w:lang w:val="en-GB"/>
              </w:rPr>
              <w:t>Committee on Economic and Monetary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EMPL</w:t>
            </w:r>
          </w:p>
        </w:tc>
        <w:tc>
          <w:tcPr>
            <w:tcW w:w="7994" w:type="dxa"/>
          </w:tcPr>
          <w:p w:rsidR="003030D9">
            <w:pPr>
              <w:spacing w:after="1"/>
              <w:rPr>
                <w:rFonts w:eastAsia="Times New Roman"/>
                <w:sz w:val="20"/>
                <w:szCs w:val="22"/>
                <w:lang w:val="en-GB"/>
              </w:rPr>
            </w:pPr>
            <w:r>
              <w:rPr>
                <w:rFonts w:eastAsia="Times New Roman"/>
                <w:sz w:val="20"/>
                <w:szCs w:val="22"/>
                <w:lang w:val="en-GB"/>
              </w:rPr>
              <w:t>Committee on Employment and Social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ENVI</w:t>
            </w:r>
          </w:p>
        </w:tc>
        <w:tc>
          <w:tcPr>
            <w:tcW w:w="7994" w:type="dxa"/>
          </w:tcPr>
          <w:p w:rsidR="003030D9">
            <w:pPr>
              <w:spacing w:after="1"/>
              <w:rPr>
                <w:rFonts w:eastAsia="Times New Roman"/>
                <w:sz w:val="20"/>
                <w:szCs w:val="22"/>
                <w:lang w:val="en-GB"/>
              </w:rPr>
            </w:pPr>
            <w:r>
              <w:rPr>
                <w:rFonts w:eastAsia="Times New Roman"/>
                <w:sz w:val="20"/>
                <w:szCs w:val="22"/>
                <w:lang w:val="en-GB"/>
              </w:rPr>
              <w:t>Committee on the Environment, Public Health and Food Safety</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ITRE</w:t>
            </w:r>
          </w:p>
        </w:tc>
        <w:tc>
          <w:tcPr>
            <w:tcW w:w="7994" w:type="dxa"/>
          </w:tcPr>
          <w:p w:rsidR="003030D9">
            <w:pPr>
              <w:spacing w:after="1"/>
              <w:rPr>
                <w:rFonts w:eastAsia="Times New Roman"/>
                <w:sz w:val="20"/>
                <w:szCs w:val="22"/>
                <w:lang w:val="en-GB"/>
              </w:rPr>
            </w:pPr>
            <w:r>
              <w:rPr>
                <w:rFonts w:eastAsia="Times New Roman"/>
                <w:sz w:val="20"/>
                <w:szCs w:val="22"/>
                <w:lang w:val="en-GB"/>
              </w:rPr>
              <w:t>Committee on Industry, Research and Energy</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IMCO</w:t>
            </w:r>
          </w:p>
        </w:tc>
        <w:tc>
          <w:tcPr>
            <w:tcW w:w="7994" w:type="dxa"/>
          </w:tcPr>
          <w:p w:rsidR="003030D9">
            <w:pPr>
              <w:spacing w:after="1"/>
              <w:rPr>
                <w:rFonts w:eastAsia="Times New Roman"/>
                <w:sz w:val="20"/>
                <w:szCs w:val="22"/>
                <w:lang w:val="en-GB"/>
              </w:rPr>
            </w:pPr>
            <w:r>
              <w:rPr>
                <w:rFonts w:eastAsia="Times New Roman"/>
                <w:sz w:val="20"/>
                <w:szCs w:val="22"/>
                <w:lang w:val="en-GB"/>
              </w:rPr>
              <w:t>Committee on the Internal Market and Consumer Protection</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TRAN</w:t>
            </w:r>
          </w:p>
        </w:tc>
        <w:tc>
          <w:tcPr>
            <w:tcW w:w="7994" w:type="dxa"/>
          </w:tcPr>
          <w:p w:rsidR="003030D9">
            <w:pPr>
              <w:spacing w:after="1"/>
              <w:rPr>
                <w:rFonts w:eastAsia="Times New Roman"/>
                <w:sz w:val="20"/>
                <w:szCs w:val="22"/>
                <w:lang w:val="en-GB"/>
              </w:rPr>
            </w:pPr>
            <w:r>
              <w:rPr>
                <w:rFonts w:eastAsia="Times New Roman"/>
                <w:sz w:val="20"/>
                <w:szCs w:val="22"/>
                <w:lang w:val="en-GB"/>
              </w:rPr>
              <w:t>Committee on Transport and Tourism</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REGI</w:t>
            </w:r>
          </w:p>
        </w:tc>
        <w:tc>
          <w:tcPr>
            <w:tcW w:w="7994" w:type="dxa"/>
          </w:tcPr>
          <w:p w:rsidR="003030D9">
            <w:pPr>
              <w:spacing w:after="1"/>
              <w:rPr>
                <w:rFonts w:eastAsia="Times New Roman"/>
                <w:sz w:val="20"/>
                <w:szCs w:val="22"/>
                <w:lang w:val="en-GB"/>
              </w:rPr>
            </w:pPr>
            <w:r>
              <w:rPr>
                <w:rFonts w:eastAsia="Times New Roman"/>
                <w:sz w:val="20"/>
                <w:szCs w:val="22"/>
                <w:lang w:val="en-GB"/>
              </w:rPr>
              <w:t>Committee on Regional Development</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AGRI</w:t>
            </w:r>
          </w:p>
        </w:tc>
        <w:tc>
          <w:tcPr>
            <w:tcW w:w="7994" w:type="dxa"/>
          </w:tcPr>
          <w:p w:rsidR="003030D9">
            <w:pPr>
              <w:spacing w:after="1"/>
              <w:rPr>
                <w:rFonts w:eastAsia="Times New Roman"/>
                <w:sz w:val="20"/>
                <w:szCs w:val="22"/>
                <w:lang w:val="en-GB"/>
              </w:rPr>
            </w:pPr>
            <w:r>
              <w:rPr>
                <w:rFonts w:eastAsia="Times New Roman"/>
                <w:sz w:val="20"/>
                <w:szCs w:val="22"/>
                <w:lang w:val="en-GB"/>
              </w:rPr>
              <w:t>Committee on Agriculture and Rural Development</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PECH</w:t>
            </w:r>
          </w:p>
        </w:tc>
        <w:tc>
          <w:tcPr>
            <w:tcW w:w="7994" w:type="dxa"/>
          </w:tcPr>
          <w:p w:rsidR="003030D9">
            <w:pPr>
              <w:spacing w:after="1"/>
              <w:rPr>
                <w:rFonts w:eastAsia="Times New Roman"/>
                <w:sz w:val="20"/>
                <w:szCs w:val="22"/>
                <w:lang w:val="en-GB"/>
              </w:rPr>
            </w:pPr>
            <w:r>
              <w:rPr>
                <w:rFonts w:eastAsia="Times New Roman"/>
                <w:sz w:val="20"/>
                <w:szCs w:val="22"/>
                <w:lang w:val="en-GB"/>
              </w:rPr>
              <w:t>Committee on Fisheries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CULT</w:t>
            </w:r>
          </w:p>
        </w:tc>
        <w:tc>
          <w:tcPr>
            <w:tcW w:w="7994" w:type="dxa"/>
          </w:tcPr>
          <w:p w:rsidR="003030D9">
            <w:pPr>
              <w:spacing w:after="1"/>
              <w:rPr>
                <w:rFonts w:eastAsia="Times New Roman"/>
                <w:sz w:val="20"/>
                <w:szCs w:val="22"/>
                <w:lang w:val="en-GB"/>
              </w:rPr>
            </w:pPr>
            <w:r>
              <w:rPr>
                <w:rFonts w:eastAsia="Times New Roman"/>
                <w:sz w:val="20"/>
                <w:szCs w:val="22"/>
                <w:lang w:val="en-GB"/>
              </w:rPr>
              <w:t>Committee on Culture and Education</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JURI</w:t>
            </w:r>
          </w:p>
        </w:tc>
        <w:tc>
          <w:tcPr>
            <w:tcW w:w="7994" w:type="dxa"/>
          </w:tcPr>
          <w:p w:rsidR="003030D9">
            <w:pPr>
              <w:spacing w:after="1"/>
              <w:rPr>
                <w:rFonts w:eastAsia="Times New Roman"/>
                <w:sz w:val="20"/>
                <w:szCs w:val="22"/>
                <w:lang w:val="en-GB"/>
              </w:rPr>
            </w:pPr>
            <w:r>
              <w:rPr>
                <w:rFonts w:eastAsia="Times New Roman"/>
                <w:sz w:val="20"/>
                <w:szCs w:val="22"/>
                <w:lang w:val="en-GB"/>
              </w:rPr>
              <w:t>Committee on Legal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LIBE</w:t>
            </w:r>
          </w:p>
        </w:tc>
        <w:tc>
          <w:tcPr>
            <w:tcW w:w="7994" w:type="dxa"/>
          </w:tcPr>
          <w:p w:rsidR="003030D9">
            <w:pPr>
              <w:spacing w:after="1"/>
              <w:rPr>
                <w:rFonts w:eastAsia="Times New Roman"/>
                <w:sz w:val="20"/>
                <w:szCs w:val="22"/>
                <w:lang w:val="en-GB"/>
              </w:rPr>
            </w:pPr>
            <w:r>
              <w:rPr>
                <w:rFonts w:eastAsia="Times New Roman"/>
                <w:sz w:val="20"/>
                <w:szCs w:val="22"/>
                <w:lang w:val="en-GB"/>
              </w:rPr>
              <w:t>Committee on Civil Liberties, Justice and Home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AFCO</w:t>
            </w:r>
          </w:p>
        </w:tc>
        <w:tc>
          <w:tcPr>
            <w:tcW w:w="7994" w:type="dxa"/>
          </w:tcPr>
          <w:p w:rsidR="003030D9">
            <w:pPr>
              <w:spacing w:after="1"/>
              <w:rPr>
                <w:rFonts w:eastAsia="Times New Roman"/>
                <w:sz w:val="20"/>
                <w:szCs w:val="22"/>
                <w:lang w:val="en-GB"/>
              </w:rPr>
            </w:pPr>
            <w:r>
              <w:rPr>
                <w:rFonts w:eastAsia="Times New Roman"/>
                <w:sz w:val="20"/>
                <w:szCs w:val="22"/>
                <w:lang w:val="en-GB"/>
              </w:rPr>
              <w:t>Committee on Constitutional Affairs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FEMM</w:t>
            </w:r>
          </w:p>
        </w:tc>
        <w:tc>
          <w:tcPr>
            <w:tcW w:w="7994" w:type="dxa"/>
          </w:tcPr>
          <w:p w:rsidR="003030D9">
            <w:pPr>
              <w:spacing w:after="1"/>
              <w:rPr>
                <w:rFonts w:eastAsia="Times New Roman"/>
                <w:sz w:val="20"/>
                <w:szCs w:val="22"/>
                <w:lang w:val="en-GB"/>
              </w:rPr>
            </w:pPr>
            <w:r>
              <w:rPr>
                <w:rFonts w:eastAsia="Times New Roman"/>
                <w:sz w:val="20"/>
                <w:szCs w:val="22"/>
                <w:lang w:val="en-GB"/>
              </w:rPr>
              <w:t>Committee on Women’s Rights and Gender Equality</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PETI</w:t>
            </w:r>
          </w:p>
        </w:tc>
        <w:tc>
          <w:tcPr>
            <w:tcW w:w="7994" w:type="dxa"/>
          </w:tcPr>
          <w:p w:rsidR="003030D9">
            <w:pPr>
              <w:spacing w:after="1"/>
              <w:rPr>
                <w:rFonts w:eastAsia="Times New Roman"/>
                <w:sz w:val="20"/>
                <w:szCs w:val="22"/>
                <w:lang w:val="en-GB"/>
              </w:rPr>
            </w:pPr>
            <w:r>
              <w:rPr>
                <w:rFonts w:eastAsia="Times New Roman"/>
                <w:sz w:val="20"/>
                <w:szCs w:val="22"/>
                <w:lang w:val="en-GB"/>
              </w:rPr>
              <w:t>Committee on Petitions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p>
        </w:tc>
        <w:tc>
          <w:tcPr>
            <w:tcW w:w="7994" w:type="dxa"/>
          </w:tcPr>
          <w:p w:rsidR="003030D9">
            <w:pPr>
              <w:spacing w:after="1"/>
              <w:rPr>
                <w:sz w:val="20"/>
                <w:szCs w:val="20"/>
                <w:lang w:val="en-GB"/>
              </w:rPr>
            </w:pP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DROI</w:t>
            </w:r>
          </w:p>
        </w:tc>
        <w:tc>
          <w:tcPr>
            <w:tcW w:w="7994" w:type="dxa"/>
          </w:tcPr>
          <w:p w:rsidR="003030D9">
            <w:pPr>
              <w:spacing w:after="1"/>
              <w:rPr>
                <w:sz w:val="20"/>
                <w:lang w:val="en-GB"/>
              </w:rPr>
            </w:pPr>
            <w:r>
              <w:rPr>
                <w:sz w:val="20"/>
                <w:lang w:val="en-GB"/>
              </w:rPr>
              <w:t xml:space="preserve">Subcommittee on Human Rights </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SEDE</w:t>
            </w:r>
          </w:p>
        </w:tc>
        <w:tc>
          <w:tcPr>
            <w:tcW w:w="7994" w:type="dxa"/>
          </w:tcPr>
          <w:p w:rsidR="003030D9">
            <w:pPr>
              <w:spacing w:after="1"/>
              <w:rPr>
                <w:sz w:val="20"/>
                <w:lang w:val="en-GB"/>
              </w:rPr>
            </w:pPr>
            <w:r>
              <w:rPr>
                <w:sz w:val="20"/>
                <w:lang w:val="en-GB"/>
              </w:rPr>
              <w:t>Subcommittee on Security and Defence</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 xml:space="preserve">FISC </w:t>
            </w:r>
          </w:p>
        </w:tc>
        <w:tc>
          <w:tcPr>
            <w:tcW w:w="7994" w:type="dxa"/>
          </w:tcPr>
          <w:p w:rsidR="003030D9">
            <w:pPr>
              <w:spacing w:after="1"/>
              <w:rPr>
                <w:sz w:val="20"/>
                <w:szCs w:val="20"/>
                <w:lang w:val="en-GB"/>
              </w:rPr>
            </w:pPr>
            <w:r>
              <w:rPr>
                <w:sz w:val="20"/>
                <w:szCs w:val="20"/>
                <w:lang w:val="en-GB"/>
              </w:rPr>
              <w:t>Subcommittee on Tax Matters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r>
              <w:rPr>
                <w:sz w:val="20"/>
                <w:lang w:val="en-GB"/>
              </w:rPr>
              <w:t>SANT</w:t>
            </w:r>
          </w:p>
        </w:tc>
        <w:tc>
          <w:tcPr>
            <w:tcW w:w="7994" w:type="dxa"/>
          </w:tcPr>
          <w:p w:rsidR="003030D9">
            <w:pPr>
              <w:spacing w:after="1"/>
              <w:rPr>
                <w:sz w:val="20"/>
                <w:lang w:val="en-GB"/>
              </w:rPr>
            </w:pPr>
            <w:r>
              <w:rPr>
                <w:sz w:val="20"/>
                <w:lang w:val="en-GB"/>
              </w:rPr>
              <w:t>Subcommittee on Public Health</w:t>
            </w:r>
          </w:p>
        </w:tc>
      </w:tr>
      <w:tr>
        <w:tblPrEx>
          <w:tblW w:w="0" w:type="auto"/>
          <w:tblLayout w:type="fixed"/>
          <w:tblCellMar>
            <w:left w:w="0" w:type="dxa"/>
            <w:right w:w="0" w:type="dxa"/>
          </w:tblCellMar>
          <w:tblLook w:val="0000"/>
        </w:tblPrEx>
        <w:trPr>
          <w:cantSplit/>
        </w:trPr>
        <w:tc>
          <w:tcPr>
            <w:tcW w:w="1658" w:type="dxa"/>
          </w:tcPr>
          <w:p w:rsidR="003030D9">
            <w:pPr>
              <w:spacing w:after="1"/>
              <w:rPr>
                <w:sz w:val="20"/>
                <w:lang w:val="en-GB"/>
              </w:rPr>
            </w:pPr>
          </w:p>
        </w:tc>
        <w:tc>
          <w:tcPr>
            <w:tcW w:w="7994" w:type="dxa"/>
          </w:tcPr>
          <w:p w:rsidR="003030D9">
            <w:pPr>
              <w:spacing w:after="1"/>
              <w:rPr>
                <w:sz w:val="20"/>
                <w:szCs w:val="20"/>
                <w:lang w:val="en-GB"/>
              </w:rPr>
            </w:pPr>
          </w:p>
        </w:tc>
      </w:tr>
      <w:tr>
        <w:tblPrEx>
          <w:tblW w:w="0" w:type="auto"/>
          <w:tblLayout w:type="fixed"/>
          <w:tblCellMar>
            <w:left w:w="0" w:type="dxa"/>
            <w:right w:w="0" w:type="dxa"/>
          </w:tblCellMar>
          <w:tblLook w:val="0000"/>
        </w:tblPrEx>
        <w:trPr>
          <w:cantSplit/>
        </w:trPr>
        <w:tc>
          <w:tcPr>
            <w:tcW w:w="9652" w:type="dxa"/>
            <w:gridSpan w:val="2"/>
          </w:tcPr>
          <w:p w:rsidR="003030D9">
            <w:pPr>
              <w:rPr>
                <w:lang w:val="en-GB"/>
              </w:rPr>
            </w:pPr>
          </w:p>
        </w:tc>
      </w:tr>
      <w:tr>
        <w:tblPrEx>
          <w:tblW w:w="0" w:type="auto"/>
          <w:tblLayout w:type="fixed"/>
          <w:tblCellMar>
            <w:left w:w="0" w:type="dxa"/>
            <w:right w:w="0" w:type="dxa"/>
          </w:tblCellMar>
          <w:tblLook w:val="0000"/>
        </w:tblPrEx>
        <w:trPr>
          <w:cantSplit/>
        </w:trPr>
        <w:tc>
          <w:tcPr>
            <w:tcW w:w="9652" w:type="dxa"/>
            <w:gridSpan w:val="2"/>
          </w:tcPr>
          <w:p w:rsidR="003030D9">
            <w:pPr>
              <w:jc w:val="center"/>
              <w:rPr>
                <w:sz w:val="20"/>
                <w:szCs w:val="20"/>
                <w:lang w:val="en-GB"/>
              </w:rPr>
            </w:pPr>
            <w:r>
              <w:rPr>
                <w:sz w:val="20"/>
                <w:szCs w:val="20"/>
                <w:lang w:val="en-GB"/>
              </w:rPr>
              <w:t>ABBREVIATIONS USED FOR POLITICAL GROUPS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p>
        </w:tc>
        <w:tc>
          <w:tcPr>
            <w:tcW w:w="7994" w:type="dxa"/>
          </w:tcPr>
          <w:p w:rsidR="003030D9">
            <w:pPr>
              <w:spacing w:after="1"/>
              <w:rPr>
                <w:sz w:val="20"/>
                <w:lang w:val="en-GB"/>
              </w:rPr>
            </w:pP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PPE</w:t>
            </w:r>
          </w:p>
        </w:tc>
        <w:tc>
          <w:tcPr>
            <w:tcW w:w="7994" w:type="dxa"/>
          </w:tcPr>
          <w:p w:rsidR="003030D9">
            <w:pPr>
              <w:spacing w:after="1"/>
              <w:rPr>
                <w:sz w:val="20"/>
                <w:lang w:val="en-GB"/>
              </w:rPr>
            </w:pPr>
            <w:r>
              <w:rPr>
                <w:sz w:val="20"/>
                <w:lang w:val="en-GB"/>
              </w:rPr>
              <w:t>Group of the European People’s Party (Christian Democrats)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S&amp;D</w:t>
            </w:r>
          </w:p>
        </w:tc>
        <w:tc>
          <w:tcPr>
            <w:tcW w:w="7994" w:type="dxa"/>
          </w:tcPr>
          <w:p w:rsidR="003030D9">
            <w:pPr>
              <w:spacing w:after="1"/>
              <w:rPr>
                <w:sz w:val="20"/>
                <w:lang w:val="en-GB"/>
              </w:rPr>
            </w:pPr>
            <w:r>
              <w:rPr>
                <w:sz w:val="20"/>
                <w:lang w:val="en-GB"/>
              </w:rPr>
              <w:t>Group of the Progressive Alliance of Socialists and Democrats in the European Parliament</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Renew</w:t>
            </w:r>
          </w:p>
        </w:tc>
        <w:tc>
          <w:tcPr>
            <w:tcW w:w="7994" w:type="dxa"/>
          </w:tcPr>
          <w:p w:rsidR="003030D9">
            <w:pPr>
              <w:spacing w:after="1"/>
              <w:rPr>
                <w:sz w:val="20"/>
                <w:lang w:val="en-GB"/>
              </w:rPr>
            </w:pPr>
            <w:r>
              <w:rPr>
                <w:sz w:val="20"/>
                <w:lang w:val="en-GB"/>
              </w:rPr>
              <w:t>Renew Europe Group</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Verts/ALE</w:t>
            </w:r>
          </w:p>
        </w:tc>
        <w:tc>
          <w:tcPr>
            <w:tcW w:w="7994" w:type="dxa"/>
          </w:tcPr>
          <w:p w:rsidR="003030D9">
            <w:pPr>
              <w:spacing w:after="1"/>
              <w:rPr>
                <w:sz w:val="20"/>
                <w:lang w:val="en-GB"/>
              </w:rPr>
            </w:pPr>
            <w:r>
              <w:rPr>
                <w:sz w:val="20"/>
                <w:lang w:val="en-GB"/>
              </w:rPr>
              <w:t>Group of the Greens / European Free Alliance</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ECR</w:t>
            </w:r>
          </w:p>
        </w:tc>
        <w:tc>
          <w:tcPr>
            <w:tcW w:w="7994" w:type="dxa"/>
          </w:tcPr>
          <w:p w:rsidR="003030D9">
            <w:pPr>
              <w:spacing w:after="1"/>
              <w:rPr>
                <w:sz w:val="20"/>
                <w:lang w:val="en-GB"/>
              </w:rPr>
            </w:pPr>
            <w:r>
              <w:rPr>
                <w:sz w:val="20"/>
                <w:lang w:val="en-GB"/>
              </w:rPr>
              <w:t>European Conservatives and Reformists Group</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ID</w:t>
            </w:r>
          </w:p>
        </w:tc>
        <w:tc>
          <w:tcPr>
            <w:tcW w:w="7994" w:type="dxa"/>
          </w:tcPr>
          <w:p w:rsidR="003030D9">
            <w:pPr>
              <w:spacing w:after="1"/>
              <w:rPr>
                <w:sz w:val="20"/>
                <w:lang w:val="en-GB"/>
              </w:rPr>
            </w:pPr>
            <w:r>
              <w:rPr>
                <w:sz w:val="20"/>
                <w:lang w:val="en-GB"/>
              </w:rPr>
              <w:t xml:space="preserve">Identity and Democracy Group </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The Left</w:t>
            </w:r>
          </w:p>
        </w:tc>
        <w:tc>
          <w:tcPr>
            <w:tcW w:w="7994" w:type="dxa"/>
          </w:tcPr>
          <w:p w:rsidR="003030D9">
            <w:pPr>
              <w:spacing w:after="1"/>
              <w:rPr>
                <w:sz w:val="20"/>
                <w:lang w:val="en-GB"/>
              </w:rPr>
            </w:pPr>
            <w:r>
              <w:rPr>
                <w:sz w:val="20"/>
                <w:lang w:val="en-GB"/>
              </w:rPr>
              <w:t>The Left Group in the European Parliament – GUE/NGL</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r>
              <w:rPr>
                <w:sz w:val="20"/>
                <w:szCs w:val="20"/>
                <w:lang w:val="en-GB"/>
              </w:rPr>
              <w:t>NI</w:t>
            </w:r>
          </w:p>
        </w:tc>
        <w:tc>
          <w:tcPr>
            <w:tcW w:w="7994" w:type="dxa"/>
          </w:tcPr>
          <w:p w:rsidR="003030D9">
            <w:pPr>
              <w:spacing w:after="1"/>
              <w:rPr>
                <w:sz w:val="20"/>
                <w:lang w:val="en-GB"/>
              </w:rPr>
            </w:pPr>
            <w:r>
              <w:rPr>
                <w:sz w:val="20"/>
                <w:lang w:val="en-GB"/>
              </w:rPr>
              <w:t>Non-attached Members</w:t>
            </w:r>
          </w:p>
        </w:tc>
      </w:tr>
      <w:tr>
        <w:tblPrEx>
          <w:tblW w:w="0" w:type="auto"/>
          <w:tblLayout w:type="fixed"/>
          <w:tblCellMar>
            <w:left w:w="0" w:type="dxa"/>
            <w:right w:w="0" w:type="dxa"/>
          </w:tblCellMar>
          <w:tblLook w:val="0000"/>
        </w:tblPrEx>
        <w:trPr>
          <w:cantSplit/>
        </w:trPr>
        <w:tc>
          <w:tcPr>
            <w:tcW w:w="1658" w:type="dxa"/>
          </w:tcPr>
          <w:p w:rsidR="003030D9">
            <w:pPr>
              <w:spacing w:after="1"/>
              <w:rPr>
                <w:sz w:val="20"/>
                <w:szCs w:val="20"/>
                <w:lang w:val="en-GB"/>
              </w:rPr>
            </w:pPr>
          </w:p>
        </w:tc>
        <w:tc>
          <w:tcPr>
            <w:tcW w:w="7994" w:type="dxa"/>
          </w:tcPr>
          <w:p w:rsidR="003030D9">
            <w:pPr>
              <w:spacing w:after="1"/>
              <w:rPr>
                <w:sz w:val="20"/>
                <w:lang w:val="en-GB"/>
              </w:rPr>
            </w:pPr>
          </w:p>
        </w:tc>
      </w:tr>
    </w:tbl>
    <w:p w:rsidR="003030D9">
      <w:pPr>
        <w:sectPr>
          <w:pgSz w:w="11906" w:h="16837"/>
          <w:pgMar w:top="567" w:right="1134" w:bottom="567" w:left="1134" w:header="720" w:footer="720" w:gutter="0"/>
          <w:cols w:space="720"/>
          <w:docGrid w:linePitch="360"/>
        </w:sectPr>
      </w:pPr>
    </w:p>
    <w:p w:rsidR="003030D9">
      <w:pPr>
        <w:sectPr>
          <w:footerReference w:type="default" r:id="rId6"/>
          <w:footerReference w:type="first" r:id="rId7"/>
          <w:pgSz w:w="11906" w:h="16837"/>
          <w:pgMar w:top="567" w:right="1134" w:bottom="1134" w:left="1134" w:header="720" w:footer="720" w:gutter="0"/>
          <w:pgNumType w:start="1"/>
          <w:cols w:space="720"/>
          <w:titlePg/>
          <w:docGrid w:linePitch="360"/>
        </w:sectPr>
      </w:pPr>
    </w:p>
    <w:p w:rsidR="003030D9">
      <w:pPr>
        <w:pStyle w:val="ContentsHeading"/>
        <w:sectPr>
          <w:type w:val="continuous"/>
          <w:pgSz w:w="11906" w:h="16837"/>
          <w:pgMar w:top="567" w:right="1134" w:bottom="1134" w:left="1134" w:header="720" w:footer="720" w:gutter="0"/>
          <w:cols w:space="720"/>
          <w:docGrid w:linePitch="360"/>
        </w:sectPr>
      </w:pPr>
      <w:r>
        <w:t>Contents</w:t>
      </w:r>
    </w:p>
    <w:p w:rsidR="001066AB" w:rsidRPr="003030D9">
      <w:pPr>
        <w:pStyle w:val="TOC1"/>
        <w:rPr>
          <w:rFonts w:ascii="Calibri" w:eastAsia="Times New Roman" w:hAnsi="Calibri"/>
          <w:noProof/>
          <w:color w:val="auto"/>
          <w:sz w:val="22"/>
          <w:szCs w:val="22"/>
          <w:lang w:val="en-GB" w:eastAsia="en-GB"/>
        </w:rPr>
      </w:pPr>
      <w:r w:rsidR="003030D9">
        <w:fldChar w:fldCharType="begin"/>
      </w:r>
      <w:r w:rsidR="003030D9">
        <w:instrText xml:space="preserve"> TOC \w \x \f \o "1-3" </w:instrText>
      </w:r>
      <w:r w:rsidR="003030D9">
        <w:fldChar w:fldCharType="separate"/>
      </w:r>
      <w:r>
        <w:rPr>
          <w:noProof/>
        </w:rPr>
        <w:t>1. Opening of the sitting</w:t>
        <w:tab/>
      </w:r>
      <w:r>
        <w:rPr>
          <w:noProof/>
        </w:rPr>
        <w:fldChar w:fldCharType="begin"/>
      </w:r>
      <w:r>
        <w:rPr>
          <w:noProof/>
        </w:rPr>
        <w:instrText xml:space="preserve"> PAGEREF _Toc140088456 \h </w:instrText>
      </w:r>
      <w:r>
        <w:rPr>
          <w:noProof/>
        </w:rPr>
        <w:fldChar w:fldCharType="separate"/>
      </w:r>
      <w:r>
        <w:rPr>
          <w:noProof/>
        </w:rPr>
        <w:t>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 Amendment of the agenda</w:t>
        <w:tab/>
      </w:r>
      <w:r>
        <w:rPr>
          <w:noProof/>
        </w:rPr>
        <w:fldChar w:fldCharType="begin"/>
      </w:r>
      <w:r>
        <w:rPr>
          <w:noProof/>
        </w:rPr>
        <w:instrText xml:space="preserve"> PAGEREF _Toc140088457 \h </w:instrText>
      </w:r>
      <w:r>
        <w:rPr>
          <w:noProof/>
        </w:rPr>
        <w:fldChar w:fldCharType="separate"/>
      </w:r>
      <w:r>
        <w:rPr>
          <w:noProof/>
        </w:rPr>
        <w:t>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3. Nature restoration ***I </w:t>
      </w:r>
      <w:r w:rsidRPr="00133BB8">
        <w:rPr>
          <w:noProof/>
          <w:lang w:val="en-GB"/>
        </w:rPr>
        <w:t>(debate)</w:t>
      </w:r>
      <w:r>
        <w:rPr>
          <w:noProof/>
        </w:rPr>
        <w:tab/>
      </w:r>
      <w:r>
        <w:rPr>
          <w:noProof/>
        </w:rPr>
        <w:fldChar w:fldCharType="begin"/>
      </w:r>
      <w:r>
        <w:rPr>
          <w:noProof/>
        </w:rPr>
        <w:instrText xml:space="preserve"> PAGEREF _Toc140088458 \h </w:instrText>
      </w:r>
      <w:r>
        <w:rPr>
          <w:noProof/>
        </w:rPr>
        <w:fldChar w:fldCharType="separate"/>
      </w:r>
      <w:r>
        <w:rPr>
          <w:noProof/>
        </w:rPr>
        <w:t>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4. European Chips Act ***I </w:t>
      </w:r>
      <w:r w:rsidRPr="00133BB8">
        <w:rPr>
          <w:noProof/>
          <w:lang w:val="en-GB"/>
        </w:rPr>
        <w:t>(debate)</w:t>
      </w:r>
      <w:r>
        <w:rPr>
          <w:noProof/>
        </w:rPr>
        <w:tab/>
      </w:r>
      <w:r>
        <w:rPr>
          <w:noProof/>
        </w:rPr>
        <w:fldChar w:fldCharType="begin"/>
      </w:r>
      <w:r>
        <w:rPr>
          <w:noProof/>
        </w:rPr>
        <w:instrText xml:space="preserve"> PAGEREF _Toc140088459 \h </w:instrText>
      </w:r>
      <w:r>
        <w:rPr>
          <w:noProof/>
        </w:rPr>
        <w:fldChar w:fldCharType="separate"/>
      </w:r>
      <w:r>
        <w:rPr>
          <w:noProof/>
        </w:rPr>
        <w:t>5</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5. Resumption of the sitting</w:t>
        <w:tab/>
      </w:r>
      <w:r>
        <w:rPr>
          <w:noProof/>
        </w:rPr>
        <w:fldChar w:fldCharType="begin"/>
      </w:r>
      <w:r>
        <w:rPr>
          <w:noProof/>
        </w:rPr>
        <w:instrText xml:space="preserve"> PAGEREF _Toc140088460 \h </w:instrText>
      </w:r>
      <w:r>
        <w:rPr>
          <w:noProof/>
        </w:rPr>
        <w:fldChar w:fldCharType="separate"/>
      </w:r>
      <w:r>
        <w:rPr>
          <w:noProof/>
        </w:rPr>
        <w:t>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6. Commemorating the 28th anniversary of Srebrenica </w:t>
      </w:r>
      <w:r w:rsidRPr="00133BB8">
        <w:rPr>
          <w:noProof/>
          <w:lang w:val="en-GB"/>
        </w:rPr>
        <w:t>(statement by the President)</w:t>
      </w:r>
      <w:r>
        <w:rPr>
          <w:noProof/>
        </w:rPr>
        <w:tab/>
      </w:r>
      <w:r>
        <w:rPr>
          <w:noProof/>
        </w:rPr>
        <w:fldChar w:fldCharType="begin"/>
      </w:r>
      <w:r>
        <w:rPr>
          <w:noProof/>
        </w:rPr>
        <w:instrText xml:space="preserve"> PAGEREF _Toc140088461 \h </w:instrText>
      </w:r>
      <w:r>
        <w:rPr>
          <w:noProof/>
        </w:rPr>
        <w:fldChar w:fldCharType="separate"/>
      </w:r>
      <w:r>
        <w:rPr>
          <w:noProof/>
        </w:rPr>
        <w:t>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7. Resumption of the sitting</w:t>
        <w:tab/>
      </w:r>
      <w:r>
        <w:rPr>
          <w:noProof/>
        </w:rPr>
        <w:fldChar w:fldCharType="begin"/>
      </w:r>
      <w:r>
        <w:rPr>
          <w:noProof/>
        </w:rPr>
        <w:instrText xml:space="preserve"> PAGEREF _Toc140088462 \h </w:instrText>
      </w:r>
      <w:r>
        <w:rPr>
          <w:noProof/>
        </w:rPr>
        <w:fldChar w:fldCharType="separate"/>
      </w:r>
      <w:r>
        <w:rPr>
          <w:noProof/>
        </w:rPr>
        <w:t>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8. Voting time</w:t>
        <w:tab/>
      </w:r>
      <w:r>
        <w:rPr>
          <w:noProof/>
        </w:rPr>
        <w:fldChar w:fldCharType="begin"/>
      </w:r>
      <w:r>
        <w:rPr>
          <w:noProof/>
        </w:rPr>
        <w:instrText xml:space="preserve"> PAGEREF _Toc140088463 \h </w:instrText>
      </w:r>
      <w:r>
        <w:rPr>
          <w:noProof/>
        </w:rPr>
        <w:fldChar w:fldCharType="separate"/>
      </w:r>
      <w:r>
        <w:rPr>
          <w:noProof/>
        </w:rPr>
        <w:t>6</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8.1. Request for the waiver of the immunity of Georgios Kyrtsos</w:t>
      </w:r>
      <w:r w:rsidRPr="00133BB8">
        <w:rPr>
          <w:noProof/>
          <w:lang w:val="en-GB"/>
        </w:rPr>
        <w:t xml:space="preserve"> (vote)</w:t>
      </w:r>
      <w:r>
        <w:rPr>
          <w:noProof/>
        </w:rPr>
        <w:tab/>
      </w:r>
      <w:r>
        <w:rPr>
          <w:noProof/>
        </w:rPr>
        <w:fldChar w:fldCharType="begin"/>
      </w:r>
      <w:r>
        <w:rPr>
          <w:noProof/>
        </w:rPr>
        <w:instrText xml:space="preserve"> PAGEREF _Toc140088464 \h </w:instrText>
      </w:r>
      <w:r>
        <w:rPr>
          <w:noProof/>
        </w:rPr>
        <w:fldChar w:fldCharType="separate"/>
      </w:r>
      <w:r>
        <w:rPr>
          <w:noProof/>
        </w:rPr>
        <w:t>6</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8.2. Temporary trade-liberalisation measures supplementing trade concessions applicable to Moldovan products under the EU/Euratom/Moldova Association Agreement ***I </w:t>
      </w:r>
      <w:r w:rsidRPr="00133BB8">
        <w:rPr>
          <w:noProof/>
          <w:lang w:val="en-GB"/>
        </w:rPr>
        <w:t>(vote)</w:t>
      </w:r>
      <w:r>
        <w:rPr>
          <w:noProof/>
        </w:rPr>
        <w:tab/>
      </w:r>
      <w:r>
        <w:rPr>
          <w:noProof/>
        </w:rPr>
        <w:fldChar w:fldCharType="begin"/>
      </w:r>
      <w:r>
        <w:rPr>
          <w:noProof/>
        </w:rPr>
        <w:instrText xml:space="preserve"> PAGEREF _Toc140088465 \h </w:instrText>
      </w:r>
      <w:r>
        <w:rPr>
          <w:noProof/>
        </w:rPr>
        <w:fldChar w:fldCharType="separate"/>
      </w:r>
      <w:r>
        <w:rPr>
          <w:noProof/>
        </w:rPr>
        <w:t>7</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8.3. New Regulation on Construction Products ***I </w:t>
      </w:r>
      <w:r w:rsidRPr="00133BB8">
        <w:rPr>
          <w:noProof/>
          <w:lang w:val="en-GB"/>
        </w:rPr>
        <w:t>(vote)</w:t>
      </w:r>
      <w:r>
        <w:rPr>
          <w:noProof/>
        </w:rPr>
        <w:tab/>
      </w:r>
      <w:r>
        <w:rPr>
          <w:noProof/>
        </w:rPr>
        <w:fldChar w:fldCharType="begin"/>
      </w:r>
      <w:r>
        <w:rPr>
          <w:noProof/>
        </w:rPr>
        <w:instrText xml:space="preserve"> PAGEREF _Toc140088466 \h </w:instrText>
      </w:r>
      <w:r>
        <w:rPr>
          <w:noProof/>
        </w:rPr>
        <w:fldChar w:fldCharType="separate"/>
      </w:r>
      <w:r>
        <w:rPr>
          <w:noProof/>
        </w:rPr>
        <w:t>7</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8.4. Draft amending budget No 2/2023: Entering the surplus of the financial year 2022 </w:t>
      </w:r>
      <w:r w:rsidRPr="00133BB8">
        <w:rPr>
          <w:noProof/>
          <w:lang w:val="en-GB"/>
        </w:rPr>
        <w:t>(vote)</w:t>
      </w:r>
      <w:r>
        <w:rPr>
          <w:noProof/>
        </w:rPr>
        <w:tab/>
      </w:r>
      <w:r>
        <w:rPr>
          <w:noProof/>
        </w:rPr>
        <w:fldChar w:fldCharType="begin"/>
      </w:r>
      <w:r>
        <w:rPr>
          <w:noProof/>
        </w:rPr>
        <w:instrText xml:space="preserve"> PAGEREF _Toc140088467 \h </w:instrText>
      </w:r>
      <w:r>
        <w:rPr>
          <w:noProof/>
        </w:rPr>
        <w:fldChar w:fldCharType="separate"/>
      </w:r>
      <w:r>
        <w:rPr>
          <w:noProof/>
        </w:rPr>
        <w:t>8</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8.5. </w:t>
      </w:r>
      <w:r w:rsidRPr="00133BB8">
        <w:rPr>
          <w:noProof/>
          <w:lang w:val="en-GB"/>
        </w:rPr>
        <w:t xml:space="preserve">Mobilisation of the European Globalisation Adjustment Fund: application EGF/2023/001 BE/LNSA - Belgium </w:t>
      </w:r>
      <w:r>
        <w:rPr>
          <w:noProof/>
        </w:rPr>
        <w:t>(vote)</w:t>
        <w:tab/>
      </w:r>
      <w:r>
        <w:rPr>
          <w:noProof/>
        </w:rPr>
        <w:fldChar w:fldCharType="begin"/>
      </w:r>
      <w:r>
        <w:rPr>
          <w:noProof/>
        </w:rPr>
        <w:instrText xml:space="preserve"> PAGEREF _Toc140088468 \h </w:instrText>
      </w:r>
      <w:r>
        <w:rPr>
          <w:noProof/>
        </w:rPr>
        <w:fldChar w:fldCharType="separate"/>
      </w:r>
      <w:r>
        <w:rPr>
          <w:noProof/>
        </w:rPr>
        <w:t>8</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8.6. EU/Chile Agreement: modification of concessions on all the tariff rate quotas included in the EU Schedule CLXXV as a consequence of the United Kingdom's withdrawal from the European Union</w:t>
      </w:r>
      <w:r w:rsidRPr="00133BB8">
        <w:rPr>
          <w:noProof/>
          <w:lang w:val="en-GB"/>
        </w:rPr>
        <w:t xml:space="preserve"> *** (vote)</w:t>
      </w:r>
      <w:r>
        <w:rPr>
          <w:noProof/>
        </w:rPr>
        <w:tab/>
      </w:r>
      <w:r>
        <w:rPr>
          <w:noProof/>
        </w:rPr>
        <w:fldChar w:fldCharType="begin"/>
      </w:r>
      <w:r>
        <w:rPr>
          <w:noProof/>
        </w:rPr>
        <w:instrText xml:space="preserve"> PAGEREF _Toc140088469 \h </w:instrText>
      </w:r>
      <w:r>
        <w:rPr>
          <w:noProof/>
        </w:rPr>
        <w:fldChar w:fldCharType="separate"/>
      </w:r>
      <w:r>
        <w:rPr>
          <w:noProof/>
        </w:rPr>
        <w:t>8</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8.7. EU/Japan Agreement: air services *** </w:t>
      </w:r>
      <w:r w:rsidRPr="00133BB8">
        <w:rPr>
          <w:noProof/>
          <w:lang w:val="en-GB"/>
        </w:rPr>
        <w:t>(vote)</w:t>
      </w:r>
      <w:r>
        <w:rPr>
          <w:noProof/>
        </w:rPr>
        <w:tab/>
      </w:r>
      <w:r>
        <w:rPr>
          <w:noProof/>
        </w:rPr>
        <w:fldChar w:fldCharType="begin"/>
      </w:r>
      <w:r>
        <w:rPr>
          <w:noProof/>
        </w:rPr>
        <w:instrText xml:space="preserve"> PAGEREF _Toc140088470 \h </w:instrText>
      </w:r>
      <w:r>
        <w:rPr>
          <w:noProof/>
        </w:rPr>
        <w:fldChar w:fldCharType="separate"/>
      </w:r>
      <w:r>
        <w:rPr>
          <w:noProof/>
        </w:rPr>
        <w:t>9</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8.8. Objection pursuant to Rule 112 (4): The food additives nitrites (E 249-250) and nitrates (E 251-252) </w:t>
      </w:r>
      <w:r w:rsidRPr="00133BB8">
        <w:rPr>
          <w:noProof/>
          <w:lang w:val="en-GB"/>
        </w:rPr>
        <w:t>(vote)</w:t>
      </w:r>
      <w:r>
        <w:rPr>
          <w:noProof/>
        </w:rPr>
        <w:tab/>
      </w:r>
      <w:r>
        <w:rPr>
          <w:noProof/>
        </w:rPr>
        <w:fldChar w:fldCharType="begin"/>
      </w:r>
      <w:r>
        <w:rPr>
          <w:noProof/>
        </w:rPr>
        <w:instrText xml:space="preserve"> PAGEREF _Toc140088471 \h </w:instrText>
      </w:r>
      <w:r>
        <w:rPr>
          <w:noProof/>
        </w:rPr>
        <w:fldChar w:fldCharType="separate"/>
      </w:r>
      <w:r>
        <w:rPr>
          <w:noProof/>
        </w:rPr>
        <w:t>9</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8.9. Objection pursuant to Rule 111 (3): Detailed production rules for organic sea salt and other organic salts for food and feed </w:t>
      </w:r>
      <w:r w:rsidRPr="00133BB8">
        <w:rPr>
          <w:noProof/>
          <w:lang w:val="en-GB"/>
        </w:rPr>
        <w:t>(vote)</w:t>
      </w:r>
      <w:r>
        <w:rPr>
          <w:noProof/>
        </w:rPr>
        <w:tab/>
      </w:r>
      <w:r>
        <w:rPr>
          <w:noProof/>
        </w:rPr>
        <w:fldChar w:fldCharType="begin"/>
      </w:r>
      <w:r>
        <w:rPr>
          <w:noProof/>
        </w:rPr>
        <w:instrText xml:space="preserve"> PAGEREF _Toc140088472 \h </w:instrText>
      </w:r>
      <w:r>
        <w:rPr>
          <w:noProof/>
        </w:rPr>
        <w:fldChar w:fldCharType="separate"/>
      </w:r>
      <w:r>
        <w:rPr>
          <w:noProof/>
        </w:rPr>
        <w:t>9</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8.10. Industrial Emissions Directive ***I </w:t>
      </w:r>
      <w:r w:rsidRPr="00133BB8">
        <w:rPr>
          <w:noProof/>
          <w:lang w:val="en-GB"/>
        </w:rPr>
        <w:t>(vote)</w:t>
      </w:r>
      <w:r>
        <w:rPr>
          <w:noProof/>
        </w:rPr>
        <w:tab/>
      </w:r>
      <w:r>
        <w:rPr>
          <w:noProof/>
        </w:rPr>
        <w:fldChar w:fldCharType="begin"/>
      </w:r>
      <w:r>
        <w:rPr>
          <w:noProof/>
        </w:rPr>
        <w:instrText xml:space="preserve"> PAGEREF _Toc140088473 \h </w:instrText>
      </w:r>
      <w:r>
        <w:rPr>
          <w:noProof/>
        </w:rPr>
        <w:fldChar w:fldCharType="separate"/>
      </w:r>
      <w:r>
        <w:rPr>
          <w:noProof/>
        </w:rPr>
        <w:t>9</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8.11. </w:t>
      </w:r>
      <w:r w:rsidRPr="00133BB8">
        <w:rPr>
          <w:noProof/>
          <w:lang w:val="en-GB"/>
        </w:rPr>
        <w:t>Industrial Emissions Portal ***I (vote)</w:t>
      </w:r>
      <w:r>
        <w:rPr>
          <w:noProof/>
        </w:rPr>
        <w:tab/>
      </w:r>
      <w:r>
        <w:rPr>
          <w:noProof/>
        </w:rPr>
        <w:fldChar w:fldCharType="begin"/>
      </w:r>
      <w:r>
        <w:rPr>
          <w:noProof/>
        </w:rPr>
        <w:instrText xml:space="preserve"> PAGEREF _Toc140088474 \h </w:instrText>
      </w:r>
      <w:r>
        <w:rPr>
          <w:noProof/>
        </w:rPr>
        <w:fldChar w:fldCharType="separate"/>
      </w:r>
      <w:r>
        <w:rPr>
          <w:noProof/>
        </w:rPr>
        <w:t>10</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8.12. Deployment of alternative fuels infrastructure ***I </w:t>
      </w:r>
      <w:r w:rsidRPr="00133BB8">
        <w:rPr>
          <w:noProof/>
          <w:lang w:val="en-GB"/>
        </w:rPr>
        <w:t>(vote)</w:t>
      </w:r>
      <w:r>
        <w:rPr>
          <w:noProof/>
        </w:rPr>
        <w:tab/>
      </w:r>
      <w:r>
        <w:rPr>
          <w:noProof/>
        </w:rPr>
        <w:fldChar w:fldCharType="begin"/>
      </w:r>
      <w:r>
        <w:rPr>
          <w:noProof/>
        </w:rPr>
        <w:instrText xml:space="preserve"> PAGEREF _Toc140088475 \h </w:instrText>
      </w:r>
      <w:r>
        <w:rPr>
          <w:noProof/>
        </w:rPr>
        <w:fldChar w:fldCharType="separate"/>
      </w:r>
      <w:r>
        <w:rPr>
          <w:noProof/>
        </w:rPr>
        <w:t>11</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8.13. Sustainable maritime fuels (FuelEU Maritime Initiative) ***I </w:t>
      </w:r>
      <w:r w:rsidRPr="00133BB8">
        <w:rPr>
          <w:noProof/>
          <w:lang w:val="en-GB"/>
        </w:rPr>
        <w:t>(vote)</w:t>
      </w:r>
      <w:r>
        <w:rPr>
          <w:noProof/>
        </w:rPr>
        <w:tab/>
      </w:r>
      <w:r>
        <w:rPr>
          <w:noProof/>
        </w:rPr>
        <w:fldChar w:fldCharType="begin"/>
      </w:r>
      <w:r>
        <w:rPr>
          <w:noProof/>
        </w:rPr>
        <w:instrText xml:space="preserve"> PAGEREF _Toc140088476 \h </w:instrText>
      </w:r>
      <w:r>
        <w:rPr>
          <w:noProof/>
        </w:rPr>
        <w:fldChar w:fldCharType="separate"/>
      </w:r>
      <w:r>
        <w:rPr>
          <w:noProof/>
        </w:rPr>
        <w:t>11</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8.14. Energy efficiency (recast) ***I </w:t>
      </w:r>
      <w:r w:rsidRPr="00133BB8">
        <w:rPr>
          <w:noProof/>
          <w:lang w:val="en-GB"/>
        </w:rPr>
        <w:t>(vote)</w:t>
      </w:r>
      <w:r>
        <w:rPr>
          <w:noProof/>
        </w:rPr>
        <w:tab/>
      </w:r>
      <w:r>
        <w:rPr>
          <w:noProof/>
        </w:rPr>
        <w:fldChar w:fldCharType="begin"/>
      </w:r>
      <w:r>
        <w:rPr>
          <w:noProof/>
        </w:rPr>
        <w:instrText xml:space="preserve"> PAGEREF _Toc140088477 \h </w:instrText>
      </w:r>
      <w:r>
        <w:rPr>
          <w:noProof/>
        </w:rPr>
        <w:fldChar w:fldCharType="separate"/>
      </w:r>
      <w:r>
        <w:rPr>
          <w:noProof/>
        </w:rPr>
        <w:t>11</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8.15. Protection of journalists and human rights defenders from manifestly unfounded or abusive court proceedings</w:t>
      </w:r>
      <w:r w:rsidRPr="00133BB8">
        <w:rPr>
          <w:noProof/>
          <w:lang w:val="en-GB"/>
        </w:rPr>
        <w:t xml:space="preserve"> ***I (vote)</w:t>
      </w:r>
      <w:r>
        <w:rPr>
          <w:noProof/>
        </w:rPr>
        <w:tab/>
      </w:r>
      <w:r>
        <w:rPr>
          <w:noProof/>
        </w:rPr>
        <w:fldChar w:fldCharType="begin"/>
      </w:r>
      <w:r>
        <w:rPr>
          <w:noProof/>
        </w:rPr>
        <w:instrText xml:space="preserve"> PAGEREF _Toc140088478 \h </w:instrText>
      </w:r>
      <w:r>
        <w:rPr>
          <w:noProof/>
        </w:rPr>
        <w:fldChar w:fldCharType="separate"/>
      </w:r>
      <w:r>
        <w:rPr>
          <w:noProof/>
        </w:rPr>
        <w:t>12</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8.16. Management, conservation and control measures in the area covered under the Southern Indian Ocean Fisheries Agreement (SIOFA)</w:t>
      </w:r>
      <w:r w:rsidRPr="00133BB8">
        <w:rPr>
          <w:noProof/>
          <w:lang w:val="en-GB"/>
        </w:rPr>
        <w:t xml:space="preserve"> ***I (vote)</w:t>
      </w:r>
      <w:r>
        <w:rPr>
          <w:noProof/>
        </w:rPr>
        <w:tab/>
      </w:r>
      <w:r>
        <w:rPr>
          <w:noProof/>
        </w:rPr>
        <w:fldChar w:fldCharType="begin"/>
      </w:r>
      <w:r>
        <w:rPr>
          <w:noProof/>
        </w:rPr>
        <w:instrText xml:space="preserve"> PAGEREF _Toc140088479 \h </w:instrText>
      </w:r>
      <w:r>
        <w:rPr>
          <w:noProof/>
        </w:rPr>
        <w:fldChar w:fldCharType="separate"/>
      </w:r>
      <w:r>
        <w:rPr>
          <w:noProof/>
        </w:rPr>
        <w:t>12</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8.17. European Chips Act ***I </w:t>
      </w:r>
      <w:r w:rsidRPr="00133BB8">
        <w:rPr>
          <w:noProof/>
          <w:lang w:val="en-GB"/>
        </w:rPr>
        <w:t>(vote)</w:t>
      </w:r>
      <w:r>
        <w:rPr>
          <w:noProof/>
        </w:rPr>
        <w:tab/>
      </w:r>
      <w:r>
        <w:rPr>
          <w:noProof/>
        </w:rPr>
        <w:fldChar w:fldCharType="begin"/>
      </w:r>
      <w:r>
        <w:rPr>
          <w:noProof/>
        </w:rPr>
        <w:instrText xml:space="preserve"> PAGEREF _Toc140088480 \h </w:instrText>
      </w:r>
      <w:r>
        <w:rPr>
          <w:noProof/>
        </w:rPr>
        <w:fldChar w:fldCharType="separate"/>
      </w:r>
      <w:r>
        <w:rPr>
          <w:noProof/>
        </w:rPr>
        <w:t>12</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8.18. Protection of journalists around the world and the European Union’s policy on the matter </w:t>
      </w:r>
      <w:r w:rsidRPr="00133BB8">
        <w:rPr>
          <w:noProof/>
          <w:lang w:val="en-GB"/>
        </w:rPr>
        <w:t>(vote)</w:t>
      </w:r>
      <w:r>
        <w:rPr>
          <w:noProof/>
        </w:rPr>
        <w:tab/>
      </w:r>
      <w:r>
        <w:rPr>
          <w:noProof/>
        </w:rPr>
        <w:fldChar w:fldCharType="begin"/>
      </w:r>
      <w:r>
        <w:rPr>
          <w:noProof/>
        </w:rPr>
        <w:instrText xml:space="preserve"> PAGEREF _Toc140088481 \h </w:instrText>
      </w:r>
      <w:r>
        <w:rPr>
          <w:noProof/>
        </w:rPr>
        <w:fldChar w:fldCharType="separate"/>
      </w:r>
      <w:r>
        <w:rPr>
          <w:noProof/>
        </w:rPr>
        <w:t>13</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 xml:space="preserve">8.19. The electoral law, the investigative committee and the rule of law in Poland </w:t>
      </w:r>
      <w:r w:rsidRPr="00133BB8">
        <w:rPr>
          <w:noProof/>
          <w:lang w:val="en-GB"/>
        </w:rPr>
        <w:t>(vote)</w:t>
      </w:r>
      <w:r>
        <w:rPr>
          <w:noProof/>
        </w:rPr>
        <w:tab/>
      </w:r>
      <w:r>
        <w:rPr>
          <w:noProof/>
        </w:rPr>
        <w:fldChar w:fldCharType="begin"/>
      </w:r>
      <w:r>
        <w:rPr>
          <w:noProof/>
        </w:rPr>
        <w:instrText xml:space="preserve"> PAGEREF _Toc140088482 \h </w:instrText>
      </w:r>
      <w:r>
        <w:rPr>
          <w:noProof/>
        </w:rPr>
        <w:fldChar w:fldCharType="separate"/>
      </w:r>
      <w:r>
        <w:rPr>
          <w:noProof/>
        </w:rPr>
        <w:t>13</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8.20. Implementation of passerelle clauses in the EU Treaties</w:t>
      </w:r>
      <w:r w:rsidRPr="00133BB8">
        <w:rPr>
          <w:noProof/>
          <w:lang w:val="en-GB"/>
        </w:rPr>
        <w:t xml:space="preserve"> (vote)</w:t>
      </w:r>
      <w:r>
        <w:rPr>
          <w:noProof/>
        </w:rPr>
        <w:tab/>
      </w:r>
      <w:r>
        <w:rPr>
          <w:noProof/>
        </w:rPr>
        <w:fldChar w:fldCharType="begin"/>
      </w:r>
      <w:r>
        <w:rPr>
          <w:noProof/>
        </w:rPr>
        <w:instrText xml:space="preserve"> PAGEREF _Toc140088483 \h </w:instrText>
      </w:r>
      <w:r>
        <w:rPr>
          <w:noProof/>
        </w:rPr>
        <w:fldChar w:fldCharType="separate"/>
      </w:r>
      <w:r>
        <w:rPr>
          <w:noProof/>
        </w:rPr>
        <w:t>13</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8.21. Banking Union – annual report 2022</w:t>
      </w:r>
      <w:r w:rsidRPr="00133BB8">
        <w:rPr>
          <w:noProof/>
          <w:lang w:val="en-GB"/>
        </w:rPr>
        <w:t xml:space="preserve"> (vote)</w:t>
      </w:r>
      <w:r>
        <w:rPr>
          <w:noProof/>
        </w:rPr>
        <w:tab/>
      </w:r>
      <w:r>
        <w:rPr>
          <w:noProof/>
        </w:rPr>
        <w:fldChar w:fldCharType="begin"/>
      </w:r>
      <w:r>
        <w:rPr>
          <w:noProof/>
        </w:rPr>
        <w:instrText xml:space="preserve"> PAGEREF _Toc140088484 \h </w:instrText>
      </w:r>
      <w:r>
        <w:rPr>
          <w:noProof/>
        </w:rPr>
        <w:fldChar w:fldCharType="separate"/>
      </w:r>
      <w:r>
        <w:rPr>
          <w:noProof/>
        </w:rPr>
        <w:t>14</w:t>
      </w:r>
      <w:r>
        <w:rPr>
          <w:noProof/>
        </w:rPr>
        <w:fldChar w:fldCharType="end"/>
      </w:r>
    </w:p>
    <w:p w:rsidR="001066AB" w:rsidRPr="003030D9">
      <w:pPr>
        <w:pStyle w:val="TOC2"/>
        <w:rPr>
          <w:rFonts w:ascii="Calibri" w:eastAsia="Times New Roman" w:hAnsi="Calibri"/>
          <w:noProof/>
          <w:color w:val="auto"/>
          <w:sz w:val="22"/>
          <w:szCs w:val="22"/>
          <w:lang w:val="en-GB" w:eastAsia="en-GB"/>
        </w:rPr>
      </w:pPr>
      <w:r>
        <w:rPr>
          <w:noProof/>
        </w:rPr>
        <w:t>8.22. Fostering and adapting vocational training as a tool for employees' success and a building block for the EU economy in the new industry 4.0</w:t>
      </w:r>
      <w:r w:rsidRPr="00133BB8">
        <w:rPr>
          <w:noProof/>
          <w:lang w:val="en-GB"/>
        </w:rPr>
        <w:t xml:space="preserve"> (vote)</w:t>
      </w:r>
      <w:r>
        <w:rPr>
          <w:noProof/>
        </w:rPr>
        <w:tab/>
      </w:r>
      <w:r>
        <w:rPr>
          <w:noProof/>
        </w:rPr>
        <w:fldChar w:fldCharType="begin"/>
      </w:r>
      <w:r>
        <w:rPr>
          <w:noProof/>
        </w:rPr>
        <w:instrText xml:space="preserve"> PAGEREF _Toc140088485 \h </w:instrText>
      </w:r>
      <w:r>
        <w:rPr>
          <w:noProof/>
        </w:rPr>
        <w:fldChar w:fldCharType="separate"/>
      </w:r>
      <w:r>
        <w:rPr>
          <w:noProof/>
        </w:rPr>
        <w:t>14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9. Resumption of the sitting</w:t>
        <w:tab/>
      </w:r>
      <w:r>
        <w:rPr>
          <w:noProof/>
        </w:rPr>
        <w:fldChar w:fldCharType="begin"/>
      </w:r>
      <w:r>
        <w:rPr>
          <w:noProof/>
        </w:rPr>
        <w:instrText xml:space="preserve"> PAGEREF _Toc140088486 \h </w:instrText>
      </w:r>
      <w:r>
        <w:rPr>
          <w:noProof/>
        </w:rPr>
        <w:fldChar w:fldCharType="separate"/>
      </w:r>
      <w:r>
        <w:rPr>
          <w:noProof/>
        </w:rPr>
        <w:t>14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10. COVID-19 pandemic: lessons learned and recommendations for the future </w:t>
      </w:r>
      <w:r w:rsidRPr="00133BB8">
        <w:rPr>
          <w:noProof/>
          <w:lang w:val="en-GB"/>
        </w:rPr>
        <w:t>(debate)</w:t>
      </w:r>
      <w:r>
        <w:rPr>
          <w:noProof/>
        </w:rPr>
        <w:tab/>
      </w:r>
      <w:r>
        <w:rPr>
          <w:noProof/>
        </w:rPr>
        <w:fldChar w:fldCharType="begin"/>
      </w:r>
      <w:r>
        <w:rPr>
          <w:noProof/>
        </w:rPr>
        <w:instrText xml:space="preserve"> PAGEREF _Toc140088487 \h </w:instrText>
      </w:r>
      <w:r>
        <w:rPr>
          <w:noProof/>
        </w:rPr>
        <w:fldChar w:fldCharType="separate"/>
      </w:r>
      <w:r>
        <w:rPr>
          <w:noProof/>
        </w:rPr>
        <w:t>14</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11. 2023 Annual Rule of law report </w:t>
      </w:r>
      <w:r w:rsidRPr="00133BB8">
        <w:rPr>
          <w:noProof/>
          <w:lang w:val="en-GB"/>
        </w:rPr>
        <w:t>(debate)</w:t>
      </w:r>
      <w:r>
        <w:rPr>
          <w:noProof/>
        </w:rPr>
        <w:tab/>
      </w:r>
      <w:r>
        <w:rPr>
          <w:noProof/>
        </w:rPr>
        <w:fldChar w:fldCharType="begin"/>
      </w:r>
      <w:r>
        <w:rPr>
          <w:noProof/>
        </w:rPr>
        <w:instrText xml:space="preserve"> PAGEREF _Toc140088488 \h </w:instrText>
      </w:r>
      <w:r>
        <w:rPr>
          <w:noProof/>
        </w:rPr>
        <w:fldChar w:fldCharType="separate"/>
      </w:r>
      <w:r>
        <w:rPr>
          <w:noProof/>
        </w:rPr>
        <w:t>15</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12. Approval of the minutes of the previous sitting</w:t>
        <w:tab/>
      </w:r>
      <w:r>
        <w:rPr>
          <w:noProof/>
        </w:rPr>
        <w:fldChar w:fldCharType="begin"/>
      </w:r>
      <w:r>
        <w:rPr>
          <w:noProof/>
        </w:rPr>
        <w:instrText xml:space="preserve"> PAGEREF _Toc140088489 \h </w:instrText>
      </w:r>
      <w:r>
        <w:rPr>
          <w:noProof/>
        </w:rPr>
        <w:fldChar w:fldCharType="separate"/>
      </w:r>
      <w:r>
        <w:rPr>
          <w:noProof/>
        </w:rPr>
        <w:t>16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13. Greening transport package </w:t>
      </w:r>
      <w:r w:rsidRPr="00133BB8">
        <w:rPr>
          <w:noProof/>
          <w:lang w:val="en-GB"/>
        </w:rPr>
        <w:t>(debate)</w:t>
      </w:r>
      <w:r>
        <w:rPr>
          <w:noProof/>
        </w:rPr>
        <w:tab/>
      </w:r>
      <w:r>
        <w:rPr>
          <w:noProof/>
        </w:rPr>
        <w:fldChar w:fldCharType="begin"/>
      </w:r>
      <w:r>
        <w:rPr>
          <w:noProof/>
        </w:rPr>
        <w:instrText xml:space="preserve"> PAGEREF _Toc140088490 \h </w:instrText>
      </w:r>
      <w:r>
        <w:rPr>
          <w:noProof/>
        </w:rPr>
        <w:fldChar w:fldCharType="separate"/>
      </w:r>
      <w:r>
        <w:rPr>
          <w:noProof/>
        </w:rPr>
        <w:t>16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14. Question Time (Commission) – EU-Africa Strategy</w:t>
        <w:tab/>
      </w:r>
      <w:r>
        <w:rPr>
          <w:noProof/>
        </w:rPr>
        <w:fldChar w:fldCharType="begin"/>
      </w:r>
      <w:r>
        <w:rPr>
          <w:noProof/>
        </w:rPr>
        <w:instrText xml:space="preserve"> PAGEREF _Toc140088491 \h </w:instrText>
      </w:r>
      <w:r>
        <w:rPr>
          <w:noProof/>
        </w:rPr>
        <w:fldChar w:fldCharType="separate"/>
      </w:r>
      <w:r>
        <w:rPr>
          <w:noProof/>
        </w:rPr>
        <w:t>16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15. Relations with the Palestinian Authority </w:t>
      </w:r>
      <w:r w:rsidRPr="00133BB8">
        <w:rPr>
          <w:noProof/>
          <w:lang w:val="en-GB"/>
        </w:rPr>
        <w:t>(debate)</w:t>
      </w:r>
      <w:r>
        <w:rPr>
          <w:noProof/>
        </w:rPr>
        <w:tab/>
      </w:r>
      <w:r>
        <w:rPr>
          <w:noProof/>
        </w:rPr>
        <w:fldChar w:fldCharType="begin"/>
      </w:r>
      <w:r>
        <w:rPr>
          <w:noProof/>
        </w:rPr>
        <w:instrText xml:space="preserve"> PAGEREF _Toc140088492 \h </w:instrText>
      </w:r>
      <w:r>
        <w:rPr>
          <w:noProof/>
        </w:rPr>
        <w:fldChar w:fldCharType="separate"/>
      </w:r>
      <w:r>
        <w:rPr>
          <w:noProof/>
        </w:rPr>
        <w:t>16</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16. 2022 Report on Bosnia and Herzegovina </w:t>
      </w:r>
      <w:r w:rsidRPr="00133BB8">
        <w:rPr>
          <w:noProof/>
          <w:lang w:val="en-GB"/>
        </w:rPr>
        <w:t>(debate)</w:t>
      </w:r>
      <w:r>
        <w:rPr>
          <w:noProof/>
        </w:rPr>
        <w:tab/>
      </w:r>
      <w:r>
        <w:rPr>
          <w:noProof/>
        </w:rPr>
        <w:fldChar w:fldCharType="begin"/>
      </w:r>
      <w:r>
        <w:rPr>
          <w:noProof/>
        </w:rPr>
        <w:instrText xml:space="preserve"> PAGEREF _Toc140088493 \h </w:instrText>
      </w:r>
      <w:r>
        <w:rPr>
          <w:noProof/>
        </w:rPr>
        <w:fldChar w:fldCharType="separate"/>
      </w:r>
      <w:r>
        <w:rPr>
          <w:noProof/>
        </w:rPr>
        <w:t>17</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17. Corrigendum </w:t>
      </w:r>
      <w:r w:rsidRPr="00133BB8">
        <w:rPr>
          <w:noProof/>
          <w:lang w:val="en-GB"/>
        </w:rPr>
        <w:t>(Rule 241) (action taken)</w:t>
      </w:r>
      <w:r>
        <w:rPr>
          <w:noProof/>
        </w:rPr>
        <w:tab/>
      </w:r>
      <w:r>
        <w:rPr>
          <w:noProof/>
        </w:rPr>
        <w:fldChar w:fldCharType="begin"/>
      </w:r>
      <w:r>
        <w:rPr>
          <w:noProof/>
        </w:rPr>
        <w:instrText xml:space="preserve"> PAGEREF _Toc140088494 \h </w:instrText>
      </w:r>
      <w:r>
        <w:rPr>
          <w:noProof/>
        </w:rPr>
        <w:fldChar w:fldCharType="separate"/>
      </w:r>
      <w:r>
        <w:rPr>
          <w:noProof/>
        </w:rPr>
        <w:t>18</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18. 2022 Report on Albania </w:t>
      </w:r>
      <w:r w:rsidRPr="00133BB8">
        <w:rPr>
          <w:noProof/>
          <w:lang w:val="en-GB"/>
        </w:rPr>
        <w:t>(debate)</w:t>
      </w:r>
      <w:r>
        <w:rPr>
          <w:noProof/>
        </w:rPr>
        <w:tab/>
      </w:r>
      <w:r>
        <w:rPr>
          <w:noProof/>
        </w:rPr>
        <w:fldChar w:fldCharType="begin"/>
      </w:r>
      <w:r>
        <w:rPr>
          <w:noProof/>
        </w:rPr>
        <w:instrText xml:space="preserve"> PAGEREF _Toc140088495 \h </w:instrText>
      </w:r>
      <w:r>
        <w:rPr>
          <w:noProof/>
        </w:rPr>
        <w:fldChar w:fldCharType="separate"/>
      </w:r>
      <w:r>
        <w:rPr>
          <w:noProof/>
        </w:rPr>
        <w:t>18</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19. Financial activities of the European Investment Bank – annual report 2022 – Control of the financial activities of the European Investment Bank – annual report 2022 </w:t>
      </w:r>
      <w:r w:rsidRPr="00133BB8">
        <w:rPr>
          <w:noProof/>
          <w:lang w:val="en-GB"/>
        </w:rPr>
        <w:t xml:space="preserve">(joint debate </w:t>
      </w:r>
      <w:r>
        <w:rPr>
          <w:noProof/>
        </w:rPr>
        <w:t xml:space="preserve">– </w:t>
      </w:r>
      <w:r w:rsidRPr="00133BB8">
        <w:rPr>
          <w:noProof/>
          <w:lang w:val="en-GB"/>
        </w:rPr>
        <w:t xml:space="preserve"> European Investment Bank)</w:t>
      </w:r>
      <w:r>
        <w:rPr>
          <w:noProof/>
        </w:rPr>
        <w:tab/>
      </w:r>
      <w:r>
        <w:rPr>
          <w:noProof/>
        </w:rPr>
        <w:fldChar w:fldCharType="begin"/>
      </w:r>
      <w:r>
        <w:rPr>
          <w:noProof/>
        </w:rPr>
        <w:instrText xml:space="preserve"> PAGEREF _Toc140088496 \h </w:instrText>
      </w:r>
      <w:r>
        <w:rPr>
          <w:noProof/>
        </w:rPr>
        <w:fldChar w:fldCharType="separate"/>
      </w:r>
      <w:r>
        <w:rPr>
          <w:noProof/>
        </w:rPr>
        <w:t>18</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20. Accession to the Schengen area </w:t>
      </w:r>
      <w:r w:rsidRPr="00133BB8">
        <w:rPr>
          <w:noProof/>
          <w:lang w:val="en-GB"/>
        </w:rPr>
        <w:t>(short presentation)</w:t>
      </w:r>
      <w:r>
        <w:rPr>
          <w:noProof/>
        </w:rPr>
        <w:tab/>
      </w:r>
      <w:r>
        <w:rPr>
          <w:noProof/>
        </w:rPr>
        <w:fldChar w:fldCharType="begin"/>
      </w:r>
      <w:r>
        <w:rPr>
          <w:noProof/>
        </w:rPr>
        <w:instrText xml:space="preserve"> PAGEREF _Toc140088497 \h </w:instrText>
      </w:r>
      <w:r>
        <w:rPr>
          <w:noProof/>
        </w:rPr>
        <w:fldChar w:fldCharType="separate"/>
      </w:r>
      <w:r>
        <w:rPr>
          <w:noProof/>
        </w:rPr>
        <w:t>19</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 xml:space="preserve">21. Ecodesign Regulation ***I </w:t>
      </w:r>
      <w:r w:rsidRPr="00133BB8">
        <w:rPr>
          <w:noProof/>
          <w:lang w:val="en-GB"/>
        </w:rPr>
        <w:t>(debate)</w:t>
      </w:r>
      <w:r>
        <w:rPr>
          <w:noProof/>
        </w:rPr>
        <w:tab/>
      </w:r>
      <w:r>
        <w:rPr>
          <w:noProof/>
        </w:rPr>
        <w:fldChar w:fldCharType="begin"/>
      </w:r>
      <w:r>
        <w:rPr>
          <w:noProof/>
        </w:rPr>
        <w:instrText xml:space="preserve"> PAGEREF _Toc140088498 \h </w:instrText>
      </w:r>
      <w:r>
        <w:rPr>
          <w:noProof/>
        </w:rPr>
        <w:fldChar w:fldCharType="separate"/>
      </w:r>
      <w:r>
        <w:rPr>
          <w:noProof/>
        </w:rPr>
        <w:t>19</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22. Explanations of vote</w:t>
        <w:tab/>
      </w:r>
      <w:r>
        <w:rPr>
          <w:noProof/>
        </w:rPr>
        <w:fldChar w:fldCharType="begin"/>
      </w:r>
      <w:r>
        <w:rPr>
          <w:noProof/>
        </w:rPr>
        <w:instrText xml:space="preserve"> PAGEREF _Toc140088499 \h </w:instrText>
      </w:r>
      <w:r>
        <w:rPr>
          <w:noProof/>
        </w:rPr>
        <w:fldChar w:fldCharType="separate"/>
      </w:r>
      <w:r>
        <w:rPr>
          <w:noProof/>
        </w:rPr>
        <w:t>20</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23. Agenda of the next sitting</w:t>
        <w:tab/>
      </w:r>
      <w:r>
        <w:rPr>
          <w:noProof/>
        </w:rPr>
        <w:fldChar w:fldCharType="begin"/>
      </w:r>
      <w:r>
        <w:rPr>
          <w:noProof/>
        </w:rPr>
        <w:instrText xml:space="preserve"> PAGEREF _Toc140088500 \h </w:instrText>
      </w:r>
      <w:r>
        <w:rPr>
          <w:noProof/>
        </w:rPr>
        <w:fldChar w:fldCharType="separate"/>
      </w:r>
      <w:r>
        <w:rPr>
          <w:noProof/>
        </w:rPr>
        <w:t>20</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24. Approval of the minutes of the sitting</w:t>
        <w:tab/>
      </w:r>
      <w:r>
        <w:rPr>
          <w:noProof/>
        </w:rPr>
        <w:fldChar w:fldCharType="begin"/>
      </w:r>
      <w:r>
        <w:rPr>
          <w:noProof/>
        </w:rPr>
        <w:instrText xml:space="preserve"> PAGEREF _Toc140088501 \h </w:instrText>
      </w:r>
      <w:r>
        <w:rPr>
          <w:noProof/>
        </w:rPr>
        <w:fldChar w:fldCharType="separate"/>
      </w:r>
      <w:r>
        <w:rPr>
          <w:noProof/>
        </w:rPr>
        <w:t>20</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25. Closure of the sitting</w:t>
        <w:tab/>
      </w:r>
      <w:r>
        <w:rPr>
          <w:noProof/>
        </w:rPr>
        <w:fldChar w:fldCharType="begin"/>
      </w:r>
      <w:r>
        <w:rPr>
          <w:noProof/>
        </w:rPr>
        <w:instrText xml:space="preserve"> PAGEREF _Toc140088502 \h </w:instrText>
      </w:r>
      <w:r>
        <w:rPr>
          <w:noProof/>
        </w:rPr>
        <w:fldChar w:fldCharType="separate"/>
      </w:r>
      <w:r>
        <w:rPr>
          <w:noProof/>
        </w:rPr>
        <w:t>20</w:t>
      </w:r>
      <w:r>
        <w:rPr>
          <w:noProof/>
        </w:rPr>
        <w:fldChar w:fldCharType="end"/>
      </w:r>
    </w:p>
    <w:p w:rsidR="001066AB" w:rsidRPr="003030D9">
      <w:pPr>
        <w:pStyle w:val="TOC1"/>
        <w:rPr>
          <w:rFonts w:ascii="Calibri" w:eastAsia="Times New Roman" w:hAnsi="Calibri"/>
          <w:noProof/>
          <w:color w:val="auto"/>
          <w:sz w:val="22"/>
          <w:szCs w:val="22"/>
          <w:lang w:val="en-GB" w:eastAsia="en-GB"/>
        </w:rPr>
      </w:pPr>
      <w:r w:rsidRPr="00133BB8">
        <w:rPr>
          <w:noProof/>
          <w:lang w:val="en-GB"/>
        </w:rPr>
        <w:t>LIST OF DOCUMENTS SERVING AS A BASIS FOR THE DEBATES AND DECISIONS OF PARLIAMENT</w:t>
      </w:r>
      <w:r>
        <w:rPr>
          <w:noProof/>
        </w:rPr>
        <w:tab/>
      </w:r>
      <w:r>
        <w:rPr>
          <w:noProof/>
        </w:rPr>
        <w:fldChar w:fldCharType="begin"/>
      </w:r>
      <w:r>
        <w:rPr>
          <w:noProof/>
        </w:rPr>
        <w:instrText xml:space="preserve"> PAGEREF _Toc140088503 \h </w:instrText>
      </w:r>
      <w:r>
        <w:rPr>
          <w:noProof/>
        </w:rPr>
        <w:fldChar w:fldCharType="separate"/>
      </w:r>
      <w:r>
        <w:rPr>
          <w:noProof/>
        </w:rPr>
        <w:t>21</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1. Motions for resolutions tabled</w:t>
        <w:tab/>
      </w:r>
      <w:r>
        <w:rPr>
          <w:noProof/>
        </w:rPr>
        <w:fldChar w:fldCharType="begin"/>
      </w:r>
      <w:r>
        <w:rPr>
          <w:noProof/>
        </w:rPr>
        <w:instrText xml:space="preserve"> PAGEREF _Toc140088504 \h </w:instrText>
      </w:r>
      <w:r>
        <w:rPr>
          <w:noProof/>
        </w:rPr>
        <w:fldChar w:fldCharType="separate"/>
      </w:r>
      <w:r>
        <w:rPr>
          <w:noProof/>
        </w:rPr>
        <w:t>21</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2. Action taken on Parliament’s positions and resolutions</w:t>
        <w:tab/>
      </w:r>
      <w:r>
        <w:rPr>
          <w:noProof/>
        </w:rPr>
        <w:fldChar w:fldCharType="begin"/>
      </w:r>
      <w:r>
        <w:rPr>
          <w:noProof/>
        </w:rPr>
        <w:instrText xml:space="preserve"> PAGEREF _Toc140088505 \h </w:instrText>
      </w:r>
      <w:r>
        <w:rPr>
          <w:noProof/>
        </w:rPr>
        <w:fldChar w:fldCharType="separate"/>
      </w:r>
      <w:r>
        <w:rPr>
          <w:noProof/>
        </w:rPr>
        <w:t>21</w:t>
      </w:r>
      <w:r>
        <w:rPr>
          <w:noProof/>
        </w:rPr>
        <w:fldChar w:fldCharType="end"/>
      </w:r>
    </w:p>
    <w:p w:rsidR="001066AB" w:rsidRPr="003030D9">
      <w:pPr>
        <w:pStyle w:val="TOC1"/>
        <w:rPr>
          <w:rFonts w:ascii="Calibri" w:eastAsia="Times New Roman" w:hAnsi="Calibri"/>
          <w:noProof/>
          <w:color w:val="auto"/>
          <w:sz w:val="22"/>
          <w:szCs w:val="22"/>
          <w:lang w:val="en-GB" w:eastAsia="en-GB"/>
        </w:rPr>
      </w:pPr>
      <w:r>
        <w:rPr>
          <w:noProof/>
        </w:rPr>
        <w:t>3. Modified referrals to committees</w:t>
        <w:tab/>
      </w:r>
      <w:r>
        <w:rPr>
          <w:noProof/>
        </w:rPr>
        <w:fldChar w:fldCharType="begin"/>
      </w:r>
      <w:r>
        <w:rPr>
          <w:noProof/>
        </w:rPr>
        <w:instrText xml:space="preserve"> PAGEREF _Toc140088506 \h </w:instrText>
      </w:r>
      <w:r>
        <w:rPr>
          <w:noProof/>
        </w:rPr>
        <w:fldChar w:fldCharType="separate"/>
      </w:r>
      <w:r>
        <w:rPr>
          <w:noProof/>
        </w:rPr>
        <w:t>21</w:t>
      </w:r>
      <w:r>
        <w:rPr>
          <w:noProof/>
        </w:rPr>
        <w:fldChar w:fldCharType="end"/>
      </w:r>
    </w:p>
    <w:p w:rsidR="001066AB" w:rsidRPr="003030D9">
      <w:pPr>
        <w:pStyle w:val="TOC1"/>
        <w:rPr>
          <w:rFonts w:ascii="Calibri" w:eastAsia="Times New Roman" w:hAnsi="Calibri"/>
          <w:noProof/>
          <w:color w:val="auto"/>
          <w:sz w:val="22"/>
          <w:szCs w:val="22"/>
          <w:lang w:val="en-GB" w:eastAsia="en-GB"/>
        </w:rPr>
      </w:pPr>
      <w:r w:rsidRPr="00133BB8">
        <w:rPr>
          <w:noProof/>
          <w:lang w:val="en-GB"/>
        </w:rPr>
        <w:t>ATTENDANCE REGISTER</w:t>
      </w:r>
      <w:r>
        <w:rPr>
          <w:noProof/>
        </w:rPr>
        <w:tab/>
      </w:r>
      <w:r>
        <w:rPr>
          <w:noProof/>
        </w:rPr>
        <w:fldChar w:fldCharType="begin"/>
      </w:r>
      <w:r>
        <w:rPr>
          <w:noProof/>
        </w:rPr>
        <w:instrText xml:space="preserve"> PAGEREF _Toc140088507 \h </w:instrText>
      </w:r>
      <w:r>
        <w:rPr>
          <w:noProof/>
        </w:rPr>
        <w:fldChar w:fldCharType="separate"/>
      </w:r>
      <w:r>
        <w:rPr>
          <w:noProof/>
        </w:rPr>
        <w:t>22</w:t>
      </w:r>
      <w:r>
        <w:rPr>
          <w:noProof/>
        </w:rPr>
        <w:fldChar w:fldCharType="end"/>
      </w:r>
    </w:p>
    <w:p w:rsidR="003030D9">
      <w:pPr>
        <w:pStyle w:val="TOC1"/>
        <w:tabs>
          <w:tab w:val="clear" w:pos="9637"/>
          <w:tab w:val="right" w:leader="dot" w:pos="9638"/>
        </w:tabs>
        <w:sectPr>
          <w:type w:val="continuous"/>
          <w:pgSz w:w="11906" w:h="16837"/>
          <w:pgMar w:top="567" w:right="1134" w:bottom="1134" w:left="1134" w:header="720" w:footer="720" w:gutter="0"/>
          <w:cols w:space="720"/>
          <w:docGrid w:linePitch="360"/>
        </w:sectPr>
      </w:pPr>
      <w:r>
        <w:fldChar w:fldCharType="end"/>
      </w:r>
    </w:p>
    <w:p w:rsidR="003030D9">
      <w:pPr>
        <w:sectPr>
          <w:type w:val="continuous"/>
          <w:pgSz w:w="11906" w:h="16837"/>
          <w:pgMar w:top="567" w:right="1134" w:bottom="1134" w:left="1134" w:header="720" w:footer="720" w:gutter="0"/>
          <w:cols w:space="720"/>
          <w:titlePg/>
          <w:docGrid w:linePitch="360"/>
        </w:sectPr>
      </w:pPr>
    </w:p>
    <w:p w:rsidR="003030D9"/>
    <w:p w:rsidR="003030D9">
      <w:pPr>
        <w:jc w:val="center"/>
        <w:rPr>
          <w:b/>
          <w:lang w:val="en-GB"/>
        </w:rPr>
      </w:pPr>
      <w:r>
        <w:rPr>
          <w:b/>
          <w:lang w:val="en-GB"/>
        </w:rPr>
        <w:t xml:space="preserve">MINUTES </w:t>
      </w:r>
    </w:p>
    <w:p w:rsidR="003030D9">
      <w:pPr>
        <w:jc w:val="center"/>
        <w:rPr>
          <w:b/>
          <w:bCs/>
          <w:lang w:val="en-GB"/>
        </w:rPr>
      </w:pPr>
      <w:r>
        <w:rPr>
          <w:b/>
          <w:bCs/>
          <w:lang w:val="en-GB"/>
        </w:rPr>
        <w:t>TUESDAY 11 JULY 2023</w:t>
      </w:r>
    </w:p>
    <w:p w:rsidR="003030D9">
      <w:pPr>
        <w:jc w:val="center"/>
        <w:rPr>
          <w:i/>
          <w:lang w:val="en-GB"/>
        </w:rPr>
      </w:pPr>
      <w:r>
        <w:rPr>
          <w:lang w:val="en-GB"/>
        </w:rPr>
        <w:t>IN THE CHAIR: Othmar KARAS</w:t>
        <w:br/>
      </w:r>
      <w:r>
        <w:rPr>
          <w:i/>
          <w:lang w:val="en-GB"/>
        </w:rPr>
        <w:t>Vice-President</w:t>
      </w:r>
    </w:p>
    <w:p w:rsidR="003030D9">
      <w:pPr>
        <w:rPr>
          <w:lang w:val="en-GB"/>
        </w:rPr>
      </w:pPr>
    </w:p>
    <w:p w:rsidR="003030D9">
      <w:pPr>
        <w:pStyle w:val="Heading1"/>
      </w:pPr>
      <w:bookmarkStart w:id="0" w:name="_Toc140088456"/>
      <w:r>
        <w:t>1. Opening of the sitting</w:t>
      </w:r>
      <w:bookmarkEnd w:id="0"/>
    </w:p>
    <w:p w:rsidR="003030D9">
      <w:pPr>
        <w:widowControl/>
        <w:spacing w:after="113"/>
      </w:pPr>
      <w:r>
        <w:t>The sitting opened at 9.01.</w:t>
      </w:r>
    </w:p>
    <w:p w:rsidR="003030D9">
      <w:pPr>
        <w:pStyle w:val="Heading1"/>
      </w:pPr>
      <w:bookmarkStart w:id="1" w:name="_Toc140088457"/>
      <w:r>
        <w:t>2. Amendment of the agenda</w:t>
      </w:r>
      <w:bookmarkEnd w:id="1"/>
    </w:p>
    <w:p w:rsidR="003030D9">
      <w:pPr>
        <w:rPr>
          <w:lang w:val="en-GB"/>
        </w:rPr>
      </w:pPr>
      <w:r>
        <w:rPr>
          <w:lang w:val="en-GB"/>
        </w:rPr>
        <w:t>On a proposal from the President of Parliament and in agreement with the political groups in accordance with Rule 158(2), the President proposed the following amendment to the agenda:</w:t>
      </w:r>
    </w:p>
    <w:p w:rsidR="003030D9">
      <w:pPr>
        <w:rPr>
          <w:i/>
          <w:iCs/>
          <w:lang w:val="en-GB"/>
        </w:rPr>
      </w:pPr>
      <w:r>
        <w:rPr>
          <w:i/>
          <w:iCs/>
          <w:lang w:val="en-GB"/>
        </w:rPr>
        <w:t>Thursday</w:t>
      </w:r>
    </w:p>
    <w:p w:rsidR="003030D9">
      <w:pPr>
        <w:rPr>
          <w:lang w:val="en-GB"/>
        </w:rPr>
      </w:pPr>
      <w:r>
        <w:rPr>
          <w:lang w:val="en-GB"/>
        </w:rPr>
        <w:t xml:space="preserve">Inclusion of ‘Act in Support of Ammunition Production’ in voting time. </w:t>
      </w:r>
    </w:p>
    <w:p w:rsidR="003030D9">
      <w:pPr>
        <w:rPr>
          <w:lang w:val="en-GB"/>
        </w:rPr>
      </w:pPr>
      <w:r>
        <w:rPr>
          <w:lang w:val="en-GB"/>
        </w:rPr>
        <w:t>Tabling deadlines:</w:t>
        <w:br/>
        <w:t>- Amendments: 11 July 2023 at 13.00</w:t>
        <w:br/>
        <w:t>- Requests for separate votes and split votes: 11 July 2023 at 19.00.</w:t>
      </w:r>
    </w:p>
    <w:p w:rsidR="003030D9">
      <w:pPr>
        <w:rPr>
          <w:lang w:val="en-GB"/>
        </w:rPr>
      </w:pPr>
      <w:r>
        <w:rPr>
          <w:lang w:val="en-GB"/>
        </w:rPr>
        <w:t xml:space="preserve">Parliament agreed to the proposal. The agenda was amended accordingly. </w:t>
      </w:r>
    </w:p>
    <w:p w:rsidR="003030D9">
      <w:pPr>
        <w:pStyle w:val="Heading1"/>
        <w:rPr>
          <w:b w:val="0"/>
          <w:bCs w:val="0"/>
          <w:lang w:val="en-GB"/>
        </w:rPr>
      </w:pPr>
      <w:bookmarkStart w:id="2" w:name="_Toc140088458"/>
      <w:r>
        <w:t xml:space="preserve">3. Nature restoration ***I </w:t>
      </w:r>
      <w:r>
        <w:rPr>
          <w:b w:val="0"/>
          <w:bCs w:val="0"/>
          <w:lang w:val="en-GB"/>
        </w:rPr>
        <w:t>(debate)</w:t>
      </w:r>
      <w:bookmarkEnd w:id="2"/>
    </w:p>
    <w:p w:rsidR="003030D9">
      <w:pPr>
        <w:rPr>
          <w:lang w:val="en-GB"/>
        </w:rPr>
      </w:pPr>
      <w:r>
        <w:rPr>
          <w:lang w:val="en-GB"/>
        </w:rPr>
        <w:t>Report on the proposal for a regulation of the European Parliament and of the Council on nature restoration [COM(2022)0304 - C9-0208/2022- 2022/0195(COD)] - Committee on the Environment, Public Health and Food Safety. Rapporteur: César Luena (A9-0220/2023)</w:t>
      </w:r>
    </w:p>
    <w:p w:rsidR="003030D9">
      <w:pPr>
        <w:rPr>
          <w:lang w:val="en-GB"/>
        </w:rPr>
      </w:pPr>
      <w:r>
        <w:rPr>
          <w:lang w:val="en-GB"/>
        </w:rPr>
        <w:t>César Luena introduced the report.</w:t>
      </w:r>
    </w:p>
    <w:p w:rsidR="003030D9">
      <w:pPr>
        <w:rPr>
          <w:lang w:val="en-GB"/>
        </w:rPr>
      </w:pPr>
      <w:r>
        <w:rPr>
          <w:lang w:val="en-GB"/>
        </w:rPr>
        <w:t>The follow</w:t>
      </w:r>
      <w:r>
        <w:rPr>
          <w:lang w:val="en-GB"/>
        </w:rPr>
        <w:t>ing spoke: Anne Sander (rapporteur for the opinion of the AGRI Committee) and Caroline Roose (rapporteur for the opinion of the PECH Committee).</w:t>
      </w:r>
    </w:p>
    <w:p w:rsidR="003030D9">
      <w:pPr>
        <w:rPr>
          <w:lang w:val="en-GB"/>
        </w:rPr>
      </w:pPr>
      <w:r>
        <w:rPr>
          <w:lang w:val="en-GB"/>
        </w:rPr>
        <w:t>The following spoke: Virginijus Sinkevičius (Member of the Commission).</w:t>
      </w:r>
    </w:p>
    <w:p w:rsidR="003030D9">
      <w:pPr>
        <w:rPr>
          <w:lang w:val="en-GB"/>
        </w:rPr>
      </w:pPr>
      <w:r>
        <w:rPr>
          <w:lang w:val="en-GB"/>
        </w:rPr>
        <w:t>The following spoke: Christine Schneide</w:t>
      </w:r>
      <w:r>
        <w:rPr>
          <w:lang w:val="en-GB"/>
        </w:rPr>
        <w:t>r, on behalf of the PPE Group, Iratxe García Pérez, on behalf of the S&amp;D Group, Stéphane Séjourné, on behalf of the Renew Group, Terry Reintke, on behalf of the Verts/ALE Group, Alexandr Vondra, on behalf of the ECR Group, Aurélia Beigneux, on behalf of the ID Group, Manon Aubry, on behalf of The Left Group, Maria Angela Danzì, non-attached Member, Peter Liese, who also answered a blue-card question from Michael Bloss, Mohammed Chahim, María Soraya Rodríguez Ramos, Jutta Paulus, Bert-Jan Ruissen, Gilles Leb</w:t>
      </w:r>
      <w:r>
        <w:rPr>
          <w:lang w:val="en-GB"/>
        </w:rPr>
        <w:t>reton, who also answered a blue-card question from Benoît Biteau, Mick Wallace, Edina Tóth, Gabriel Mato, Maria Noichl, Pascal Canfin, Bas Eickhout, Anna Zalewska, Sylvia Limmer, Silvia Modig, Herbert Dorfmann, who also answered a blue-card question from Maria Grapini, Predrag Fred Matić, Nils Torvalds, who also answered a blue-card question from Philippe Lamberts, Marie Toussaint, Margarita de la Pisa Carrión, Anders Vistisen, Luke Ming Flanagan, Jörg Meuthen, Jessica Polfjärd, Heléne Fritzon, who also ans</w:t>
      </w:r>
      <w:r>
        <w:rPr>
          <w:lang w:val="en-GB"/>
        </w:rPr>
        <w:t>wered a blue-card question from Sara Skyttedal, Elsi Katainen, Pär Holmgren and Pietro Fiocchi.</w:t>
      </w:r>
    </w:p>
    <w:p w:rsidR="003030D9">
      <w:pPr>
        <w:jc w:val="center"/>
        <w:rPr>
          <w:i/>
          <w:lang w:val="en-GB"/>
        </w:rPr>
      </w:pPr>
      <w:r>
        <w:rPr>
          <w:lang w:val="en-GB"/>
        </w:rPr>
        <w:t>IN THE CHAIR: Pina PICIERNO</w:t>
        <w:br/>
      </w:r>
      <w:r>
        <w:rPr>
          <w:i/>
          <w:lang w:val="en-GB"/>
        </w:rPr>
        <w:t>Vice-President</w:t>
      </w:r>
    </w:p>
    <w:p w:rsidR="003030D9">
      <w:pPr>
        <w:rPr>
          <w:lang w:val="en-GB"/>
        </w:rPr>
      </w:pPr>
      <w:r>
        <w:rPr>
          <w:lang w:val="en-GB"/>
        </w:rPr>
        <w:t>The following spoke: Jaak Madison, who also answered a blue-card question from Sirpa Pietikäinen, Mislav Kolakušić, Alexander Bernhuber, Delara Burkhardt, Jan Huitema, Thomas Waitz, Zbigniew Kuźmiuk, who also answered a blue-card question from Christophe Clergeau, Rosanna Conte, Márton Gyöngyösi, Norbert Lins, Isabel Carvalhais, Ulrike Müller, François Alfonsi, who also answered a blue-card question from Bogdan Rzońca, Teuvo Hakkarainen, Roman Haider, Lídia Pereira, who also answered a blue-card question from Pedro Silva Pereira, Tiemo Wölken, Krzysztof Jurgiel, Petri Sarvamaa, Christel Schaldemose, Daniel Buda, Brando Be</w:t>
      </w:r>
      <w:r>
        <w:rPr>
          <w:lang w:val="en-GB"/>
        </w:rPr>
        <w:t>nifei, Niclas Herbst, who also answered a blue-card question from Caroline Roose, and Maria Spyraki.</w:t>
      </w:r>
    </w:p>
    <w:p w:rsidR="003030D9">
      <w:pPr>
        <w:rPr>
          <w:lang w:val="en-GB"/>
        </w:rPr>
      </w:pPr>
      <w:r>
        <w:rPr>
          <w:lang w:val="en-GB"/>
        </w:rPr>
        <w:t>The following spoke under the catch-the-eye procedure: Franc Bogovič, Sara Cerdas, Michal Wiezik, Mazaly Aguilar, Clare Daly and Marc Tarabella.</w:t>
      </w:r>
    </w:p>
    <w:p w:rsidR="003030D9">
      <w:pPr>
        <w:rPr>
          <w:lang w:val="en-GB"/>
        </w:rPr>
      </w:pPr>
      <w:r>
        <w:rPr>
          <w:lang w:val="en-GB"/>
        </w:rPr>
        <w:t>The following spoke: Virginijus Sinkevičius and César Luena.</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3" w:name="_Toc140088459"/>
      <w:r>
        <w:t xml:space="preserve">4. European Chips Act ***I </w:t>
      </w:r>
      <w:r>
        <w:rPr>
          <w:b w:val="0"/>
          <w:bCs w:val="0"/>
          <w:lang w:val="en-GB"/>
        </w:rPr>
        <w:t>(debate)</w:t>
      </w:r>
      <w:bookmarkEnd w:id="3"/>
    </w:p>
    <w:p w:rsidR="003030D9">
      <w:pPr>
        <w:rPr>
          <w:lang w:val="en-GB"/>
        </w:rPr>
      </w:pPr>
      <w:r>
        <w:rPr>
          <w:lang w:val="en-GB"/>
        </w:rPr>
        <w:t>Report on the proposal for a regulation of the European Parliament and of the Council establishing a framework of measures for str</w:t>
      </w:r>
      <w:r>
        <w:rPr>
          <w:lang w:val="en-GB"/>
        </w:rPr>
        <w:t>engthening Europe's semiconductor ecosystem (Chips Act) [COM(2022)0046 - C9-0039/2022 - 2022/0032(COD)] - Committee on Industry, Research and Energy. Rapporteur: Dan Nica (A9-0014/2023)</w:t>
      </w:r>
    </w:p>
    <w:p w:rsidR="003030D9">
      <w:pPr>
        <w:rPr>
          <w:lang w:val="en-GB"/>
        </w:rPr>
      </w:pPr>
      <w:r>
        <w:rPr>
          <w:lang w:val="en-GB"/>
        </w:rPr>
        <w:t>Dan Nica introduced the report.</w:t>
      </w:r>
    </w:p>
    <w:p w:rsidR="003030D9">
      <w:pPr>
        <w:rPr>
          <w:lang w:val="en-GB"/>
        </w:rPr>
      </w:pPr>
      <w:r>
        <w:rPr>
          <w:lang w:val="en-GB"/>
        </w:rPr>
        <w:t>The following spoke: Maria-Manuel Leitão-Marques (rapporteur for the opinion of the IMCO Committee) and Tiemo Wölken (rapporteur for the opinion of the JURI Committee).</w:t>
      </w:r>
    </w:p>
    <w:p w:rsidR="003030D9">
      <w:pPr>
        <w:rPr>
          <w:lang w:val="en-GB"/>
        </w:rPr>
      </w:pPr>
      <w:r>
        <w:rPr>
          <w:lang w:val="en-GB"/>
        </w:rPr>
        <w:t>The following spoke: Thierry Breton (Member of the Commission).</w:t>
      </w:r>
    </w:p>
    <w:p w:rsidR="003030D9">
      <w:pPr>
        <w:rPr>
          <w:lang w:val="en-GB"/>
        </w:rPr>
      </w:pPr>
      <w:r>
        <w:rPr>
          <w:lang w:val="en-GB"/>
        </w:rPr>
        <w:t>The following spoke: Geert Bourgeois (rapporteur for the opinion of the INTA Committee), Karlo Ressler (rapporteur for the opinion of the BUDG Committee), Eva Maydell (rapporteur for the opinion of the ECON Committee), Maria da Graça Carvalho, on behalf of the PPE Group, Lina Gálvez Muñoz, on behalf of the S&amp;D Group, Bart Groothuis, on behalf of the Renew Group, Henrike Hahn, on behalf of the Verts/ALE Group, Johan Nissinen, on behalf of the ECR Group, Marie Dauchy, on behalf of the ID Group, Marc Botenga, on behalf of The Left Group, Milan Uhrík, non-attached Member, Pilar del Castillo Vera, Niels Fuglsang, Mauri Pekkarinen, Robert Hajšel and Carlos Zorrinho.</w:t>
      </w:r>
    </w:p>
    <w:p w:rsidR="003030D9">
      <w:pPr>
        <w:rPr>
          <w:lang w:val="en-GB"/>
        </w:rPr>
      </w:pPr>
      <w:r>
        <w:rPr>
          <w:lang w:val="en-GB"/>
        </w:rPr>
        <w:t>The following spoke: Thierry Breton and Dan Nica.</w:t>
      </w:r>
    </w:p>
    <w:p w:rsidR="003030D9">
      <w:r>
        <w:t>The debate closed.</w:t>
      </w:r>
    </w:p>
    <w:p w:rsidR="003030D9">
      <w:pPr>
        <w:rPr>
          <w:lang w:val="en-GB"/>
        </w:rPr>
      </w:pPr>
      <w:r>
        <w:rPr>
          <w:lang w:val="en-GB"/>
        </w:rPr>
        <w:t xml:space="preserve">Vote: </w:t>
      </w:r>
      <w:r>
        <w:rPr>
          <w:i/>
          <w:iCs/>
          <w:lang w:val="en-GB"/>
        </w:rPr>
        <w:t>11 July 2023</w:t>
      </w:r>
      <w:r>
        <w:rPr>
          <w:lang w:val="en-GB"/>
        </w:rPr>
        <w:t>.</w:t>
      </w:r>
    </w:p>
    <w:p w:rsidR="003030D9">
      <w:pPr>
        <w:jc w:val="center"/>
        <w:rPr>
          <w:i/>
          <w:iCs/>
          <w:lang w:val="en-GB"/>
        </w:rPr>
      </w:pPr>
      <w:r>
        <w:rPr>
          <w:i/>
          <w:iCs/>
          <w:lang w:val="en-GB"/>
        </w:rPr>
        <w:t>(The sitting was suspended at 12.23.)</w:t>
      </w:r>
    </w:p>
    <w:p w:rsidR="003030D9">
      <w:pPr>
        <w:jc w:val="center"/>
        <w:rPr>
          <w:i/>
          <w:lang w:val="en-GB"/>
        </w:rPr>
      </w:pPr>
      <w:r>
        <w:rPr>
          <w:lang w:val="en-GB"/>
        </w:rPr>
        <w:t>IN THE CHAIR: Roberta METSOLA</w:t>
        <w:br/>
      </w:r>
      <w:r>
        <w:rPr>
          <w:i/>
          <w:lang w:val="en-GB"/>
        </w:rPr>
        <w:t>President</w:t>
      </w:r>
    </w:p>
    <w:p w:rsidR="003030D9">
      <w:pPr>
        <w:pStyle w:val="Heading1"/>
      </w:pPr>
      <w:bookmarkStart w:id="4" w:name="_Toc140088460"/>
      <w:r>
        <w:t>5. Resumption of the sitting</w:t>
      </w:r>
      <w:bookmarkEnd w:id="4"/>
    </w:p>
    <w:p w:rsidR="003030D9">
      <w:pPr>
        <w:rPr>
          <w:lang w:val="en-GB"/>
        </w:rPr>
      </w:pPr>
      <w:r>
        <w:rPr>
          <w:lang w:val="en-GB"/>
        </w:rPr>
        <w:t>The sitting resumed at 12.25.</w:t>
      </w:r>
    </w:p>
    <w:p w:rsidR="003030D9">
      <w:pPr>
        <w:pStyle w:val="Heading1"/>
        <w:rPr>
          <w:b w:val="0"/>
          <w:bCs w:val="0"/>
          <w:lang w:val="en-GB"/>
        </w:rPr>
      </w:pPr>
      <w:bookmarkStart w:id="5" w:name="_Toc140088461"/>
      <w:r>
        <w:t xml:space="preserve">6. Commemorating the 28th anniversary of Srebrenica </w:t>
      </w:r>
      <w:r>
        <w:rPr>
          <w:b w:val="0"/>
          <w:bCs w:val="0"/>
          <w:lang w:val="en-GB"/>
        </w:rPr>
        <w:t>(statement by the President)</w:t>
      </w:r>
      <w:bookmarkEnd w:id="5"/>
    </w:p>
    <w:p w:rsidR="003030D9">
      <w:pPr>
        <w:widowControl/>
        <w:spacing w:after="113"/>
      </w:pPr>
      <w:r>
        <w:t>The President made the statement.</w:t>
      </w:r>
    </w:p>
    <w:p w:rsidR="003030D9">
      <w:pPr>
        <w:rPr>
          <w:lang w:val="en-GB"/>
        </w:rPr>
      </w:pPr>
      <w:r>
        <w:rPr>
          <w:lang w:val="en-GB"/>
        </w:rPr>
        <w:t>The following spoke: Paulo Rangel, on behalf of the PPE Group, Dietmar Köster, on behalf of the S&amp;D Group, Klemen Grošelj, on behalf of the Renew Group, Tineke Strik, on behalf of the Verts/ALE Group, Angel Dzhambazki, on behalf of the ECR Group, and Nikolaj Villumsen, on behalf of The Left Group.</w:t>
      </w:r>
    </w:p>
    <w:p w:rsidR="003030D9">
      <w:pPr>
        <w:rPr>
          <w:lang w:val="en-GB"/>
        </w:rPr>
      </w:pPr>
      <w:r>
        <w:rPr>
          <w:lang w:val="en-GB"/>
        </w:rPr>
        <w:t>The item closed.</w:t>
      </w:r>
    </w:p>
    <w:p w:rsidR="003030D9">
      <w:pPr>
        <w:jc w:val="center"/>
        <w:rPr>
          <w:i/>
          <w:iCs/>
          <w:lang w:val="en-GB"/>
        </w:rPr>
      </w:pPr>
      <w:r>
        <w:rPr>
          <w:i/>
          <w:iCs/>
          <w:lang w:val="en-GB"/>
        </w:rPr>
        <w:t>(The sitting was suspended for a few moments.)</w:t>
      </w:r>
    </w:p>
    <w:p w:rsidR="003030D9">
      <w:pPr>
        <w:jc w:val="center"/>
        <w:rPr>
          <w:i/>
          <w:lang w:val="en-GB"/>
        </w:rPr>
      </w:pPr>
      <w:r>
        <w:rPr>
          <w:lang w:val="en-GB"/>
        </w:rPr>
        <w:t>IN THE CHAIR: Katarina BARLEY</w:t>
        <w:br/>
      </w:r>
      <w:r>
        <w:rPr>
          <w:i/>
          <w:lang w:val="en-GB"/>
        </w:rPr>
        <w:t>Vice-President</w:t>
      </w:r>
    </w:p>
    <w:p w:rsidR="003030D9">
      <w:pPr>
        <w:pStyle w:val="Heading1"/>
      </w:pPr>
      <w:bookmarkStart w:id="6" w:name="_Toc140088462"/>
      <w:r>
        <w:t>7. Resumption of the sitting</w:t>
      </w:r>
      <w:bookmarkEnd w:id="6"/>
    </w:p>
    <w:p w:rsidR="003030D9">
      <w:pPr>
        <w:rPr>
          <w:lang w:val="en-GB"/>
        </w:rPr>
      </w:pPr>
      <w:r>
        <w:rPr>
          <w:lang w:val="en-GB"/>
        </w:rPr>
        <w:t>The sitting resumed at 12.39.</w:t>
      </w:r>
    </w:p>
    <w:p w:rsidR="003030D9">
      <w:pPr>
        <w:pStyle w:val="Heading1"/>
      </w:pPr>
      <w:bookmarkStart w:id="7" w:name="_Toc140088463"/>
      <w:r>
        <w:t>8. Voting time</w:t>
      </w:r>
      <w:bookmarkEnd w:id="7"/>
    </w:p>
    <w:p w:rsidR="003030D9">
      <w:r>
        <w:t>Detailed voting results (amendments, separate and split votes, etc.) appear in the ‘Results of votes’ annex, and the results of roll-call votes appear in the ‘Results of roll-call votes’ annex. Both annexes are published alongside these minutes and are available on Parliament’s website.</w:t>
      </w:r>
    </w:p>
    <w:p w:rsidR="003030D9">
      <w:pPr>
        <w:pStyle w:val="Heading2"/>
        <w:rPr>
          <w:b w:val="0"/>
          <w:bCs w:val="0"/>
          <w:lang w:val="en-GB"/>
        </w:rPr>
      </w:pPr>
      <w:bookmarkStart w:id="8" w:name="_Toc140088464"/>
      <w:r>
        <w:t>8.1. Request for the waiver of the immunity of Georgios Kyrtsos</w:t>
      </w:r>
      <w:r>
        <w:rPr>
          <w:lang w:val="en-GB"/>
        </w:rPr>
        <w:t xml:space="preserve"> </w:t>
      </w:r>
      <w:r>
        <w:rPr>
          <w:b w:val="0"/>
          <w:bCs w:val="0"/>
          <w:lang w:val="en-GB"/>
        </w:rPr>
        <w:t>(vote)</w:t>
      </w:r>
      <w:bookmarkEnd w:id="8"/>
    </w:p>
    <w:p w:rsidR="003030D9">
      <w:pPr>
        <w:spacing w:after="170"/>
        <w:rPr>
          <w:lang w:val="en-GB"/>
        </w:rPr>
      </w:pPr>
      <w:r>
        <w:rPr>
          <w:lang w:val="en-GB"/>
        </w:rPr>
        <w:t>Report on the request for waiver of the immunity of Georgios Kyrtsos [2023/2025(IMM)] - Committee on Legal Affairs. Rapporteur: Sergey Lagodinsky (A9-0231/2023)</w:t>
      </w:r>
    </w:p>
    <w:p w:rsidR="003030D9">
      <w:pPr>
        <w:spacing w:after="170"/>
        <w:rPr>
          <w:i/>
          <w:iCs/>
          <w:lang w:val="en-GB"/>
        </w:rPr>
      </w:pPr>
      <w:r>
        <w:rPr>
          <w:i/>
          <w:iCs/>
          <w:lang w:val="en-GB"/>
        </w:rPr>
        <w:t>(Majority of the votes cast)</w:t>
      </w:r>
    </w:p>
    <w:p w:rsidR="003030D9">
      <w:pPr>
        <w:spacing w:after="170"/>
        <w:rPr>
          <w:lang w:val="en-GB"/>
        </w:rPr>
      </w:pPr>
      <w:r>
        <w:rPr>
          <w:lang w:val="en-GB"/>
        </w:rPr>
        <w:t>PROPOSAL FOR A DECISION</w:t>
      </w:r>
    </w:p>
    <w:p w:rsidR="003030D9">
      <w:pPr>
        <w:rPr>
          <w:i/>
          <w:iCs/>
          <w:lang w:val="en-GB"/>
        </w:rPr>
      </w:pPr>
      <w:r>
        <w:rPr>
          <w:lang w:val="en-GB"/>
        </w:rPr>
        <w:t xml:space="preserve">Adopted </w:t>
      </w:r>
      <w:r>
        <w:rPr>
          <w:i/>
          <w:iCs/>
          <w:lang w:val="en-GB"/>
        </w:rPr>
        <w:t>(P9_TA(2023)0251)</w:t>
      </w:r>
      <w:r>
        <w:rPr>
          <w:lang w:val="en-GB"/>
        </w:rPr>
        <w:br/>
      </w:r>
      <w:r>
        <w:rPr>
          <w:i/>
          <w:iCs/>
          <w:lang w:val="en-GB"/>
        </w:rPr>
        <w:t xml:space="preserve">(‘Results of votes’ annex, item 1) </w:t>
      </w:r>
    </w:p>
    <w:p w:rsidR="003030D9">
      <w:pPr>
        <w:pStyle w:val="Heading2"/>
      </w:pPr>
      <w:bookmarkStart w:id="9" w:name="_Toc140088465"/>
      <w:r>
        <w:t xml:space="preserve">8.2. Temporary trade-liberalisation measures supplementing trade concessions applicable to Moldovan products under the EU/Euratom/Moldova Association Agreement ***I </w:t>
      </w:r>
      <w:r>
        <w:rPr>
          <w:b w:val="0"/>
          <w:bCs w:val="0"/>
          <w:lang w:val="en-GB"/>
        </w:rPr>
        <w:t>(vote)</w:t>
      </w:r>
      <w:bookmarkEnd w:id="9"/>
      <w:r>
        <w:t xml:space="preserve"> </w:t>
      </w:r>
    </w:p>
    <w:p w:rsidR="003030D9">
      <w:pPr>
        <w:spacing w:before="113"/>
        <w:rPr>
          <w:lang w:val="en-GB"/>
        </w:rPr>
      </w:pPr>
      <w:r>
        <w:rPr>
          <w:lang w:val="en-GB"/>
        </w:rPr>
        <w:t>Report on the proposal for a regulation of the European Parliament and of the Council on temporary trade-liberalisation measures supplementing trade concessions applicable to Moldovan products under the Association Agreement between the European Union and the European Atomic Energy Community and their Member States, of the one part, and the Republic of Moldova, of the other part [COM(2023)0245 - C9-0166/2023- 2023/0144(COD)] - Committee on International Trade. Rapporteur: Markéta Gregorová (A9-0219/2023)</w:t>
      </w:r>
    </w:p>
    <w:p w:rsidR="003030D9">
      <w:pPr>
        <w:spacing w:before="113"/>
        <w:rPr>
          <w:i/>
          <w:lang w:val="en-GB"/>
        </w:rPr>
      </w:pPr>
      <w:r>
        <w:rPr>
          <w:i/>
          <w:lang w:val="en-GB"/>
        </w:rPr>
        <w:t>(Majority of the votes cast)</w:t>
      </w:r>
    </w:p>
    <w:p w:rsidR="003030D9">
      <w:pPr>
        <w:spacing w:before="113"/>
        <w:rPr>
          <w:lang w:val="en-GB"/>
        </w:rPr>
      </w:pPr>
      <w:r>
        <w:rPr>
          <w:lang w:val="en-GB"/>
        </w:rPr>
        <w:t>COMMISSION PROPOSAL</w:t>
      </w:r>
    </w:p>
    <w:p w:rsidR="003030D9">
      <w:pPr>
        <w:spacing w:after="170"/>
        <w:rPr>
          <w:i/>
          <w:iCs/>
          <w:lang w:val="en-GB"/>
        </w:rPr>
      </w:pPr>
      <w:r>
        <w:rPr>
          <w:lang w:val="en-GB"/>
        </w:rPr>
        <w:t xml:space="preserve">Approved by single vote </w:t>
      </w:r>
      <w:r>
        <w:rPr>
          <w:i/>
          <w:iCs/>
          <w:lang w:val="en-GB"/>
        </w:rPr>
        <w:t>(P9_TA(2023)0252)</w:t>
        <w:br/>
        <w:t>(‘Results of votes’ annex, item 2)</w:t>
      </w:r>
    </w:p>
    <w:p w:rsidR="003030D9">
      <w:pPr>
        <w:pStyle w:val="Heading2"/>
      </w:pPr>
      <w:bookmarkStart w:id="10" w:name="_Toc140088466"/>
      <w:r>
        <w:t xml:space="preserve">8.3. New Regulation on Construction Products ***I </w:t>
      </w:r>
      <w:r>
        <w:rPr>
          <w:b w:val="0"/>
          <w:bCs w:val="0"/>
          <w:lang w:val="en-GB"/>
        </w:rPr>
        <w:t>(vote)</w:t>
      </w:r>
      <w:bookmarkEnd w:id="10"/>
      <w:r>
        <w:t xml:space="preserve"> </w:t>
      </w:r>
    </w:p>
    <w:p w:rsidR="003030D9">
      <w:pPr>
        <w:spacing w:before="113"/>
        <w:rPr>
          <w:lang w:val="en-GB"/>
        </w:rPr>
      </w:pPr>
      <w:r>
        <w:rPr>
          <w:lang w:val="en-GB"/>
        </w:rPr>
        <w:t>Report on the proposal for a regulation of the European Parliament and of the Council laying down harmonised conditions for the marketing of construction products, amending Regulation (EU) 2019/1020 and repealing Regulation (EU) 305/2011 [COM(2022)0144 - C9-0129/2022- 2022/0094(COD)] - Committee on the Internal Market and Consumer Protection. Rapporteur: Christian Doleschal (A9-0207/2023)</w:t>
      </w:r>
    </w:p>
    <w:p w:rsidR="003030D9">
      <w:pPr>
        <w:spacing w:after="227"/>
        <w:rPr>
          <w:i/>
          <w:iCs/>
          <w:lang w:val="en-GB"/>
        </w:rPr>
      </w:pPr>
      <w:r>
        <w:rPr>
          <w:i/>
          <w:iCs/>
          <w:lang w:val="en-GB"/>
        </w:rPr>
        <w:t>(Majority of the votes cast)</w:t>
      </w:r>
    </w:p>
    <w:p w:rsidR="003030D9">
      <w:pPr>
        <w:spacing w:before="113"/>
        <w:rPr>
          <w:lang w:val="en-GB"/>
        </w:rPr>
      </w:pPr>
      <w:r>
        <w:rPr>
          <w:lang w:val="en-GB"/>
        </w:rPr>
        <w:t>COMMISSION PROPOSAL and AMENDMENTS</w:t>
      </w:r>
    </w:p>
    <w:p w:rsidR="003030D9">
      <w:pPr>
        <w:rPr>
          <w:i/>
          <w:iCs/>
          <w:lang w:val="en-GB"/>
        </w:rPr>
      </w:pPr>
      <w:r>
        <w:rPr>
          <w:lang w:val="en-GB"/>
        </w:rPr>
        <w:t xml:space="preserve">Approved </w:t>
      </w:r>
      <w:r>
        <w:rPr>
          <w:i/>
          <w:iCs/>
          <w:lang w:val="en-GB"/>
        </w:rPr>
        <w:t>(P9_TA(2023)0253)</w:t>
        <w:br/>
        <w:t>(‘Results of votes’ annex, item 3)</w:t>
      </w:r>
    </w:p>
    <w:p w:rsidR="003030D9">
      <w:pPr>
        <w:spacing w:after="170"/>
        <w:rPr>
          <w:lang w:val="en-GB"/>
        </w:rPr>
      </w:pPr>
      <w:r>
        <w:rPr>
          <w:lang w:val="en-GB"/>
        </w:rPr>
        <w:t>REQUEST FOR REFERRAL BACK TO COMMITTEE</w:t>
      </w:r>
    </w:p>
    <w:p w:rsidR="003030D9">
      <w:pPr>
        <w:rPr>
          <w:lang w:val="en-GB"/>
        </w:rPr>
      </w:pPr>
      <w:r>
        <w:rPr>
          <w:lang w:val="en-GB"/>
        </w:rPr>
        <w:t>Approved</w:t>
      </w:r>
    </w:p>
    <w:p w:rsidR="003030D9">
      <w:pPr>
        <w:spacing w:after="170"/>
        <w:rPr>
          <w:i/>
          <w:iCs/>
          <w:lang w:val="en-GB"/>
        </w:rPr>
      </w:pPr>
      <w:r>
        <w:rPr>
          <w:i/>
          <w:iCs/>
          <w:lang w:val="en-GB"/>
        </w:rPr>
        <w:t>The following had spoken:</w:t>
      </w:r>
    </w:p>
    <w:p w:rsidR="003030D9">
      <w:pPr>
        <w:spacing w:after="170"/>
        <w:rPr>
          <w:lang w:val="en-GB"/>
        </w:rPr>
      </w:pPr>
      <w:r>
        <w:rPr>
          <w:lang w:val="en-GB"/>
        </w:rPr>
        <w:t>Prior to the vote, Christian Doleschal (rapporteur), to make a statement on the basis of Rule 159(4).</w:t>
      </w:r>
    </w:p>
    <w:p w:rsidR="003030D9">
      <w:pPr>
        <w:rPr>
          <w:lang w:val="en-GB"/>
        </w:rPr>
      </w:pPr>
      <w:r>
        <w:rPr>
          <w:lang w:val="en-GB"/>
        </w:rPr>
        <w:t>After the vote on the Commission proposal, Christian Doleschal (rapporteur), to request that the matter be referred back to the committee responsible, under Rule 59(4), for interinstitutional negotiations.</w:t>
      </w:r>
    </w:p>
    <w:p w:rsidR="003030D9">
      <w:pPr>
        <w:pStyle w:val="Heading2"/>
        <w:rPr>
          <w:b w:val="0"/>
          <w:bCs w:val="0"/>
          <w:lang w:val="en-GB"/>
        </w:rPr>
      </w:pPr>
      <w:bookmarkStart w:id="11" w:name="_Toc140088467"/>
      <w:r>
        <w:t xml:space="preserve">8.4. Draft amending budget No 2/2023: Entering the surplus of the financial year 2022 </w:t>
      </w:r>
      <w:r>
        <w:rPr>
          <w:b w:val="0"/>
          <w:bCs w:val="0"/>
          <w:lang w:val="en-GB"/>
        </w:rPr>
        <w:t>(vote)</w:t>
      </w:r>
      <w:bookmarkEnd w:id="11"/>
    </w:p>
    <w:p w:rsidR="003030D9">
      <w:pPr>
        <w:rPr>
          <w:lang w:val="en-GB"/>
        </w:rPr>
      </w:pPr>
      <w:r>
        <w:rPr>
          <w:lang w:val="en-GB"/>
        </w:rPr>
        <w:t>Report on the Council position on Draft amending budget No 2/2023 of the European Union for the financial year 2023 entering the surplus of the financial year 2022 [09682/2023 - C9-0208/2023 - 2023/0103(BUD)] - Committee on Budgets. Rapporteur: Fabienne Keller (A9-0225/2023)</w:t>
      </w:r>
    </w:p>
    <w:p w:rsidR="003030D9">
      <w:pPr>
        <w:spacing w:after="227"/>
        <w:rPr>
          <w:i/>
          <w:iCs/>
          <w:lang w:val="en-GB"/>
        </w:rPr>
      </w:pPr>
      <w:r>
        <w:rPr>
          <w:i/>
          <w:iCs/>
          <w:lang w:val="en-GB"/>
        </w:rPr>
        <w:t>(Majority of the votes cast)</w:t>
      </w:r>
    </w:p>
    <w:p w:rsidR="003030D9">
      <w:pPr>
        <w:spacing w:after="289"/>
        <w:rPr>
          <w:lang w:val="en-GB"/>
        </w:rPr>
      </w:pPr>
      <w:r>
        <w:rPr>
          <w:lang w:val="en-GB"/>
        </w:rPr>
        <w:t>MOTION FOR A RESOLUTION</w:t>
      </w:r>
    </w:p>
    <w:p w:rsidR="003030D9">
      <w:pPr>
        <w:rPr>
          <w:i/>
          <w:iCs/>
          <w:lang w:val="en-GB"/>
        </w:rPr>
      </w:pPr>
      <w:r>
        <w:rPr>
          <w:lang w:val="en-GB"/>
        </w:rPr>
        <w:t>Adopted by single vote (</w:t>
      </w:r>
      <w:r>
        <w:rPr>
          <w:i/>
          <w:iCs/>
          <w:lang w:val="en-GB"/>
        </w:rPr>
        <w:t>P9_TA(2023)0254</w:t>
      </w:r>
      <w:r>
        <w:rPr>
          <w:lang w:val="en-GB"/>
        </w:rPr>
        <w:t>)</w:t>
        <w:br/>
      </w:r>
      <w:r>
        <w:rPr>
          <w:i/>
          <w:iCs/>
          <w:lang w:val="en-GB"/>
        </w:rPr>
        <w:t>(‘Results of votes’ annex, item</w:t>
      </w:r>
      <w:r>
        <w:rPr>
          <w:lang w:val="en-GB"/>
        </w:rPr>
        <w:t xml:space="preserve"> </w:t>
      </w:r>
      <w:r>
        <w:rPr>
          <w:i/>
          <w:iCs/>
          <w:lang w:val="en-GB"/>
        </w:rPr>
        <w:t>4)</w:t>
      </w:r>
    </w:p>
    <w:p w:rsidR="003030D9">
      <w:pPr>
        <w:widowControl/>
        <w:spacing w:after="113"/>
      </w:pPr>
      <w:r>
        <w:t>The Council position was thus approved.</w:t>
      </w:r>
    </w:p>
    <w:p w:rsidR="003030D9">
      <w:pPr>
        <w:widowControl/>
        <w:spacing w:after="113"/>
      </w:pPr>
      <w:r>
        <w:t>Amending budget No 2/2023 was definitively adopted.</w:t>
      </w:r>
    </w:p>
    <w:p w:rsidR="003030D9">
      <w:pPr>
        <w:pStyle w:val="Heading2"/>
      </w:pPr>
      <w:bookmarkStart w:id="12" w:name="_Toc140088468"/>
      <w:r>
        <w:t xml:space="preserve">8.5. </w:t>
      </w:r>
      <w:r>
        <w:rPr>
          <w:lang w:val="en-GB"/>
        </w:rPr>
        <w:t xml:space="preserve">Mobilisation of the European Globalisation Adjustment Fund: application EGF/2023/001 BE/LNSA - Belgium </w:t>
      </w:r>
      <w:r>
        <w:t>(vote)</w:t>
      </w:r>
      <w:bookmarkEnd w:id="12"/>
    </w:p>
    <w:p w:rsidR="003030D9">
      <w:pPr>
        <w:rPr>
          <w:lang w:val="en-GB"/>
        </w:rPr>
      </w:pPr>
      <w:r>
        <w:rPr>
          <w:lang w:val="en-GB"/>
        </w:rPr>
        <w:t>Report on the proposal for a decision of the European Parliament and of the Council on the mobilisation of the European Globalisation Adjustment Fund for Displaced Workers following an application from Belgium – EGF/2023/001 BE/ LNSA [COM(2023)0210 - C9-0194/2023 - 2023/0152(BUD)] - Committee on Budgets. Rapporteur: Eleni Stavrou (A9-0228/2023)</w:t>
      </w:r>
    </w:p>
    <w:p w:rsidR="003030D9">
      <w:pPr>
        <w:rPr>
          <w:i/>
          <w:lang w:val="en-GB"/>
        </w:rPr>
      </w:pPr>
      <w:r>
        <w:rPr>
          <w:i/>
          <w:lang w:val="en-GB"/>
        </w:rPr>
        <w:t>(Majority of the votes cast)</w:t>
      </w:r>
    </w:p>
    <w:p w:rsidR="003030D9">
      <w:pPr>
        <w:rPr>
          <w:lang w:val="en-GB"/>
        </w:rPr>
      </w:pPr>
      <w:r>
        <w:rPr>
          <w:lang w:val="en-GB"/>
        </w:rPr>
        <w:t>MOTION FOR A RESOLUTION</w:t>
      </w:r>
    </w:p>
    <w:p w:rsidR="003030D9">
      <w:pPr>
        <w:rPr>
          <w:i/>
          <w:iCs/>
          <w:lang w:val="en-GB"/>
        </w:rPr>
      </w:pPr>
      <w:r>
        <w:rPr>
          <w:lang w:val="en-GB"/>
        </w:rPr>
        <w:t xml:space="preserve">Adopted </w:t>
      </w:r>
      <w:r>
        <w:rPr>
          <w:i/>
          <w:lang w:val="en-GB"/>
        </w:rPr>
        <w:t>(P9_TA(2023)0255)</w:t>
        <w:br/>
      </w:r>
      <w:r>
        <w:rPr>
          <w:i/>
          <w:iCs/>
          <w:lang w:val="en-GB"/>
        </w:rPr>
        <w:t>(‘Results of votes’ annex, item 5)</w:t>
      </w:r>
    </w:p>
    <w:p w:rsidR="003030D9">
      <w:pPr>
        <w:pStyle w:val="Heading2"/>
        <w:rPr>
          <w:b w:val="0"/>
          <w:bCs w:val="0"/>
          <w:lang w:val="en-GB"/>
        </w:rPr>
      </w:pPr>
      <w:bookmarkStart w:id="13" w:name="_Toc140088469"/>
      <w:r>
        <w:t>8.6. EU/Chile Agreement: modification of concessions on all the tariff rate quotas included in the EU Schedule CLXXV as a consequence of the United Kingdom's withdrawal from the European Union</w:t>
      </w:r>
      <w:r>
        <w:rPr>
          <w:b w:val="0"/>
          <w:bCs w:val="0"/>
          <w:lang w:val="en-GB"/>
        </w:rPr>
        <w:t xml:space="preserve"> </w:t>
      </w:r>
      <w:r>
        <w:rPr>
          <w:lang w:val="en-GB"/>
        </w:rPr>
        <w:t>***</w:t>
      </w:r>
      <w:r>
        <w:rPr>
          <w:b w:val="0"/>
          <w:bCs w:val="0"/>
          <w:lang w:val="en-GB"/>
        </w:rPr>
        <w:t xml:space="preserve"> (vote)</w:t>
      </w:r>
      <w:bookmarkEnd w:id="13"/>
    </w:p>
    <w:p w:rsidR="003030D9">
      <w:pPr>
        <w:spacing w:after="120"/>
        <w:rPr>
          <w:lang w:val="en-GB"/>
        </w:rPr>
      </w:pPr>
      <w:r>
        <w:rPr>
          <w:lang w:val="en-GB"/>
        </w:rPr>
        <w:t>Recommendation on the draft Council decision on the conclusion, on behalf of the Union, of the Agreement between the European Union and the Republic of Chile pursuant to Article XXVIII of the General Agreement on Tariffs and Trade (GATT) 1994 relating to the modification of concessions on all the tariff rate quotas included in the EU Schedule CLXXV as a consequence of the United Kingdom’s withdrawal from the European Union [06618/2023 - C9-0202/2023 - 2023/0036(NLE)] - Committee on International Trade. Rapporteur: Samira Rafaela (A9-0222/2023)</w:t>
      </w:r>
    </w:p>
    <w:p w:rsidR="003030D9">
      <w:pPr>
        <w:rPr>
          <w:i/>
          <w:iCs/>
          <w:lang w:val="en-GB"/>
        </w:rPr>
      </w:pPr>
      <w:r>
        <w:rPr>
          <w:i/>
          <w:iCs/>
          <w:lang w:val="en-GB"/>
        </w:rPr>
        <w:t>(Majority of the votes cast)</w:t>
      </w:r>
    </w:p>
    <w:p w:rsidR="003030D9">
      <w:pPr>
        <w:rPr>
          <w:lang w:val="en-GB"/>
        </w:rPr>
      </w:pPr>
      <w:r>
        <w:rPr>
          <w:lang w:val="en-GB"/>
        </w:rPr>
        <w:t>DRAFT COUNCIL DECISION</w:t>
      </w:r>
    </w:p>
    <w:p w:rsidR="003030D9">
      <w:pPr>
        <w:rPr>
          <w:i/>
          <w:iCs/>
          <w:lang w:val="en-GB"/>
        </w:rPr>
      </w:pPr>
      <w:r>
        <w:rPr>
          <w:lang w:val="en-GB"/>
        </w:rPr>
        <w:t>Approved (</w:t>
      </w:r>
      <w:r>
        <w:rPr>
          <w:i/>
          <w:iCs/>
          <w:lang w:val="en-GB"/>
        </w:rPr>
        <w:t>P9_TA(2023)0256</w:t>
      </w:r>
      <w:r>
        <w:rPr>
          <w:lang w:val="en-GB"/>
        </w:rPr>
        <w:t>)</w:t>
        <w:br/>
      </w:r>
      <w:r>
        <w:rPr>
          <w:i/>
          <w:iCs/>
          <w:lang w:val="en-GB"/>
        </w:rPr>
        <w:t>(‘Results of votes’ annex, item 6)</w:t>
      </w:r>
    </w:p>
    <w:p w:rsidR="003030D9">
      <w:pPr>
        <w:rPr>
          <w:lang w:val="en-GB"/>
        </w:rPr>
      </w:pPr>
      <w:r>
        <w:rPr>
          <w:lang w:val="en-GB"/>
        </w:rPr>
        <w:t>Parliament consented to the conclusion of the agreement.</w:t>
      </w:r>
    </w:p>
    <w:p w:rsidR="003030D9">
      <w:pPr>
        <w:pStyle w:val="Heading2"/>
        <w:rPr>
          <w:b w:val="0"/>
          <w:bCs w:val="0"/>
          <w:lang w:val="en-GB"/>
        </w:rPr>
      </w:pPr>
      <w:bookmarkStart w:id="14" w:name="_Toc140088470"/>
      <w:r>
        <w:t xml:space="preserve">8.7. EU/Japan Agreement: air services *** </w:t>
      </w:r>
      <w:r>
        <w:rPr>
          <w:b w:val="0"/>
          <w:bCs w:val="0"/>
          <w:lang w:val="en-GB"/>
        </w:rPr>
        <w:t>(vote)</w:t>
      </w:r>
      <w:bookmarkEnd w:id="14"/>
    </w:p>
    <w:p w:rsidR="003030D9">
      <w:pPr>
        <w:rPr>
          <w:lang w:val="en-GB"/>
        </w:rPr>
      </w:pPr>
      <w:r>
        <w:rPr>
          <w:lang w:val="en-GB"/>
        </w:rPr>
        <w:t>Recommendation on the draft Council decision on the conclusion, on behalf of the Union, of the Agreement between the European Union and Japan on certain provisions of agreements between Member States of the European Union and Japan for air services [07028/2023 - C9-0119/2023- 2022/0419(NLE)] - Committee on Transport and Tourism. Rapporteur: Cláudia Monteiro de Aguiar (A9-0221/2023)</w:t>
      </w:r>
    </w:p>
    <w:p w:rsidR="003030D9">
      <w:pPr>
        <w:rPr>
          <w:i/>
          <w:iCs/>
          <w:lang w:val="en-GB"/>
        </w:rPr>
      </w:pPr>
      <w:r>
        <w:rPr>
          <w:i/>
          <w:iCs/>
          <w:lang w:val="en-GB"/>
        </w:rPr>
        <w:t>(Majority of the votes cast)</w:t>
      </w:r>
    </w:p>
    <w:p w:rsidR="003030D9">
      <w:pPr>
        <w:rPr>
          <w:lang w:val="en-GB"/>
        </w:rPr>
      </w:pPr>
      <w:r>
        <w:rPr>
          <w:lang w:val="en-GB"/>
        </w:rPr>
        <w:t>DRAFT COUNCIL DECISION</w:t>
      </w:r>
    </w:p>
    <w:p w:rsidR="003030D9">
      <w:pPr>
        <w:rPr>
          <w:i/>
          <w:iCs/>
          <w:lang w:val="en-GB"/>
        </w:rPr>
      </w:pPr>
      <w:r>
        <w:rPr>
          <w:lang w:val="en-GB"/>
        </w:rPr>
        <w:t>Approved (</w:t>
      </w:r>
      <w:r>
        <w:rPr>
          <w:i/>
          <w:iCs/>
          <w:lang w:val="en-GB"/>
        </w:rPr>
        <w:t>P9_TA(2023)0257</w:t>
      </w:r>
      <w:r>
        <w:rPr>
          <w:lang w:val="en-GB"/>
        </w:rPr>
        <w:t>)</w:t>
        <w:br/>
      </w:r>
      <w:r>
        <w:rPr>
          <w:i/>
          <w:iCs/>
          <w:lang w:val="en-GB"/>
        </w:rPr>
        <w:t>(‘Results of votes’ annex, item 7)</w:t>
      </w:r>
    </w:p>
    <w:p w:rsidR="003030D9">
      <w:pPr>
        <w:rPr>
          <w:lang w:val="en-GB"/>
        </w:rPr>
      </w:pPr>
      <w:r>
        <w:rPr>
          <w:lang w:val="en-GB"/>
        </w:rPr>
        <w:t>Parliament consented to the conclusion of the agreement.</w:t>
      </w:r>
    </w:p>
    <w:p w:rsidR="003030D9">
      <w:pPr>
        <w:pStyle w:val="Heading2"/>
        <w:rPr>
          <w:b w:val="0"/>
          <w:bCs w:val="0"/>
          <w:lang w:val="en-GB"/>
        </w:rPr>
      </w:pPr>
      <w:bookmarkStart w:id="15" w:name="_Toc140088471"/>
      <w:r>
        <w:t xml:space="preserve">8.8. Objection pursuant to Rule 112 (4): The food additives nitrites (E 249-250) and nitrates (E 251-252) </w:t>
      </w:r>
      <w:r>
        <w:rPr>
          <w:b w:val="0"/>
          <w:bCs w:val="0"/>
          <w:lang w:val="en-GB"/>
        </w:rPr>
        <w:t>(vote)</w:t>
      </w:r>
      <w:bookmarkEnd w:id="15"/>
    </w:p>
    <w:p w:rsidR="003030D9">
      <w:pPr>
        <w:spacing w:after="120"/>
        <w:rPr>
          <w:iCs/>
          <w:lang w:val="en-GB"/>
        </w:rPr>
      </w:pPr>
      <w:r>
        <w:rPr>
          <w:lang w:val="en-GB"/>
        </w:rPr>
        <w:t xml:space="preserve">Motion for a resolution tabled by the ENVI Committee under Rule 112(2), Rule 112(3) and Rule 112(4)(c), </w:t>
      </w:r>
      <w:r>
        <w:rPr>
          <w:i/>
          <w:iCs/>
          <w:lang w:val="en-GB"/>
        </w:rPr>
        <w:t xml:space="preserve"> </w:t>
      </w:r>
      <w:r>
        <w:rPr>
          <w:lang w:val="en-GB"/>
        </w:rPr>
        <w:t>on the draft Commission regulation amending Annex II to Regulation (EC) No 1333/2008 of the European Parliament and of the Council and the Annex to Commission Regulation (EU) No 231/2012 as regards the food additives nitrites (E 249-250) and nitrates (E 251-252) (D089496/03 ; 2023/2726(RPS)) (B9-0307/2023)</w:t>
      </w:r>
      <w:r>
        <w:rPr>
          <w:iCs/>
          <w:lang w:val="en-GB"/>
        </w:rPr>
        <w:t xml:space="preserve"> - Member responsible: Michèle Rivasi</w:t>
      </w:r>
    </w:p>
    <w:p w:rsidR="003030D9">
      <w:pPr>
        <w:spacing w:after="170"/>
        <w:rPr>
          <w:i/>
          <w:iCs/>
          <w:lang w:val="en-GB"/>
        </w:rPr>
      </w:pPr>
      <w:r>
        <w:rPr>
          <w:i/>
          <w:iCs/>
          <w:lang w:val="en-GB"/>
        </w:rPr>
        <w:t>(Majority of Parliament’s component Members required)</w:t>
      </w:r>
    </w:p>
    <w:p w:rsidR="003030D9">
      <w:pPr>
        <w:spacing w:after="170"/>
        <w:rPr>
          <w:lang w:val="en-GB"/>
        </w:rPr>
      </w:pPr>
      <w:r>
        <w:rPr>
          <w:lang w:val="en-GB"/>
        </w:rPr>
        <w:t>MOTION FOR A RESOLUTION</w:t>
      </w:r>
    </w:p>
    <w:p w:rsidR="003030D9">
      <w:pPr>
        <w:tabs>
          <w:tab w:val="left" w:pos="570"/>
          <w:tab w:val="left" w:pos="2268"/>
          <w:tab w:val="left" w:pos="3402"/>
          <w:tab w:val="left" w:pos="4535"/>
          <w:tab w:val="left" w:pos="5669"/>
          <w:tab w:val="left" w:pos="6803"/>
          <w:tab w:val="left" w:pos="7937"/>
          <w:tab w:val="left" w:pos="9071"/>
          <w:tab w:val="left" w:pos="10205"/>
          <w:tab w:val="left" w:pos="11339"/>
        </w:tabs>
        <w:rPr>
          <w:i/>
          <w:lang w:val="en-GB"/>
        </w:rPr>
      </w:pPr>
      <w:r>
        <w:rPr>
          <w:lang w:val="en-GB"/>
        </w:rPr>
        <w:t>Rejected</w:t>
      </w:r>
      <w:r>
        <w:rPr>
          <w:i/>
          <w:lang w:val="en-GB"/>
        </w:rPr>
        <w:br/>
      </w:r>
      <w:r>
        <w:rPr>
          <w:i/>
          <w:iCs/>
          <w:lang w:val="en-GB"/>
        </w:rPr>
        <w:t>(‘Results of votes’ annex, item 8)</w:t>
      </w:r>
      <w:r>
        <w:rPr>
          <w:i/>
          <w:lang w:val="en-GB"/>
        </w:rPr>
        <w:t xml:space="preserve"> </w:t>
      </w:r>
    </w:p>
    <w:p w:rsidR="003030D9">
      <w:pPr>
        <w:pStyle w:val="Heading2"/>
        <w:rPr>
          <w:b w:val="0"/>
          <w:bCs w:val="0"/>
          <w:lang w:val="en-GB"/>
        </w:rPr>
      </w:pPr>
      <w:bookmarkStart w:id="16" w:name="_Toc140088472"/>
      <w:r>
        <w:t xml:space="preserve">8.9. Objection pursuant to Rule 111 (3): Detailed production rules for organic sea salt and other organic salts for food and feed </w:t>
      </w:r>
      <w:r>
        <w:rPr>
          <w:b w:val="0"/>
          <w:bCs w:val="0"/>
          <w:lang w:val="en-GB"/>
        </w:rPr>
        <w:t>(vote)</w:t>
      </w:r>
      <w:bookmarkEnd w:id="16"/>
      <w:r>
        <w:rPr>
          <w:b w:val="0"/>
          <w:bCs w:val="0"/>
          <w:lang w:val="en-GB"/>
        </w:rPr>
        <w:t xml:space="preserve"> </w:t>
      </w:r>
    </w:p>
    <w:p w:rsidR="003030D9">
      <w:pPr>
        <w:spacing w:after="120"/>
        <w:rPr>
          <w:lang w:val="en-GB"/>
        </w:rPr>
      </w:pPr>
      <w:r>
        <w:rPr>
          <w:lang w:val="en-GB"/>
        </w:rPr>
        <w:t>Motion for a resolution tabled by the AGRI Committee under Rule 111(3), on the Commission delegated regulation of 2 May 2023 amending Regulation (EU) 2018/848 of the European Parliament and of the Council as regards detailed production rules for organic sea salt and other organic salts for food and feed (C(2023)02781 - 2023/2676(DEA)) (B9-0308/2023) - Member responsible: Norbert Lins</w:t>
      </w:r>
    </w:p>
    <w:p w:rsidR="003030D9">
      <w:pPr>
        <w:spacing w:after="170"/>
        <w:rPr>
          <w:i/>
          <w:iCs/>
          <w:lang w:val="en-GB"/>
        </w:rPr>
      </w:pPr>
      <w:r>
        <w:rPr>
          <w:i/>
          <w:iCs/>
          <w:lang w:val="en-GB"/>
        </w:rPr>
        <w:t>(Majority of Parliament’s component Members required)</w:t>
      </w:r>
    </w:p>
    <w:p w:rsidR="003030D9">
      <w:pPr>
        <w:spacing w:after="170"/>
        <w:rPr>
          <w:lang w:val="en-GB"/>
        </w:rPr>
      </w:pPr>
      <w:r>
        <w:rPr>
          <w:lang w:val="en-GB"/>
        </w:rPr>
        <w:t>MOTION FOR A RESOLUTION</w:t>
      </w:r>
    </w:p>
    <w:p w:rsidR="003030D9">
      <w:pPr>
        <w:tabs>
          <w:tab w:val="left" w:pos="570"/>
          <w:tab w:val="left" w:pos="2268"/>
          <w:tab w:val="left" w:pos="3402"/>
          <w:tab w:val="left" w:pos="4535"/>
          <w:tab w:val="left" w:pos="5669"/>
          <w:tab w:val="left" w:pos="6803"/>
          <w:tab w:val="left" w:pos="7937"/>
          <w:tab w:val="left" w:pos="9071"/>
          <w:tab w:val="left" w:pos="10205"/>
          <w:tab w:val="left" w:pos="11339"/>
        </w:tabs>
        <w:spacing w:after="170"/>
        <w:rPr>
          <w:i/>
          <w:iCs/>
          <w:lang w:val="en-GB"/>
        </w:rPr>
      </w:pPr>
      <w:r>
        <w:rPr>
          <w:lang w:val="en-GB"/>
        </w:rPr>
        <w:t xml:space="preserve">Adopted </w:t>
      </w:r>
      <w:r>
        <w:rPr>
          <w:i/>
          <w:lang w:val="en-GB"/>
        </w:rPr>
        <w:t>(P9_TA(2023)0258)</w:t>
        <w:br/>
      </w:r>
      <w:r>
        <w:rPr>
          <w:i/>
          <w:iCs/>
          <w:lang w:val="en-GB"/>
        </w:rPr>
        <w:t>(‘Results of votes’ annex, item 9)</w:t>
      </w:r>
    </w:p>
    <w:p w:rsidR="003030D9">
      <w:pPr>
        <w:pStyle w:val="Heading2"/>
      </w:pPr>
      <w:bookmarkStart w:id="17" w:name="_Toc140088473"/>
      <w:r>
        <w:t xml:space="preserve">8.10. Industrial Emissions Directive ***I </w:t>
      </w:r>
      <w:r>
        <w:rPr>
          <w:b w:val="0"/>
          <w:bCs w:val="0"/>
          <w:lang w:val="en-GB"/>
        </w:rPr>
        <w:t>(vote)</w:t>
      </w:r>
      <w:bookmarkEnd w:id="17"/>
      <w:r>
        <w:t xml:space="preserve"> </w:t>
      </w:r>
    </w:p>
    <w:p w:rsidR="003030D9">
      <w:pPr>
        <w:rPr>
          <w:lang w:val="en-GB"/>
        </w:rPr>
      </w:pPr>
      <w:r>
        <w:rPr>
          <w:lang w:val="en-GB"/>
        </w:rPr>
        <w:t>Report on the proposal for a directive of the European Parliament and of the Council amending Directive 2010/75/EU of the European Parliament and of the Council of 24 November 2010 on industrial emissions (integrated pollution prevention and control) and Council Directive 1999/31/EC of 26 April 1999 on the landfill of waste [COM(2022)0156 - C9-0144/2022 - 2022/0104(COD)] - Committee on the Environment, Public Health and Food Safety. Rapporteur: Radan Kanev (A9-0216/2023)</w:t>
      </w:r>
    </w:p>
    <w:p w:rsidR="003030D9">
      <w:pPr>
        <w:spacing w:after="227"/>
        <w:rPr>
          <w:i/>
          <w:iCs/>
          <w:lang w:val="en-GB"/>
        </w:rPr>
      </w:pPr>
      <w:r>
        <w:rPr>
          <w:i/>
          <w:iCs/>
          <w:lang w:val="en-GB"/>
        </w:rPr>
        <w:t>(Majority of the votes cast)</w:t>
      </w:r>
    </w:p>
    <w:p w:rsidR="003030D9">
      <w:pPr>
        <w:spacing w:before="113"/>
        <w:rPr>
          <w:lang w:val="en-GB"/>
        </w:rPr>
      </w:pPr>
      <w:r>
        <w:rPr>
          <w:lang w:val="en-GB"/>
        </w:rPr>
        <w:t>PROPOSAL TO REJECT THE COMMISSION PROPOSAL</w:t>
      </w:r>
    </w:p>
    <w:p w:rsidR="003030D9">
      <w:pPr>
        <w:spacing w:before="113"/>
        <w:rPr>
          <w:lang w:val="en-GB"/>
        </w:rPr>
      </w:pPr>
      <w:r>
        <w:rPr>
          <w:lang w:val="en-GB"/>
        </w:rPr>
        <w:t>Rejected</w:t>
      </w:r>
    </w:p>
    <w:p w:rsidR="003030D9">
      <w:pPr>
        <w:spacing w:before="113"/>
        <w:rPr>
          <w:lang w:val="en-GB"/>
        </w:rPr>
      </w:pPr>
      <w:r>
        <w:rPr>
          <w:lang w:val="en-GB"/>
        </w:rPr>
        <w:t>COMMISSION PROPOSAL and AMENDMENTS</w:t>
      </w:r>
    </w:p>
    <w:p w:rsidR="003030D9">
      <w:pPr>
        <w:spacing w:before="113"/>
        <w:rPr>
          <w:i/>
          <w:iCs/>
          <w:lang w:val="en-GB"/>
        </w:rPr>
      </w:pPr>
      <w:r>
        <w:rPr>
          <w:lang w:val="en-GB"/>
        </w:rPr>
        <w:t xml:space="preserve">Approved </w:t>
      </w:r>
      <w:r>
        <w:rPr>
          <w:i/>
          <w:iCs/>
          <w:lang w:val="en-GB"/>
        </w:rPr>
        <w:t>(P9_TA(2023)0259)</w:t>
      </w:r>
      <w:r>
        <w:rPr>
          <w:lang w:val="en-GB"/>
        </w:rPr>
        <w:br/>
      </w:r>
      <w:r>
        <w:rPr>
          <w:i/>
          <w:iCs/>
          <w:lang w:val="en-GB"/>
        </w:rPr>
        <w:t>(‘Results of votes’ annex, item 10)</w:t>
      </w:r>
    </w:p>
    <w:p w:rsidR="003030D9">
      <w:pPr>
        <w:spacing w:after="170"/>
        <w:rPr>
          <w:lang w:val="en-GB"/>
        </w:rPr>
      </w:pPr>
      <w:r>
        <w:rPr>
          <w:lang w:val="en-GB"/>
        </w:rPr>
        <w:t>REQUEST FOR REFERRAL BACK TO COMMITTEE</w:t>
      </w:r>
    </w:p>
    <w:p w:rsidR="003030D9">
      <w:pPr>
        <w:rPr>
          <w:lang w:val="en-GB"/>
        </w:rPr>
      </w:pPr>
      <w:r>
        <w:rPr>
          <w:lang w:val="en-GB"/>
        </w:rPr>
        <w:t>Approved</w:t>
      </w:r>
    </w:p>
    <w:p w:rsidR="003030D9">
      <w:pPr>
        <w:spacing w:after="170"/>
        <w:rPr>
          <w:i/>
          <w:iCs/>
          <w:lang w:val="en-GB"/>
        </w:rPr>
      </w:pPr>
      <w:r>
        <w:rPr>
          <w:i/>
          <w:iCs/>
          <w:lang w:val="en-GB"/>
        </w:rPr>
        <w:t>The following had spoken:</w:t>
      </w:r>
    </w:p>
    <w:p w:rsidR="003030D9">
      <w:pPr>
        <w:rPr>
          <w:lang w:val="en-GB"/>
        </w:rPr>
      </w:pPr>
      <w:r>
        <w:rPr>
          <w:lang w:val="en-GB"/>
        </w:rPr>
        <w:t>After the vote on the Commission proposal, Radan Kanev (rapporteur), to request that the matter be referred back to the committee responsible, under Rule 59(4), for interinstitutional negotiations.</w:t>
      </w:r>
    </w:p>
    <w:p w:rsidR="003030D9">
      <w:pPr>
        <w:pStyle w:val="Heading2"/>
        <w:rPr>
          <w:iCs w:val="0"/>
          <w:lang w:val="en-GB"/>
        </w:rPr>
      </w:pPr>
      <w:bookmarkStart w:id="18" w:name="_Toc140088474"/>
      <w:r>
        <w:t xml:space="preserve">8.11. </w:t>
      </w:r>
      <w:r>
        <w:rPr>
          <w:iCs w:val="0"/>
          <w:lang w:val="en-GB"/>
        </w:rPr>
        <w:t xml:space="preserve">Industrial Emissions Portal ***I </w:t>
      </w:r>
      <w:r>
        <w:rPr>
          <w:b w:val="0"/>
          <w:bCs w:val="0"/>
          <w:iCs w:val="0"/>
          <w:lang w:val="en-GB"/>
        </w:rPr>
        <w:t>(vote)</w:t>
      </w:r>
      <w:bookmarkEnd w:id="18"/>
      <w:r>
        <w:rPr>
          <w:iCs w:val="0"/>
          <w:lang w:val="en-GB"/>
        </w:rPr>
        <w:t xml:space="preserve"> </w:t>
      </w:r>
    </w:p>
    <w:p w:rsidR="003030D9">
      <w:pPr>
        <w:rPr>
          <w:lang w:val="en-GB"/>
        </w:rPr>
      </w:pPr>
      <w:r>
        <w:rPr>
          <w:lang w:val="en-GB"/>
        </w:rPr>
        <w:t>Report on the proposal for a regulation of the European Parliament and of the Council on reporting of environmental data from industrial installations and establishing an Industrial Emissions Portal [COM(2022)0157 - C9-0145/2022- 2022/0105(COD)] - Committee on the Environment, Public Health and Food Safety. Rapporteur: Radan Kanev (A9-0211/2023)</w:t>
      </w:r>
    </w:p>
    <w:p w:rsidR="003030D9">
      <w:pPr>
        <w:spacing w:after="227"/>
        <w:rPr>
          <w:i/>
          <w:iCs/>
          <w:lang w:val="en-GB"/>
        </w:rPr>
      </w:pPr>
      <w:r>
        <w:rPr>
          <w:i/>
          <w:iCs/>
          <w:lang w:val="en-GB"/>
        </w:rPr>
        <w:t>(Majority of the votes cast)</w:t>
      </w:r>
    </w:p>
    <w:p w:rsidR="003030D9">
      <w:pPr>
        <w:spacing w:before="113"/>
        <w:rPr>
          <w:lang w:val="en-GB"/>
        </w:rPr>
      </w:pPr>
      <w:r>
        <w:rPr>
          <w:lang w:val="en-GB"/>
        </w:rPr>
        <w:t>COMMISSION PROPOSAL and AMENDMENTS</w:t>
      </w:r>
    </w:p>
    <w:p w:rsidR="003030D9">
      <w:pPr>
        <w:rPr>
          <w:i/>
          <w:iCs/>
          <w:lang w:val="en-GB"/>
        </w:rPr>
      </w:pPr>
      <w:r>
        <w:rPr>
          <w:lang w:val="en-GB"/>
        </w:rPr>
        <w:t xml:space="preserve">Approved </w:t>
      </w:r>
      <w:r>
        <w:rPr>
          <w:i/>
          <w:iCs/>
          <w:lang w:val="en-GB"/>
        </w:rPr>
        <w:t>(P9_TA(2023)0260)</w:t>
        <w:br/>
        <w:t>(‘Results of votes’ annex, item 11)</w:t>
      </w:r>
    </w:p>
    <w:p w:rsidR="003030D9">
      <w:pPr>
        <w:spacing w:after="170"/>
        <w:rPr>
          <w:lang w:val="en-GB"/>
        </w:rPr>
      </w:pPr>
      <w:r>
        <w:rPr>
          <w:lang w:val="en-GB"/>
        </w:rPr>
        <w:t>REQUEST FOR REFERRAL BACK TO COMMITTEE</w:t>
      </w:r>
    </w:p>
    <w:p w:rsidR="003030D9">
      <w:pPr>
        <w:rPr>
          <w:lang w:val="en-GB"/>
        </w:rPr>
      </w:pPr>
      <w:r>
        <w:rPr>
          <w:lang w:val="en-GB"/>
        </w:rPr>
        <w:t>Approved</w:t>
      </w:r>
    </w:p>
    <w:p w:rsidR="003030D9">
      <w:pPr>
        <w:spacing w:after="170"/>
        <w:rPr>
          <w:i/>
          <w:iCs/>
          <w:lang w:val="en-GB"/>
        </w:rPr>
      </w:pPr>
      <w:r>
        <w:rPr>
          <w:i/>
          <w:iCs/>
          <w:lang w:val="en-GB"/>
        </w:rPr>
        <w:t>The following had spoken:</w:t>
      </w:r>
    </w:p>
    <w:p w:rsidR="003030D9">
      <w:pPr>
        <w:rPr>
          <w:lang w:val="en-GB"/>
        </w:rPr>
      </w:pPr>
      <w:r>
        <w:rPr>
          <w:lang w:val="en-GB"/>
        </w:rPr>
        <w:t>After the vote on the Commission proposal, Radan Kanev (rapporteur), to request that the matter be referred back to the committee responsible, under Rule 59(4), for interinstitutional negotiations.</w:t>
      </w:r>
    </w:p>
    <w:p w:rsidR="003030D9">
      <w:pPr>
        <w:pStyle w:val="Heading2"/>
        <w:rPr>
          <w:b w:val="0"/>
          <w:bCs w:val="0"/>
          <w:lang w:val="en-GB"/>
        </w:rPr>
      </w:pPr>
      <w:bookmarkStart w:id="19" w:name="_Toc140088475"/>
      <w:r>
        <w:t xml:space="preserve">8.12. Deployment of alternative fuels infrastructure ***I </w:t>
      </w:r>
      <w:r>
        <w:rPr>
          <w:b w:val="0"/>
          <w:bCs w:val="0"/>
          <w:lang w:val="en-GB"/>
        </w:rPr>
        <w:t>(vote)</w:t>
      </w:r>
      <w:bookmarkEnd w:id="19"/>
      <w:r>
        <w:rPr>
          <w:b w:val="0"/>
          <w:bCs w:val="0"/>
          <w:lang w:val="en-GB"/>
        </w:rPr>
        <w:t xml:space="preserve"> </w:t>
      </w:r>
    </w:p>
    <w:p w:rsidR="003030D9">
      <w:pPr>
        <w:spacing w:before="113"/>
        <w:rPr>
          <w:lang w:val="en-GB"/>
        </w:rPr>
      </w:pPr>
      <w:r>
        <w:rPr>
          <w:lang w:val="en-GB"/>
        </w:rPr>
        <w:t>Report on the proposal for a regulation of the European Parliament and of the Council on the deployment of alternative fuels infrastructure, and repealing Directive 2014/94/EU of the European Parliament and of the Council [COM(2021)0559 - C9-0331/2021 - 2021/0223(COD)] - Committee on Transport and Tourism. Rapporteur: Petar Vitanov (A9-0234/2022)</w:t>
      </w:r>
    </w:p>
    <w:p w:rsidR="003030D9">
      <w:pPr>
        <w:rPr>
          <w:i/>
          <w:lang w:val="en-GB"/>
        </w:rPr>
      </w:pPr>
      <w:r>
        <w:rPr>
          <w:i/>
          <w:lang w:val="en-GB"/>
        </w:rPr>
        <w:t>(Majority of the votes cast)</w:t>
      </w:r>
    </w:p>
    <w:p w:rsidR="003030D9">
      <w:pPr>
        <w:rPr>
          <w:lang w:val="en-GB"/>
        </w:rPr>
      </w:pPr>
      <w:r>
        <w:rPr>
          <w:lang w:val="en-GB"/>
        </w:rPr>
        <w:t>PROVISIONAL AGREEMENT</w:t>
      </w:r>
    </w:p>
    <w:p w:rsidR="003030D9">
      <w:pPr>
        <w:spacing w:after="170"/>
        <w:rPr>
          <w:i/>
          <w:iCs/>
          <w:lang w:val="en-GB"/>
        </w:rPr>
      </w:pPr>
      <w:r>
        <w:rPr>
          <w:lang w:val="en-GB"/>
        </w:rPr>
        <w:t xml:space="preserve">Adopted </w:t>
      </w:r>
      <w:r>
        <w:rPr>
          <w:i/>
          <w:iCs/>
          <w:lang w:val="en-GB"/>
        </w:rPr>
        <w:t>(P9_TA(2023)0261)</w:t>
        <w:br/>
        <w:t>(‘Results of votes’ annex, item 12)</w:t>
      </w:r>
    </w:p>
    <w:p w:rsidR="003030D9">
      <w:pPr>
        <w:rPr>
          <w:lang w:val="en-GB"/>
        </w:rPr>
      </w:pPr>
      <w:r>
        <w:rPr>
          <w:lang w:val="en-GB"/>
        </w:rPr>
        <w:t>Parliament’s first reading thus closed.</w:t>
      </w:r>
    </w:p>
    <w:p w:rsidR="003030D9">
      <w:pPr>
        <w:pStyle w:val="Heading2"/>
        <w:rPr>
          <w:b w:val="0"/>
          <w:bCs w:val="0"/>
          <w:lang w:val="en-GB"/>
        </w:rPr>
      </w:pPr>
      <w:bookmarkStart w:id="20" w:name="_Toc140088476"/>
      <w:r>
        <w:t xml:space="preserve">8.13. Sustainable maritime fuels (FuelEU Maritime Initiative) ***I </w:t>
      </w:r>
      <w:r>
        <w:rPr>
          <w:b w:val="0"/>
          <w:bCs w:val="0"/>
          <w:lang w:val="en-GB"/>
        </w:rPr>
        <w:t>(vote)</w:t>
      </w:r>
      <w:bookmarkEnd w:id="20"/>
      <w:r>
        <w:rPr>
          <w:b w:val="0"/>
          <w:bCs w:val="0"/>
          <w:lang w:val="en-GB"/>
        </w:rPr>
        <w:t xml:space="preserve"> </w:t>
      </w:r>
    </w:p>
    <w:p w:rsidR="003030D9">
      <w:pPr>
        <w:spacing w:before="113"/>
        <w:rPr>
          <w:lang w:val="en-GB"/>
        </w:rPr>
      </w:pPr>
      <w:r>
        <w:rPr>
          <w:lang w:val="en-GB"/>
        </w:rPr>
        <w:t>Report on the proposal for a regulation of the European Parliament and of the Council on the use of renewable and low-carbon fuels in maritime transport and amending Directive 2009/16/EC [COM(2021)0562 - C9-0333/2021 - 2021/0210(COD)] - Committee on Transport and Tourism. Rapporteur: Jörgen Warborn (A9-0233/2022)</w:t>
      </w:r>
    </w:p>
    <w:p w:rsidR="003030D9">
      <w:pPr>
        <w:rPr>
          <w:i/>
          <w:lang w:val="en-GB"/>
        </w:rPr>
      </w:pPr>
      <w:r>
        <w:rPr>
          <w:i/>
          <w:lang w:val="en-GB"/>
        </w:rPr>
        <w:t>(Majority of the votes cast)</w:t>
      </w:r>
    </w:p>
    <w:p w:rsidR="003030D9">
      <w:pPr>
        <w:rPr>
          <w:lang w:val="en-GB"/>
        </w:rPr>
      </w:pPr>
      <w:r>
        <w:rPr>
          <w:lang w:val="en-GB"/>
        </w:rPr>
        <w:t>PROVISIONAL AGREEMENT</w:t>
      </w:r>
    </w:p>
    <w:p w:rsidR="003030D9">
      <w:pPr>
        <w:spacing w:after="170"/>
        <w:rPr>
          <w:i/>
          <w:iCs/>
          <w:lang w:val="en-GB"/>
        </w:rPr>
      </w:pPr>
      <w:r>
        <w:rPr>
          <w:lang w:val="en-GB"/>
        </w:rPr>
        <w:t xml:space="preserve">Adopted </w:t>
      </w:r>
      <w:r>
        <w:rPr>
          <w:i/>
          <w:iCs/>
          <w:lang w:val="en-GB"/>
        </w:rPr>
        <w:t>(P9_TA(2023)0262)</w:t>
        <w:br/>
        <w:t>(‘Results of votes’ annex, item 13)</w:t>
      </w:r>
    </w:p>
    <w:p w:rsidR="003030D9">
      <w:pPr>
        <w:rPr>
          <w:lang w:val="en-GB"/>
        </w:rPr>
      </w:pPr>
      <w:r>
        <w:rPr>
          <w:lang w:val="en-GB"/>
        </w:rPr>
        <w:t>Parliament’s first reading thus closed.</w:t>
      </w:r>
    </w:p>
    <w:p w:rsidR="003030D9">
      <w:pPr>
        <w:pStyle w:val="Heading2"/>
        <w:rPr>
          <w:b w:val="0"/>
          <w:bCs w:val="0"/>
          <w:lang w:val="en-GB"/>
        </w:rPr>
      </w:pPr>
      <w:bookmarkStart w:id="21" w:name="_Toc140088477"/>
      <w:r>
        <w:t xml:space="preserve">8.14. Energy efficiency (recast) ***I </w:t>
      </w:r>
      <w:r>
        <w:rPr>
          <w:b w:val="0"/>
          <w:bCs w:val="0"/>
          <w:lang w:val="en-GB"/>
        </w:rPr>
        <w:t>(vote)</w:t>
      </w:r>
      <w:bookmarkEnd w:id="21"/>
      <w:r>
        <w:rPr>
          <w:b w:val="0"/>
          <w:bCs w:val="0"/>
          <w:lang w:val="en-GB"/>
        </w:rPr>
        <w:t xml:space="preserve"> </w:t>
      </w:r>
    </w:p>
    <w:p w:rsidR="003030D9">
      <w:pPr>
        <w:spacing w:before="113"/>
        <w:rPr>
          <w:lang w:val="en-GB"/>
        </w:rPr>
      </w:pPr>
      <w:r>
        <w:rPr>
          <w:lang w:val="en-GB"/>
        </w:rPr>
        <w:t>Report on the proposal for a directive of the European Parliament and of the Council on energy efficiency (recast) [COM(2021)0558 - C9-0330/2021- 2021/0203(COD)] - Committee on Industry, Research and Energy. Rapporteur: Niels Fuglsang (A9-0221/2022)</w:t>
      </w:r>
    </w:p>
    <w:p w:rsidR="003030D9">
      <w:pPr>
        <w:rPr>
          <w:i/>
          <w:lang w:val="en-GB"/>
        </w:rPr>
      </w:pPr>
      <w:r>
        <w:rPr>
          <w:i/>
          <w:lang w:val="en-GB"/>
        </w:rPr>
        <w:t>(Majority of the votes cast)</w:t>
      </w:r>
    </w:p>
    <w:p w:rsidR="003030D9">
      <w:pPr>
        <w:rPr>
          <w:lang w:val="en-GB"/>
        </w:rPr>
      </w:pPr>
      <w:r>
        <w:rPr>
          <w:lang w:val="en-GB"/>
        </w:rPr>
        <w:t>PROVISIONAL AGREEMENT</w:t>
      </w:r>
    </w:p>
    <w:p w:rsidR="003030D9">
      <w:pPr>
        <w:spacing w:after="170"/>
        <w:rPr>
          <w:i/>
          <w:iCs/>
          <w:lang w:val="en-GB"/>
        </w:rPr>
      </w:pPr>
      <w:r>
        <w:rPr>
          <w:lang w:val="en-GB"/>
        </w:rPr>
        <w:t xml:space="preserve">Adopted </w:t>
      </w:r>
      <w:r>
        <w:rPr>
          <w:i/>
          <w:iCs/>
          <w:lang w:val="en-GB"/>
        </w:rPr>
        <w:t>(P9_TA(2023)0263)</w:t>
        <w:br/>
        <w:t>(‘Results of votes’ annex, item 14)</w:t>
      </w:r>
    </w:p>
    <w:p w:rsidR="003030D9">
      <w:pPr>
        <w:rPr>
          <w:lang w:val="en-GB"/>
        </w:rPr>
      </w:pPr>
      <w:r>
        <w:rPr>
          <w:lang w:val="en-GB"/>
        </w:rPr>
        <w:t>Parliament’s first reading thus closed.</w:t>
      </w:r>
    </w:p>
    <w:p w:rsidR="003030D9">
      <w:pPr>
        <w:pStyle w:val="Heading2"/>
        <w:rPr>
          <w:iCs w:val="0"/>
          <w:lang w:val="en-GB"/>
        </w:rPr>
      </w:pPr>
      <w:bookmarkStart w:id="22" w:name="_Toc140088478"/>
      <w:r>
        <w:t>8.15. Protection of journalists and human rights defenders from manifestly unfounded or abusive court proceedings</w:t>
      </w:r>
      <w:r>
        <w:rPr>
          <w:iCs w:val="0"/>
          <w:lang w:val="en-GB"/>
        </w:rPr>
        <w:t xml:space="preserve"> ***I </w:t>
      </w:r>
      <w:r>
        <w:rPr>
          <w:b w:val="0"/>
          <w:bCs w:val="0"/>
          <w:iCs w:val="0"/>
          <w:lang w:val="en-GB"/>
        </w:rPr>
        <w:t>(vote)</w:t>
      </w:r>
      <w:bookmarkEnd w:id="22"/>
      <w:r>
        <w:rPr>
          <w:iCs w:val="0"/>
          <w:lang w:val="en-GB"/>
        </w:rPr>
        <w:t xml:space="preserve"> </w:t>
      </w:r>
    </w:p>
    <w:p w:rsidR="003030D9">
      <w:pPr>
        <w:rPr>
          <w:lang w:val="en-GB"/>
        </w:rPr>
      </w:pPr>
      <w:r>
        <w:rPr>
          <w:lang w:val="en-GB"/>
        </w:rPr>
        <w:t>Report on the proposal for a directive of the European Parliament and of the Council on protecting persons who engage in public participation from manifestly unfounded or abusive court proceedings (‘Strategic lawsuits against public participation’) [COM(2022)0177 - C9-0161/2022 - 2022/0117(COD)] - Committee on Legal Affairs. Rapporteur: Tiemo Wölken (A9-0223/2023)</w:t>
      </w:r>
    </w:p>
    <w:p w:rsidR="003030D9">
      <w:pPr>
        <w:spacing w:after="227"/>
        <w:rPr>
          <w:i/>
          <w:iCs/>
          <w:lang w:val="en-GB"/>
        </w:rPr>
      </w:pPr>
      <w:r>
        <w:rPr>
          <w:i/>
          <w:iCs/>
          <w:lang w:val="en-GB"/>
        </w:rPr>
        <w:t>(Majority of the votes cast)</w:t>
      </w:r>
    </w:p>
    <w:p w:rsidR="003030D9">
      <w:pPr>
        <w:spacing w:before="113"/>
        <w:rPr>
          <w:lang w:val="en-GB"/>
        </w:rPr>
      </w:pPr>
      <w:r>
        <w:rPr>
          <w:lang w:val="en-GB"/>
        </w:rPr>
        <w:t>COMMISSION PROPOSAL and AMENDMENTS</w:t>
      </w:r>
    </w:p>
    <w:p w:rsidR="003030D9">
      <w:pPr>
        <w:rPr>
          <w:i/>
          <w:iCs/>
          <w:lang w:val="en-GB"/>
        </w:rPr>
      </w:pPr>
      <w:r>
        <w:rPr>
          <w:lang w:val="en-GB"/>
        </w:rPr>
        <w:t xml:space="preserve">Approved </w:t>
      </w:r>
      <w:r>
        <w:rPr>
          <w:i/>
          <w:iCs/>
          <w:lang w:val="en-GB"/>
        </w:rPr>
        <w:t>(P9_TA(2023)0264)</w:t>
        <w:br/>
        <w:t>(‘Results of votes’ annex, item 15)</w:t>
      </w:r>
    </w:p>
    <w:p w:rsidR="003030D9">
      <w:pPr>
        <w:spacing w:after="170"/>
        <w:rPr>
          <w:lang w:val="en-GB"/>
        </w:rPr>
      </w:pPr>
      <w:r>
        <w:rPr>
          <w:lang w:val="en-GB"/>
        </w:rPr>
        <w:t>REQUEST FOR REFERRAL BACK TO COMMITTEE</w:t>
      </w:r>
    </w:p>
    <w:p w:rsidR="003030D9">
      <w:pPr>
        <w:rPr>
          <w:lang w:val="en-GB"/>
        </w:rPr>
      </w:pPr>
      <w:r>
        <w:rPr>
          <w:lang w:val="en-GB"/>
        </w:rPr>
        <w:t>Approved</w:t>
      </w:r>
    </w:p>
    <w:p w:rsidR="003030D9">
      <w:pPr>
        <w:spacing w:after="170"/>
        <w:rPr>
          <w:i/>
          <w:iCs/>
          <w:lang w:val="en-GB"/>
        </w:rPr>
      </w:pPr>
      <w:r>
        <w:rPr>
          <w:i/>
          <w:iCs/>
          <w:lang w:val="en-GB"/>
        </w:rPr>
        <w:t>The following had spoken:</w:t>
      </w:r>
    </w:p>
    <w:p w:rsidR="003030D9">
      <w:pPr>
        <w:rPr>
          <w:lang w:val="en-GB"/>
        </w:rPr>
      </w:pPr>
      <w:r>
        <w:rPr>
          <w:lang w:val="en-GB"/>
        </w:rPr>
        <w:t>After the vote on the Commission proposal, Tiemo Wölken (rapporteur), to request that the matter be referred back to the committee responsible, under Rule 59(4), for interinstitutional negotiations.</w:t>
      </w:r>
    </w:p>
    <w:p w:rsidR="003030D9">
      <w:pPr>
        <w:pStyle w:val="Heading2"/>
        <w:rPr>
          <w:iCs w:val="0"/>
          <w:lang w:val="en-GB"/>
        </w:rPr>
      </w:pPr>
      <w:bookmarkStart w:id="23" w:name="_Toc140088479"/>
      <w:r>
        <w:t>8.16. Management, conservation and control measures in the area covered under the Southern Indian Ocean Fisheries Agreement (SIOFA)</w:t>
      </w:r>
      <w:r>
        <w:rPr>
          <w:iCs w:val="0"/>
          <w:lang w:val="en-GB"/>
        </w:rPr>
        <w:t xml:space="preserve"> ***I </w:t>
      </w:r>
      <w:r>
        <w:rPr>
          <w:b w:val="0"/>
          <w:bCs w:val="0"/>
          <w:iCs w:val="0"/>
          <w:lang w:val="en-GB"/>
        </w:rPr>
        <w:t>(vote)</w:t>
      </w:r>
      <w:bookmarkEnd w:id="23"/>
      <w:r>
        <w:rPr>
          <w:iCs w:val="0"/>
          <w:lang w:val="en-GB"/>
        </w:rPr>
        <w:t xml:space="preserve"> </w:t>
      </w:r>
    </w:p>
    <w:p w:rsidR="003030D9">
      <w:pPr>
        <w:rPr>
          <w:lang w:val="en-GB"/>
        </w:rPr>
      </w:pPr>
      <w:r>
        <w:rPr>
          <w:lang w:val="en-GB"/>
        </w:rPr>
        <w:t>Report on the proposal for a regulation of the European Parliament and of the Council laying down management, conservation and control measures applicable in the Area covered under the Southern Indian Ocean Fisheries Agreement (SIOFA) [COM(2022)0563 - C9-0370/2022 - 2022/0348(COD)] - Committee on Fisheries. Rapporteur: João Pimenta Lopes (A9-0192/2023)</w:t>
      </w:r>
    </w:p>
    <w:p w:rsidR="003030D9">
      <w:pPr>
        <w:spacing w:after="227"/>
        <w:rPr>
          <w:i/>
          <w:iCs/>
          <w:lang w:val="en-GB"/>
        </w:rPr>
      </w:pPr>
      <w:r>
        <w:rPr>
          <w:i/>
          <w:iCs/>
          <w:lang w:val="en-GB"/>
        </w:rPr>
        <w:t>(Majority of the votes cast)</w:t>
      </w:r>
    </w:p>
    <w:p w:rsidR="003030D9">
      <w:pPr>
        <w:spacing w:before="113"/>
        <w:rPr>
          <w:lang w:val="en-GB"/>
        </w:rPr>
      </w:pPr>
      <w:r>
        <w:rPr>
          <w:lang w:val="en-GB"/>
        </w:rPr>
        <w:t>COMMISSION PROPOSAL</w:t>
      </w:r>
    </w:p>
    <w:p w:rsidR="003030D9">
      <w:pPr>
        <w:rPr>
          <w:i/>
          <w:iCs/>
          <w:lang w:val="en-GB"/>
        </w:rPr>
      </w:pPr>
      <w:r>
        <w:rPr>
          <w:lang w:val="en-GB"/>
        </w:rPr>
        <w:t xml:space="preserve">Rejected </w:t>
      </w:r>
      <w:r>
        <w:rPr>
          <w:i/>
          <w:iCs/>
          <w:lang w:val="en-GB"/>
        </w:rPr>
        <w:t>(P9_TA(2023)0265)</w:t>
        <w:br/>
        <w:t>(‘Results of votes’ annex, item 16)</w:t>
      </w:r>
    </w:p>
    <w:p w:rsidR="003030D9">
      <w:pPr>
        <w:rPr>
          <w:lang w:val="en-GB"/>
        </w:rPr>
      </w:pPr>
      <w:r>
        <w:rPr>
          <w:lang w:val="en-GB"/>
        </w:rPr>
        <w:t>Parliament’s first reading thus closed.</w:t>
      </w:r>
    </w:p>
    <w:p w:rsidR="003030D9">
      <w:pPr>
        <w:spacing w:after="0"/>
        <w:rPr>
          <w:i/>
          <w:iCs/>
          <w:lang w:val="en-GB"/>
        </w:rPr>
      </w:pPr>
      <w:r>
        <w:rPr>
          <w:i/>
          <w:iCs/>
          <w:lang w:val="en-GB"/>
        </w:rPr>
        <w:t>The following had spoken:</w:t>
      </w:r>
    </w:p>
    <w:p w:rsidR="003030D9">
      <w:pPr>
        <w:rPr>
          <w:lang w:val="en-GB"/>
        </w:rPr>
      </w:pPr>
      <w:r>
        <w:rPr>
          <w:lang w:val="en-GB"/>
        </w:rPr>
        <w:t>After the vote, Margaritis Schinas (Vice-President of the Commission) to make a statement.</w:t>
      </w:r>
    </w:p>
    <w:p w:rsidR="003030D9">
      <w:pPr>
        <w:pStyle w:val="Heading2"/>
        <w:rPr>
          <w:b w:val="0"/>
          <w:bCs w:val="0"/>
          <w:lang w:val="en-GB"/>
        </w:rPr>
      </w:pPr>
      <w:bookmarkStart w:id="24" w:name="_Toc140088480"/>
      <w:r>
        <w:t xml:space="preserve">8.17. European Chips Act ***I </w:t>
      </w:r>
      <w:r>
        <w:rPr>
          <w:b w:val="0"/>
          <w:bCs w:val="0"/>
          <w:lang w:val="en-GB"/>
        </w:rPr>
        <w:t>(vote)</w:t>
      </w:r>
      <w:bookmarkEnd w:id="24"/>
      <w:r>
        <w:rPr>
          <w:b w:val="0"/>
          <w:bCs w:val="0"/>
          <w:lang w:val="en-GB"/>
        </w:rPr>
        <w:t xml:space="preserve"> </w:t>
      </w:r>
    </w:p>
    <w:p w:rsidR="003030D9">
      <w:pPr>
        <w:spacing w:before="113"/>
        <w:rPr>
          <w:lang w:val="en-GB"/>
        </w:rPr>
      </w:pPr>
      <w:r>
        <w:rPr>
          <w:lang w:val="en-GB"/>
        </w:rPr>
        <w:t>Report on the proposal for a regulation of the European Parliament and of the Council establishing a framework of measures for strengthening Europe's semiconductor ecosystem (Chips Act) [COM(2022)0046 - C9-0039/2022 - 2022/0032(COD)] - Committee on Industry, Research and Energy. Rapporteur: Dan Nica (A9-0014/2023)</w:t>
      </w:r>
    </w:p>
    <w:p w:rsidR="003030D9">
      <w:pPr>
        <w:rPr>
          <w:i/>
          <w:lang w:val="en-GB"/>
        </w:rPr>
      </w:pPr>
      <w:r>
        <w:rPr>
          <w:i/>
          <w:lang w:val="en-GB"/>
        </w:rPr>
        <w:t>(Majority of the votes cast)</w:t>
      </w:r>
    </w:p>
    <w:p w:rsidR="003030D9">
      <w:pPr>
        <w:rPr>
          <w:lang w:val="en-GB"/>
        </w:rPr>
      </w:pPr>
      <w:r>
        <w:rPr>
          <w:lang w:val="en-GB"/>
        </w:rPr>
        <w:t>PROVISIONAL AGREEMENT</w:t>
      </w:r>
    </w:p>
    <w:p w:rsidR="003030D9">
      <w:pPr>
        <w:spacing w:after="170"/>
        <w:rPr>
          <w:i/>
          <w:iCs/>
          <w:lang w:val="en-GB"/>
        </w:rPr>
      </w:pPr>
      <w:r>
        <w:rPr>
          <w:lang w:val="en-GB"/>
        </w:rPr>
        <w:t xml:space="preserve">Adopted </w:t>
      </w:r>
      <w:r>
        <w:rPr>
          <w:i/>
          <w:iCs/>
          <w:lang w:val="en-GB"/>
        </w:rPr>
        <w:t>(P9_TA(2023)0266)</w:t>
        <w:br/>
        <w:t>(‘Results of votes’ annex, item 17)</w:t>
      </w:r>
    </w:p>
    <w:p w:rsidR="003030D9">
      <w:pPr>
        <w:rPr>
          <w:lang w:val="en-GB"/>
        </w:rPr>
      </w:pPr>
      <w:r>
        <w:rPr>
          <w:lang w:val="en-GB"/>
        </w:rPr>
        <w:t>Parliament’s first reading thus closed.</w:t>
      </w:r>
    </w:p>
    <w:p w:rsidR="003030D9">
      <w:pPr>
        <w:pStyle w:val="Heading2"/>
        <w:rPr>
          <w:b w:val="0"/>
          <w:bCs w:val="0"/>
          <w:lang w:val="en-GB"/>
        </w:rPr>
      </w:pPr>
      <w:bookmarkStart w:id="25" w:name="_Toc140088481"/>
      <w:r>
        <w:t xml:space="preserve">8.18. Protection of journalists around the world and the European Union’s policy on the matter </w:t>
      </w:r>
      <w:r>
        <w:rPr>
          <w:b w:val="0"/>
          <w:bCs w:val="0"/>
          <w:lang w:val="en-GB"/>
        </w:rPr>
        <w:t>(vote)</w:t>
      </w:r>
      <w:bookmarkEnd w:id="25"/>
    </w:p>
    <w:p w:rsidR="003030D9">
      <w:pPr>
        <w:rPr>
          <w:lang w:val="en-GB"/>
        </w:rPr>
      </w:pPr>
      <w:r>
        <w:rPr>
          <w:lang w:val="en-GB"/>
        </w:rPr>
        <w:t>Report on the protection of journalists around the world and the European Union’s policy on the matter [2022/2057(INI)] - Committee on Foreign Affairs. Rapporteur: Isabel Wiseler-Lima (A9-0206/2023)</w:t>
      </w:r>
    </w:p>
    <w:p w:rsidR="003030D9">
      <w:pPr>
        <w:rPr>
          <w:i/>
          <w:lang w:val="en-GB"/>
        </w:rPr>
      </w:pPr>
      <w:r>
        <w:rPr>
          <w:i/>
          <w:lang w:val="en-GB"/>
        </w:rPr>
        <w:t>(Majority of the votes cast)</w:t>
      </w:r>
    </w:p>
    <w:p w:rsidR="003030D9">
      <w:pPr>
        <w:rPr>
          <w:lang w:val="en-GB"/>
        </w:rPr>
      </w:pPr>
      <w:r>
        <w:rPr>
          <w:lang w:val="en-GB"/>
        </w:rPr>
        <w:t>MOTION FOR A RESOLUTION</w:t>
      </w:r>
    </w:p>
    <w:p w:rsidR="003030D9">
      <w:pPr>
        <w:rPr>
          <w:i/>
          <w:iCs/>
          <w:lang w:val="en-GB"/>
        </w:rPr>
      </w:pPr>
      <w:r>
        <w:rPr>
          <w:lang w:val="en-GB"/>
        </w:rPr>
        <w:t xml:space="preserve">Approved by single vote </w:t>
      </w:r>
      <w:r>
        <w:rPr>
          <w:i/>
          <w:lang w:val="en-GB"/>
        </w:rPr>
        <w:t xml:space="preserve">(P9_TA(2023)0267) </w:t>
        <w:br/>
      </w:r>
      <w:r>
        <w:rPr>
          <w:i/>
          <w:iCs/>
          <w:lang w:val="en-GB"/>
        </w:rPr>
        <w:t>(‘Results of votes’ annex, item 18)</w:t>
      </w:r>
    </w:p>
    <w:p w:rsidR="003030D9">
      <w:pPr>
        <w:spacing w:after="0"/>
        <w:rPr>
          <w:i/>
          <w:iCs/>
          <w:lang w:val="en-GB"/>
        </w:rPr>
      </w:pPr>
      <w:r>
        <w:rPr>
          <w:i/>
          <w:iCs/>
          <w:lang w:val="en-GB"/>
        </w:rPr>
        <w:t>The following had spoken:</w:t>
      </w:r>
    </w:p>
    <w:p w:rsidR="003030D9">
      <w:pPr>
        <w:rPr>
          <w:lang w:val="en-GB"/>
        </w:rPr>
      </w:pPr>
      <w:r>
        <w:rPr>
          <w:lang w:val="en-GB"/>
        </w:rPr>
        <w:t>Prior to the vote, Isabel Wiseler-Lima (rapporteur), to make a statement on the basis of Rule 159(4).</w:t>
      </w:r>
    </w:p>
    <w:p w:rsidR="003030D9">
      <w:pPr>
        <w:pStyle w:val="Heading2"/>
        <w:rPr>
          <w:b w:val="0"/>
          <w:bCs w:val="0"/>
          <w:lang w:val="en-GB"/>
        </w:rPr>
      </w:pPr>
      <w:bookmarkStart w:id="26" w:name="_Toc140088482"/>
      <w:r>
        <w:t xml:space="preserve">8.19. The electoral law, the investigative committee and the rule of law in Poland </w:t>
      </w:r>
      <w:r>
        <w:rPr>
          <w:b w:val="0"/>
          <w:bCs w:val="0"/>
          <w:lang w:val="en-GB"/>
        </w:rPr>
        <w:t>(vote)</w:t>
      </w:r>
      <w:bookmarkEnd w:id="26"/>
      <w:r>
        <w:rPr>
          <w:b w:val="0"/>
          <w:bCs w:val="0"/>
          <w:lang w:val="en-GB"/>
        </w:rPr>
        <w:t xml:space="preserve"> </w:t>
      </w:r>
    </w:p>
    <w:p w:rsidR="003030D9">
      <w:pPr>
        <w:spacing w:after="120"/>
        <w:rPr>
          <w:lang w:val="en-GB"/>
        </w:rPr>
      </w:pPr>
      <w:r>
        <w:rPr>
          <w:lang w:val="en-GB"/>
        </w:rPr>
        <w:t>Motions for resolutions (2023/2747(RSP)) B9-0318/2023, B9-0319/2023 (</w:t>
      </w:r>
      <w:r>
        <w:rPr>
          <w:i/>
          <w:iCs/>
          <w:lang w:val="en-GB"/>
        </w:rPr>
        <w:t>minutes of 11.7.2023, item 1 in the list of documents serving as a basis for the debates and decisions of Parliament</w:t>
      </w:r>
      <w:r>
        <w:rPr>
          <w:lang w:val="en-GB"/>
        </w:rPr>
        <w:t>)</w:t>
      </w:r>
    </w:p>
    <w:p w:rsidR="003030D9">
      <w:pPr>
        <w:spacing w:after="120"/>
        <w:rPr>
          <w:lang w:val="en-GB"/>
        </w:rPr>
      </w:pPr>
      <w:r>
        <w:rPr>
          <w:lang w:val="en-GB"/>
        </w:rPr>
        <w:t xml:space="preserve">The debate was held on 14 June 2023 </w:t>
      </w:r>
      <w:r>
        <w:rPr>
          <w:i/>
          <w:iCs/>
          <w:lang w:val="en-GB"/>
        </w:rPr>
        <w:t>(minutes of 14.6.2023, item 5)</w:t>
      </w:r>
      <w:r>
        <w:rPr>
          <w:lang w:val="en-GB"/>
        </w:rPr>
        <w:t>.</w:t>
      </w:r>
    </w:p>
    <w:p w:rsidR="003030D9">
      <w:pPr>
        <w:rPr>
          <w:i/>
          <w:lang w:val="en-GB"/>
        </w:rPr>
      </w:pPr>
      <w:r>
        <w:rPr>
          <w:i/>
          <w:lang w:val="en-GB"/>
        </w:rPr>
        <w:t>(Majority of the votes cast)</w:t>
      </w:r>
    </w:p>
    <w:p w:rsidR="003030D9">
      <w:pPr>
        <w:rPr>
          <w:lang w:val="en-GB"/>
        </w:rPr>
      </w:pPr>
      <w:r>
        <w:rPr>
          <w:lang w:val="en-GB"/>
        </w:rPr>
        <w:t>MOTION FOR A RESOLUTION B9-0319/2023</w:t>
      </w:r>
    </w:p>
    <w:p w:rsidR="003030D9">
      <w:pPr>
        <w:rPr>
          <w:i/>
          <w:iCs/>
          <w:lang w:val="en-GB"/>
        </w:rPr>
      </w:pPr>
      <w:r>
        <w:rPr>
          <w:lang w:val="en-GB"/>
        </w:rPr>
        <w:t xml:space="preserve">Adopted </w:t>
      </w:r>
      <w:r>
        <w:rPr>
          <w:i/>
          <w:iCs/>
          <w:lang w:val="en-GB"/>
        </w:rPr>
        <w:t>(P9_TA(2023)0268)</w:t>
      </w:r>
      <w:r>
        <w:rPr>
          <w:lang w:val="en-GB"/>
        </w:rPr>
        <w:br/>
      </w:r>
      <w:r>
        <w:rPr>
          <w:i/>
          <w:iCs/>
          <w:lang w:val="en-GB"/>
        </w:rPr>
        <w:t>(‘Results of votes’ annex, item 19)</w:t>
      </w:r>
    </w:p>
    <w:p w:rsidR="003030D9">
      <w:r>
        <w:t>(Motion for a resolution B9-0318/2023 fell.)</w:t>
      </w:r>
    </w:p>
    <w:p w:rsidR="003030D9">
      <w:pPr>
        <w:pStyle w:val="Heading2"/>
        <w:rPr>
          <w:b w:val="0"/>
          <w:bCs w:val="0"/>
          <w:iCs w:val="0"/>
          <w:lang w:val="en-GB"/>
        </w:rPr>
      </w:pPr>
      <w:bookmarkStart w:id="27" w:name="_Toc140088483"/>
      <w:r>
        <w:t>8.20. Implementation of passerelle clauses in the EU Treaties</w:t>
      </w:r>
      <w:r>
        <w:rPr>
          <w:lang w:val="en-GB"/>
        </w:rPr>
        <w:t xml:space="preserve"> </w:t>
      </w:r>
      <w:r>
        <w:rPr>
          <w:b w:val="0"/>
          <w:bCs w:val="0"/>
          <w:iCs w:val="0"/>
          <w:lang w:val="en-GB"/>
        </w:rPr>
        <w:t>(vote)</w:t>
      </w:r>
      <w:bookmarkEnd w:id="27"/>
    </w:p>
    <w:p w:rsidR="003030D9">
      <w:pPr>
        <w:rPr>
          <w:lang w:val="en-GB"/>
        </w:rPr>
      </w:pPr>
      <w:r>
        <w:rPr>
          <w:lang w:val="en-GB"/>
        </w:rPr>
        <w:t>Report on the implementation of the passerelle clauses in the EU Treaties [2022/2142(INI)] - Committee on Constitutional Affairs. Rapporteur: Giuliano Pisapia (A9-0208/2023)</w:t>
      </w:r>
    </w:p>
    <w:p w:rsidR="003030D9">
      <w:pPr>
        <w:rPr>
          <w:i/>
          <w:lang w:val="en-GB"/>
        </w:rPr>
      </w:pPr>
      <w:r>
        <w:rPr>
          <w:i/>
          <w:lang w:val="en-GB"/>
        </w:rPr>
        <w:t>(Majority of the votes cast)</w:t>
      </w:r>
    </w:p>
    <w:p w:rsidR="003030D9">
      <w:pPr>
        <w:rPr>
          <w:lang w:val="en-GB"/>
        </w:rPr>
      </w:pPr>
      <w:r>
        <w:rPr>
          <w:lang w:val="en-GB"/>
        </w:rPr>
        <w:t>MOTION FOR A RESOLUTION</w:t>
      </w:r>
    </w:p>
    <w:p w:rsidR="003030D9">
      <w:pPr>
        <w:rPr>
          <w:i/>
          <w:iCs/>
          <w:lang w:val="en-GB"/>
        </w:rPr>
      </w:pPr>
      <w:r>
        <w:rPr>
          <w:lang w:val="en-GB"/>
        </w:rPr>
        <w:t xml:space="preserve">Adopted </w:t>
      </w:r>
      <w:r>
        <w:rPr>
          <w:i/>
          <w:lang w:val="en-GB"/>
        </w:rPr>
        <w:t>(P9_TA(2023)0269)</w:t>
        <w:br/>
      </w:r>
      <w:r>
        <w:rPr>
          <w:i/>
          <w:iCs/>
          <w:lang w:val="en-GB"/>
        </w:rPr>
        <w:t>(‘Results of votes’ annex, item 20)</w:t>
      </w:r>
    </w:p>
    <w:p w:rsidR="003030D9">
      <w:pPr>
        <w:pStyle w:val="Heading2"/>
        <w:rPr>
          <w:b w:val="0"/>
          <w:bCs w:val="0"/>
          <w:iCs w:val="0"/>
          <w:lang w:val="en-GB"/>
        </w:rPr>
      </w:pPr>
      <w:bookmarkStart w:id="28" w:name="_Toc140088484"/>
      <w:r>
        <w:t>8.21. Banking Union – annual report 2022</w:t>
      </w:r>
      <w:r>
        <w:rPr>
          <w:lang w:val="en-GB"/>
        </w:rPr>
        <w:t xml:space="preserve"> </w:t>
      </w:r>
      <w:r>
        <w:rPr>
          <w:b w:val="0"/>
          <w:bCs w:val="0"/>
          <w:iCs w:val="0"/>
          <w:lang w:val="en-GB"/>
        </w:rPr>
        <w:t>(vote)</w:t>
      </w:r>
      <w:bookmarkEnd w:id="28"/>
    </w:p>
    <w:p w:rsidR="003030D9">
      <w:pPr>
        <w:rPr>
          <w:lang w:val="en-GB"/>
        </w:rPr>
      </w:pPr>
      <w:r>
        <w:rPr>
          <w:lang w:val="en-GB"/>
        </w:rPr>
        <w:t>Report on Banking Union - annual report 2022 [2022/2061(INI)] - Committee on Economic and Monetary Affairs. Rapporteur: Kira Marie Peter-Hansen (A9-0177/2023)</w:t>
      </w:r>
    </w:p>
    <w:p w:rsidR="003030D9">
      <w:pPr>
        <w:rPr>
          <w:i/>
          <w:lang w:val="en-GB"/>
        </w:rPr>
      </w:pPr>
      <w:r>
        <w:rPr>
          <w:i/>
          <w:lang w:val="en-GB"/>
        </w:rPr>
        <w:t>(Majority of the votes cast)</w:t>
      </w:r>
    </w:p>
    <w:p w:rsidR="003030D9">
      <w:pPr>
        <w:rPr>
          <w:lang w:val="en-GB"/>
        </w:rPr>
      </w:pPr>
      <w:r>
        <w:rPr>
          <w:lang w:val="en-GB"/>
        </w:rPr>
        <w:t>MOTION FOR A RESOLUTION</w:t>
      </w:r>
    </w:p>
    <w:p w:rsidR="003030D9">
      <w:pPr>
        <w:rPr>
          <w:i/>
          <w:iCs/>
          <w:lang w:val="en-GB"/>
        </w:rPr>
      </w:pPr>
      <w:r>
        <w:rPr>
          <w:lang w:val="en-GB"/>
        </w:rPr>
        <w:t xml:space="preserve">Adopted </w:t>
      </w:r>
      <w:r>
        <w:rPr>
          <w:i/>
          <w:lang w:val="en-GB"/>
        </w:rPr>
        <w:t>(P9_TA(2023)0270)</w:t>
        <w:br/>
      </w:r>
      <w:r>
        <w:rPr>
          <w:i/>
          <w:iCs/>
          <w:lang w:val="en-GB"/>
        </w:rPr>
        <w:t>(‘Results of votes’ annex, item 21)</w:t>
      </w:r>
    </w:p>
    <w:p w:rsidR="003030D9">
      <w:pPr>
        <w:pStyle w:val="Heading2"/>
        <w:rPr>
          <w:b w:val="0"/>
          <w:bCs w:val="0"/>
          <w:iCs w:val="0"/>
          <w:lang w:val="en-GB"/>
        </w:rPr>
      </w:pPr>
      <w:bookmarkStart w:id="29" w:name="_Toc140088485"/>
      <w:r>
        <w:t>8.22. Fostering and adapting vocational training as a tool for employees' success and a building block for the EU economy in the new industry 4.0</w:t>
      </w:r>
      <w:r>
        <w:rPr>
          <w:lang w:val="en-GB"/>
        </w:rPr>
        <w:t xml:space="preserve"> </w:t>
      </w:r>
      <w:r>
        <w:rPr>
          <w:b w:val="0"/>
          <w:bCs w:val="0"/>
          <w:iCs w:val="0"/>
          <w:lang w:val="en-GB"/>
        </w:rPr>
        <w:t>(vote)</w:t>
      </w:r>
      <w:bookmarkEnd w:id="29"/>
    </w:p>
    <w:p w:rsidR="003030D9">
      <w:pPr>
        <w:rPr>
          <w:lang w:val="en-GB"/>
        </w:rPr>
      </w:pPr>
      <w:r>
        <w:rPr>
          <w:lang w:val="en-GB"/>
        </w:rPr>
        <w:t>Report on fostering and adapting vocational training as a tool for employees’ success and a building block for the EU economy in the new industry 4.0 [2022/2207(INI)] - Committee on Employment and Social Affairs. Rapporteur: Anna Zalewska (A9-0232/2023)</w:t>
      </w:r>
    </w:p>
    <w:p w:rsidR="003030D9">
      <w:pPr>
        <w:rPr>
          <w:i/>
          <w:lang w:val="en-GB"/>
        </w:rPr>
      </w:pPr>
      <w:r>
        <w:rPr>
          <w:i/>
          <w:lang w:val="en-GB"/>
        </w:rPr>
        <w:t>(Majority of the votes cast)</w:t>
      </w:r>
    </w:p>
    <w:p w:rsidR="003030D9">
      <w:pPr>
        <w:rPr>
          <w:lang w:val="en-GB"/>
        </w:rPr>
      </w:pPr>
      <w:r>
        <w:rPr>
          <w:lang w:val="en-GB"/>
        </w:rPr>
        <w:t>MOTION FOR A RESOLUTION</w:t>
      </w:r>
    </w:p>
    <w:p w:rsidR="003030D9">
      <w:pPr>
        <w:rPr>
          <w:i/>
          <w:iCs/>
          <w:lang w:val="en-GB"/>
        </w:rPr>
      </w:pPr>
      <w:r>
        <w:rPr>
          <w:lang w:val="en-GB"/>
        </w:rPr>
        <w:t xml:space="preserve">Adopted </w:t>
      </w:r>
      <w:r>
        <w:rPr>
          <w:i/>
          <w:lang w:val="en-GB"/>
        </w:rPr>
        <w:t>(P9_TA(2023)0271)</w:t>
        <w:br/>
      </w:r>
      <w:r>
        <w:rPr>
          <w:i/>
          <w:iCs/>
          <w:lang w:val="en-GB"/>
        </w:rPr>
        <w:t>(‘Results of votes’ annex, item 22)</w:t>
      </w:r>
    </w:p>
    <w:p w:rsidR="003030D9">
      <w:pPr>
        <w:jc w:val="center"/>
        <w:rPr>
          <w:i/>
          <w:iCs/>
          <w:lang w:val="en-GB"/>
        </w:rPr>
      </w:pPr>
      <w:r>
        <w:rPr>
          <w:i/>
          <w:iCs/>
          <w:lang w:val="en-GB"/>
        </w:rPr>
        <w:t>(The sitting was suspended for a few moments.)</w:t>
      </w:r>
    </w:p>
    <w:p w:rsidR="003030D9">
      <w:pPr>
        <w:jc w:val="center"/>
        <w:rPr>
          <w:i/>
          <w:lang w:val="en-GB"/>
        </w:rPr>
      </w:pPr>
      <w:r>
        <w:rPr>
          <w:lang w:val="en-GB"/>
        </w:rPr>
        <w:t>IN THE CHAIR: Pedro SILVA PEREIRA</w:t>
        <w:br/>
      </w:r>
      <w:r>
        <w:rPr>
          <w:i/>
          <w:lang w:val="en-GB"/>
        </w:rPr>
        <w:t>Vice-President</w:t>
      </w:r>
    </w:p>
    <w:p w:rsidR="003030D9">
      <w:pPr>
        <w:pStyle w:val="Heading1"/>
      </w:pPr>
      <w:bookmarkStart w:id="30" w:name="_Toc140088486"/>
      <w:r>
        <w:t>9. Resumption of the sitting</w:t>
      </w:r>
      <w:bookmarkEnd w:id="30"/>
    </w:p>
    <w:p w:rsidR="003030D9">
      <w:pPr>
        <w:rPr>
          <w:lang w:val="en-GB"/>
        </w:rPr>
      </w:pPr>
      <w:r>
        <w:rPr>
          <w:lang w:val="en-GB"/>
        </w:rPr>
        <w:t>The sitting resumed at 13.34.</w:t>
      </w:r>
    </w:p>
    <w:p w:rsidR="003030D9">
      <w:pPr>
        <w:pStyle w:val="Heading1"/>
        <w:rPr>
          <w:b w:val="0"/>
          <w:bCs w:val="0"/>
          <w:lang w:val="en-GB"/>
        </w:rPr>
      </w:pPr>
      <w:bookmarkStart w:id="31" w:name="_Toc140088487"/>
      <w:r>
        <w:t xml:space="preserve">10. COVID-19 pandemic: lessons learned and recommendations for the future </w:t>
      </w:r>
      <w:r>
        <w:rPr>
          <w:b w:val="0"/>
          <w:bCs w:val="0"/>
          <w:lang w:val="en-GB"/>
        </w:rPr>
        <w:t>(debate)</w:t>
      </w:r>
      <w:bookmarkEnd w:id="31"/>
    </w:p>
    <w:p w:rsidR="003030D9">
      <w:pPr>
        <w:rPr>
          <w:lang w:val="en-GB"/>
        </w:rPr>
      </w:pPr>
      <w:r>
        <w:rPr>
          <w:lang w:val="en-GB"/>
        </w:rPr>
        <w:t>Report on the COVID-19 pandemic: lessons learned and recommendations for the future [2022/2076(INI)] - Special Committee on the COVID-19 pandemic: lessons learned and recommendations for the future. Rapporteur: Dolors Montserrat (A9-0217/2023)</w:t>
      </w:r>
    </w:p>
    <w:p w:rsidR="003030D9">
      <w:pPr>
        <w:rPr>
          <w:lang w:val="en-GB"/>
        </w:rPr>
      </w:pPr>
      <w:r>
        <w:rPr>
          <w:lang w:val="en-GB"/>
        </w:rPr>
        <w:t>Dolors Montserrat introduced the report.</w:t>
      </w:r>
    </w:p>
    <w:p w:rsidR="003030D9">
      <w:pPr>
        <w:rPr>
          <w:lang w:val="en-GB"/>
        </w:rPr>
      </w:pPr>
      <w:r>
        <w:rPr>
          <w:lang w:val="en-GB"/>
        </w:rPr>
        <w:t>The following spoke: Margaritis Schinas (Vice-President of the Commission).</w:t>
      </w:r>
    </w:p>
    <w:p w:rsidR="003030D9">
      <w:pPr>
        <w:rPr>
          <w:lang w:val="en-GB"/>
        </w:rPr>
      </w:pPr>
      <w:r>
        <w:rPr>
          <w:lang w:val="en-GB"/>
        </w:rPr>
        <w:t>The following spoke: Tomislav Sokol, on behalf of the PPE Group, Alessandra Moretti, on behalf of the S&amp;D Group, José Ramón</w:t>
      </w:r>
      <w:r>
        <w:rPr>
          <w:lang w:val="en-GB"/>
        </w:rPr>
        <w:t xml:space="preserve"> Bauzá Díaz, on behalf of the Renew Group, Tilly Metz, on behalf of the Verts/ALE Group, and Cristian Terheş, on behalf of the ECR Group.</w:t>
      </w:r>
    </w:p>
    <w:p w:rsidR="003030D9">
      <w:pPr>
        <w:jc w:val="center"/>
        <w:rPr>
          <w:i/>
          <w:lang w:val="en-GB"/>
        </w:rPr>
      </w:pPr>
      <w:r>
        <w:rPr>
          <w:lang w:val="en-GB"/>
        </w:rPr>
        <w:t>IN THE CHAIR: Marc ANGEL</w:t>
        <w:br/>
      </w:r>
      <w:r>
        <w:rPr>
          <w:i/>
          <w:lang w:val="en-GB"/>
        </w:rPr>
        <w:t>Vice-President</w:t>
      </w:r>
    </w:p>
    <w:p w:rsidR="003030D9">
      <w:pPr>
        <w:rPr>
          <w:lang w:val="en-GB"/>
        </w:rPr>
      </w:pPr>
      <w:r>
        <w:rPr>
          <w:lang w:val="en-GB"/>
        </w:rPr>
        <w:t>The following spoke: Stefania Zambelli, on behalf of the ID Group, Kateřina Konečná, on behalf of The Left Group, Francesca Donato, non-attached Member, Peter Liese, Kathleen Van Brempt, Max Orville, Jutta Paulus, Robert Roos, Virginie Joron, Marisa Matias, Marcel de Graaff, Liudas Mažylis, Sara Cerdas, Vlad-Marius Botoş, Katrin Lan</w:t>
      </w:r>
      <w:r>
        <w:rPr>
          <w:lang w:val="en-GB"/>
        </w:rPr>
        <w:t>gensiepen, Margarita de la Pisa Carrión, Sylvia Limmer, Marc Botenga, Edina Tóth, Christian Ehler, Mikuláš Peksa, Sergio Berlato, Krzysztof Hetman, Eugen Jurzyca, Deirdre Clune and Sara Skyttedal.</w:t>
      </w:r>
    </w:p>
    <w:p w:rsidR="003030D9">
      <w:pPr>
        <w:rPr>
          <w:lang w:val="en-GB"/>
        </w:rPr>
      </w:pPr>
      <w:r>
        <w:rPr>
          <w:lang w:val="en-GB"/>
        </w:rPr>
        <w:t>The following spoke under the catch-the-eye procedure: Mónica Silvana González, Barry Andrews, Pierrette Herzberger-Fofana, Ladislav Ilčić, Clare Daly and Karsten Lucke.</w:t>
      </w:r>
    </w:p>
    <w:p w:rsidR="003030D9">
      <w:pPr>
        <w:rPr>
          <w:lang w:val="en-GB"/>
        </w:rPr>
      </w:pPr>
      <w:r>
        <w:rPr>
          <w:lang w:val="en-GB"/>
        </w:rPr>
        <w:t>The following spoke: Margaritis Schinas and Dolors Montserrat.</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pPr>
      <w:bookmarkStart w:id="32" w:name="_Toc140088488"/>
      <w:r>
        <w:t xml:space="preserve">11. 2023 Annual Rule of law report </w:t>
      </w:r>
      <w:r>
        <w:rPr>
          <w:b w:val="0"/>
          <w:bCs w:val="0"/>
          <w:lang w:val="en-GB"/>
        </w:rPr>
        <w:t>(debate)</w:t>
      </w:r>
      <w:bookmarkEnd w:id="32"/>
      <w:r>
        <w:t xml:space="preserve"> </w:t>
      </w:r>
    </w:p>
    <w:p w:rsidR="003030D9">
      <w:pPr>
        <w:rPr>
          <w:lang w:val="en-GB"/>
        </w:rPr>
      </w:pPr>
      <w:r>
        <w:rPr>
          <w:lang w:val="en-GB"/>
        </w:rPr>
        <w:t>Council and Commission statements: 2023 Annual Rule of law report (2023/2785(RSP))</w:t>
      </w:r>
    </w:p>
    <w:p w:rsidR="003030D9">
      <w:pPr>
        <w:rPr>
          <w:lang w:val="en-GB"/>
        </w:rPr>
      </w:pPr>
      <w:r>
        <w:rPr>
          <w:lang w:val="en-GB"/>
        </w:rPr>
        <w:t>Pascual Ignacio Navarro Rios (President-in-Office of the Council) and Didier Reynders (Member of the Commission) made the statements.</w:t>
      </w:r>
    </w:p>
    <w:p w:rsidR="003030D9">
      <w:pPr>
        <w:jc w:val="center"/>
        <w:rPr>
          <w:i/>
          <w:lang w:val="en-GB"/>
        </w:rPr>
      </w:pPr>
      <w:r>
        <w:rPr>
          <w:lang w:val="en-GB"/>
        </w:rPr>
        <w:t>IN THE CHAIR: Katarina BARLEY</w:t>
        <w:br/>
      </w:r>
      <w:r>
        <w:rPr>
          <w:i/>
          <w:lang w:val="en-GB"/>
        </w:rPr>
        <w:t>Vice-President</w:t>
      </w:r>
    </w:p>
    <w:p w:rsidR="003030D9">
      <w:pPr>
        <w:rPr>
          <w:lang w:val="en-GB"/>
        </w:rPr>
      </w:pPr>
      <w:r>
        <w:rPr>
          <w:lang w:val="en-GB"/>
        </w:rPr>
        <w:t xml:space="preserve">The following spoke: Paulo Rangel, on behalf of the PPE Group, Juan Fernando López Aguilar, on behalf of the S&amp;D Group, Sophia in 't Veld, on behalf of the Renew Group, Daniel Freund, on behalf of the Verts/ALE Group, Patryk Jaki, on behalf of the </w:t>
      </w:r>
      <w:r>
        <w:rPr>
          <w:lang w:val="en-GB"/>
        </w:rPr>
        <w:t>ECR Group, Jean-Paul Garraud, on behalf of the ID Group, Clare Daly, on behalf of The Left Group, Kinga Gál, non-attached Member, Javier Zarzalejos, Łukasz Kohut, Moritz Körner, Tineke Strik, who also answered a blue-card question from Patryk Jaki, Romana Tomc, Cyrus Engerer, Ramona Strugariu, Elissavet Vozemberg-Vrionidi, Theresa Bielowski, Róża Thun und Hohenstein, David Casa and Katalin Cseh.</w:t>
      </w:r>
    </w:p>
    <w:p w:rsidR="003030D9">
      <w:pPr>
        <w:rPr>
          <w:lang w:val="en-GB"/>
        </w:rPr>
      </w:pPr>
      <w:r>
        <w:rPr>
          <w:lang w:val="en-GB"/>
        </w:rPr>
        <w:t>The following spoke under the catch-the-eye procedure: Miriam Lexmann, Maria Grapini and Georgios Kyrtsos.</w:t>
      </w:r>
    </w:p>
    <w:p w:rsidR="003030D9">
      <w:pPr>
        <w:rPr>
          <w:lang w:val="en-GB"/>
        </w:rPr>
      </w:pPr>
      <w:r>
        <w:rPr>
          <w:lang w:val="en-GB"/>
        </w:rPr>
        <w:t>The fo</w:t>
      </w:r>
      <w:r>
        <w:rPr>
          <w:lang w:val="en-GB"/>
        </w:rPr>
        <w:t>llowing spoke: Didier Reynders and Pascual Ignacio Navarro Rios.</w:t>
      </w:r>
    </w:p>
    <w:p w:rsidR="003030D9">
      <w:r>
        <w:t>The debate closed.</w:t>
      </w:r>
    </w:p>
    <w:p w:rsidR="003030D9">
      <w:pPr>
        <w:pStyle w:val="Heading1"/>
      </w:pPr>
      <w:bookmarkStart w:id="33" w:name="_Toc140088489"/>
      <w:r>
        <w:t>12. Approval of the minutes of the previous sitting</w:t>
      </w:r>
      <w:bookmarkEnd w:id="33"/>
    </w:p>
    <w:p w:rsidR="003030D9">
      <w:pPr>
        <w:rPr>
          <w:lang w:val="en-GB"/>
        </w:rPr>
      </w:pPr>
      <w:r>
        <w:rPr>
          <w:lang w:val="en-GB"/>
        </w:rPr>
        <w:t>The minutes of the previous sitting were approved.</w:t>
      </w:r>
    </w:p>
    <w:p w:rsidR="003030D9">
      <w:pPr>
        <w:pStyle w:val="Heading1"/>
      </w:pPr>
      <w:bookmarkStart w:id="34" w:name="_Toc140088490"/>
      <w:r>
        <w:t xml:space="preserve">13. Greening transport package </w:t>
      </w:r>
      <w:r>
        <w:rPr>
          <w:b w:val="0"/>
          <w:bCs w:val="0"/>
          <w:lang w:val="en-GB"/>
        </w:rPr>
        <w:t>(debate)</w:t>
      </w:r>
      <w:bookmarkEnd w:id="34"/>
      <w:r>
        <w:t xml:space="preserve"> </w:t>
      </w:r>
    </w:p>
    <w:p w:rsidR="003030D9">
      <w:pPr>
        <w:rPr>
          <w:lang w:val="en-GB"/>
        </w:rPr>
      </w:pPr>
      <w:r>
        <w:rPr>
          <w:lang w:val="en-GB"/>
        </w:rPr>
        <w:t>Commission statement: Greening transport package (2023/2786(RSP))</w:t>
      </w:r>
    </w:p>
    <w:p w:rsidR="003030D9">
      <w:pPr>
        <w:rPr>
          <w:lang w:val="en-GB"/>
        </w:rPr>
      </w:pPr>
      <w:r>
        <w:rPr>
          <w:lang w:val="en-GB"/>
        </w:rPr>
        <w:t>Jutta Urpilainen (Member of the Commission) made the statement.</w:t>
      </w:r>
    </w:p>
    <w:p w:rsidR="003030D9">
      <w:pPr>
        <w:rPr>
          <w:lang w:val="en-GB"/>
        </w:rPr>
      </w:pPr>
      <w:r>
        <w:rPr>
          <w:lang w:val="en-GB"/>
        </w:rPr>
        <w:t>The following spoke: Barbara Thaler, on behalf of the PPE Group, Bogusław Liberadzki, on behalf of the S&amp;D Group, José Ramón Bauzá Díaz, on behalf of the Renew Group, Karima Delli, on behalf of the Verts/ALE Group, Elena Kountoura, on behalf of The Left Gr</w:t>
      </w:r>
      <w:r>
        <w:rPr>
          <w:lang w:val="en-GB"/>
        </w:rPr>
        <w:t>oup, Andor Deli, non-attached Member, Massimiliano Salini, Erik Bergkvist, Izaskun Bilbao Barandica, Ciarán Cuffe, Henna Virkkunen, Kathleen Van Brempt, Jan-Christoph Oetjen, Anna Deparnay-Grunenberg, Seán Kelly, Achille Variati, Andreas Schieder and Vera Tax.</w:t>
      </w:r>
    </w:p>
    <w:p w:rsidR="003030D9">
      <w:pPr>
        <w:rPr>
          <w:lang w:val="en-GB"/>
        </w:rPr>
      </w:pPr>
      <w:r>
        <w:rPr>
          <w:lang w:val="en-GB"/>
        </w:rPr>
        <w:t>The following spoke under the catch-the-eye procedure: Clare Daly and Mick Wallace.</w:t>
      </w:r>
    </w:p>
    <w:p w:rsidR="003030D9">
      <w:pPr>
        <w:rPr>
          <w:lang w:val="en-GB"/>
        </w:rPr>
      </w:pPr>
      <w:r>
        <w:rPr>
          <w:lang w:val="en-GB"/>
        </w:rPr>
        <w:t>The following spoke: Jutta Urpilainen.</w:t>
      </w:r>
    </w:p>
    <w:p w:rsidR="003030D9">
      <w:pPr>
        <w:jc w:val="center"/>
        <w:rPr>
          <w:i/>
          <w:lang w:val="en-GB"/>
        </w:rPr>
      </w:pPr>
      <w:r>
        <w:rPr>
          <w:lang w:val="en-GB"/>
        </w:rPr>
        <w:t>IN THE CHAIR: Roberts ZĪLE</w:t>
        <w:br/>
      </w:r>
      <w:r>
        <w:rPr>
          <w:i/>
          <w:lang w:val="en-GB"/>
        </w:rPr>
        <w:t>Vice-President</w:t>
      </w:r>
    </w:p>
    <w:p w:rsidR="003030D9">
      <w:r>
        <w:t>The debate closed.</w:t>
      </w:r>
    </w:p>
    <w:p w:rsidR="003030D9">
      <w:pPr>
        <w:pStyle w:val="Heading1"/>
      </w:pPr>
      <w:bookmarkStart w:id="35" w:name="_Toc140088491"/>
      <w:r>
        <w:t>14. Question Time (Commission) – EU-Africa Strategy</w:t>
      </w:r>
      <w:bookmarkEnd w:id="35"/>
    </w:p>
    <w:p w:rsidR="003030D9">
      <w:pPr>
        <w:rPr>
          <w:lang w:val="en-GB"/>
        </w:rPr>
      </w:pPr>
      <w:r>
        <w:rPr>
          <w:lang w:val="en-GB"/>
        </w:rPr>
        <w:t>The President outlined the arrangements for Question Time with Commissioners.</w:t>
      </w:r>
    </w:p>
    <w:p w:rsidR="003030D9">
      <w:pPr>
        <w:rPr>
          <w:lang w:val="en-GB"/>
        </w:rPr>
      </w:pPr>
      <w:r>
        <w:rPr>
          <w:lang w:val="en-GB"/>
        </w:rPr>
        <w:t>Jutta Urpilainen (Member of the Commission) answered the question</w:t>
      </w:r>
      <w:r>
        <w:rPr>
          <w:lang w:val="en-GB"/>
        </w:rPr>
        <w:t>s put by the following Members: György Hölvényi, Maria Arena, Karen Melchior, Malte Gallée, Anna Fotyga, Anna Bonfrisco, Marc Botenga, Fabio Massimo Castaldo, Francisco José Millán Mon, Carlos Zorrinho and Samira Rafaela.</w:t>
      </w:r>
    </w:p>
    <w:p w:rsidR="003030D9">
      <w:pPr>
        <w:spacing w:after="120"/>
        <w:rPr>
          <w:lang w:val="en-GB"/>
        </w:rPr>
      </w:pPr>
      <w:r>
        <w:rPr>
          <w:lang w:val="en-GB"/>
        </w:rPr>
        <w:t>Question Time closed.</w:t>
      </w:r>
    </w:p>
    <w:p w:rsidR="003030D9">
      <w:pPr>
        <w:pStyle w:val="Heading1"/>
        <w:rPr>
          <w:b w:val="0"/>
          <w:bCs w:val="0"/>
          <w:lang w:val="en-GB"/>
        </w:rPr>
      </w:pPr>
      <w:bookmarkStart w:id="36" w:name="_Toc140088492"/>
      <w:r>
        <w:t xml:space="preserve">15. Relations with the Palestinian Authority </w:t>
      </w:r>
      <w:r>
        <w:rPr>
          <w:b w:val="0"/>
          <w:bCs w:val="0"/>
          <w:lang w:val="en-GB"/>
        </w:rPr>
        <w:t>(debate)</w:t>
      </w:r>
      <w:bookmarkEnd w:id="36"/>
    </w:p>
    <w:p w:rsidR="003030D9">
      <w:pPr>
        <w:rPr>
          <w:lang w:val="en-GB"/>
        </w:rPr>
      </w:pPr>
      <w:r>
        <w:rPr>
          <w:lang w:val="en-GB"/>
        </w:rPr>
        <w:t>Report on a European Parliament recommendation to the Council, the Commission and the Vice-President of the Commission / High Representative of the Union for Foreign Affairs and Security Policy on relations with the Palestinian Authority [2021/2207(INI)] - Committee on Foreign Affairs. Rapporteur: Evin Incir (A9-0226/2023)</w:t>
      </w:r>
    </w:p>
    <w:p w:rsidR="003030D9">
      <w:pPr>
        <w:rPr>
          <w:lang w:val="en-GB"/>
        </w:rPr>
      </w:pPr>
      <w:r>
        <w:rPr>
          <w:lang w:val="en-GB"/>
        </w:rPr>
        <w:t>Evin Incir introduced the report.</w:t>
      </w:r>
    </w:p>
    <w:p w:rsidR="003030D9">
      <w:pPr>
        <w:rPr>
          <w:lang w:val="en-GB"/>
        </w:rPr>
      </w:pPr>
      <w:r>
        <w:rPr>
          <w:lang w:val="en-GB"/>
        </w:rPr>
        <w:t>The following spoke: Jutta Urpilainen (Member of the Commission).</w:t>
      </w:r>
    </w:p>
    <w:p w:rsidR="003030D9">
      <w:pPr>
        <w:rPr>
          <w:lang w:val="en-GB"/>
        </w:rPr>
      </w:pPr>
      <w:r>
        <w:rPr>
          <w:lang w:val="en-GB"/>
        </w:rPr>
        <w:t>The following spoke: Michael Gahler, on behalf of the PPE Group, Matja</w:t>
      </w:r>
      <w:r>
        <w:rPr>
          <w:lang w:val="en-GB"/>
        </w:rPr>
        <w:t>ž Nemec, on behalf of the S&amp;D Group, Nicola Beer, on behalf of the Renew Group, Jordi Solé, on behalf of the Verts/ALE Group, Bert-Jan Ruissen, on behalf of the ECR Group, Susanna Ceccardi, on behalf of the ID Group, Manu Pineda, on behalf of The Left Grou</w:t>
      </w:r>
      <w:r>
        <w:rPr>
          <w:lang w:val="en-GB"/>
        </w:rPr>
        <w:t>p, and Lefteris Nikolaou-Alavanos, non-attached Member.</w:t>
      </w:r>
    </w:p>
    <w:p w:rsidR="003030D9">
      <w:pPr>
        <w:jc w:val="center"/>
        <w:rPr>
          <w:i/>
          <w:lang w:val="en-GB"/>
        </w:rPr>
      </w:pPr>
      <w:r>
        <w:rPr>
          <w:lang w:val="en-GB"/>
        </w:rPr>
        <w:t>IN THE CHAIR: Evelyn REGNER</w:t>
        <w:br/>
      </w:r>
      <w:r>
        <w:rPr>
          <w:i/>
          <w:lang w:val="en-GB"/>
        </w:rPr>
        <w:t>Vice-President</w:t>
      </w:r>
    </w:p>
    <w:p w:rsidR="003030D9">
      <w:pPr>
        <w:rPr>
          <w:lang w:val="en-GB"/>
        </w:rPr>
      </w:pPr>
      <w:r>
        <w:rPr>
          <w:lang w:val="en-GB"/>
        </w:rPr>
        <w:t>The following spoke: Lukas Mandl, Margarida Marques, María Soraya Rodríguez Ramos, Margrete Auken, Emmanouil Fragkos, Marc Botenga, Jörg Meuthen, Antonio López-Istúriz White, Maria Arena, Chris MacManus, Fabio Massimo Castaldo, Tom Vandenkendelaere, Martina Michels, Anna-Michelle Asimakopoulou, Miriam Lexmann, Peter van Dalen, Sirpa Pietikäinen and David Lega.</w:t>
      </w:r>
    </w:p>
    <w:p w:rsidR="003030D9">
      <w:pPr>
        <w:rPr>
          <w:lang w:val="en-GB"/>
        </w:rPr>
      </w:pPr>
      <w:r>
        <w:rPr>
          <w:lang w:val="en-GB"/>
        </w:rPr>
        <w:t>The following spoke under the catch-the-eye procedure: Ana Miranda, Sandra Pereira, Özlem Demirel, Reinhard Bütikofer, Clare Daly, Sabrina Pignedoli and Mick Wallace.</w:t>
      </w:r>
    </w:p>
    <w:p w:rsidR="003030D9">
      <w:pPr>
        <w:rPr>
          <w:lang w:val="en-GB"/>
        </w:rPr>
      </w:pPr>
      <w:r>
        <w:rPr>
          <w:lang w:val="en-GB"/>
        </w:rPr>
        <w:t>The following spoke: Jutta Urpilainen and Evin Incir.</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37" w:name="_Toc140088493"/>
      <w:r>
        <w:t xml:space="preserve">16. 2022 Report on Bosnia and Herzegovina </w:t>
      </w:r>
      <w:r>
        <w:rPr>
          <w:b w:val="0"/>
          <w:bCs w:val="0"/>
          <w:lang w:val="en-GB"/>
        </w:rPr>
        <w:t>(debate)</w:t>
      </w:r>
      <w:bookmarkEnd w:id="37"/>
    </w:p>
    <w:p w:rsidR="003030D9">
      <w:pPr>
        <w:rPr>
          <w:lang w:val="en-GB"/>
        </w:rPr>
      </w:pPr>
      <w:r>
        <w:rPr>
          <w:lang w:val="en-GB"/>
        </w:rPr>
        <w:t>Report on the 2022 Commission Report on Bosnia and Herzegovina [2022/2200(INI)] - Committee on Foreign Affairs. Rapporteur: Paulo Rangel (A9-0229/2023)</w:t>
      </w:r>
    </w:p>
    <w:p w:rsidR="003030D9">
      <w:pPr>
        <w:rPr>
          <w:lang w:val="en-GB"/>
        </w:rPr>
      </w:pPr>
      <w:r>
        <w:rPr>
          <w:lang w:val="en-GB"/>
        </w:rPr>
        <w:t>Paulo Rangel introduced the report.</w:t>
      </w:r>
    </w:p>
    <w:p w:rsidR="003030D9">
      <w:pPr>
        <w:rPr>
          <w:lang w:val="en-GB"/>
        </w:rPr>
      </w:pPr>
      <w:r>
        <w:rPr>
          <w:lang w:val="en-GB"/>
        </w:rPr>
        <w:t>The following spoke: Olivér Várhelyi (Member of the Commission)</w:t>
      </w:r>
      <w:r>
        <w:rPr>
          <w:lang w:val="en-GB"/>
        </w:rPr>
        <w:t>.</w:t>
      </w:r>
    </w:p>
    <w:p w:rsidR="003030D9">
      <w:pPr>
        <w:rPr>
          <w:lang w:val="en-GB"/>
        </w:rPr>
      </w:pPr>
      <w:r>
        <w:rPr>
          <w:lang w:val="en-GB"/>
        </w:rPr>
        <w:t>The following spoke: Željana Zovko, on behalf of the PPE Group, Dietmar Köster, on behalf of the S&amp;D Group, Klemen Grošelj, on behalf of the Renew Group, Tineke Strik, on behalf of the Verts/ALE Group, Anna Fotyga, on behalf of the ECR Group, Jean-Lin Lacapelle, on behalf of the ID Group, Kinga Gál, non-attached Member, Sunčana Glavak, Tonino Picula, Karen Melchior, Reinhard Bütikofer, Ladislav Ilčić, Bernhard Zimniok, who also declined to take a blue-card question from Karen Melchior, Fabio Massimo Castaldo, Lukas Mandl, Andreas Schieder and Matjaž Nemec.</w:t>
      </w:r>
    </w:p>
    <w:p w:rsidR="003030D9">
      <w:pPr>
        <w:rPr>
          <w:lang w:val="en-GB"/>
        </w:rPr>
      </w:pPr>
      <w:r>
        <w:rPr>
          <w:lang w:val="en-GB"/>
        </w:rPr>
        <w:t>The following spoke under the catch-the-eye procedure: Karlo Ressler, Mick Wallace and Tomislav Sokol.</w:t>
      </w:r>
    </w:p>
    <w:p w:rsidR="003030D9">
      <w:pPr>
        <w:jc w:val="center"/>
        <w:rPr>
          <w:i/>
          <w:lang w:val="en-GB"/>
        </w:rPr>
      </w:pPr>
      <w:r>
        <w:rPr>
          <w:lang w:val="en-GB"/>
        </w:rPr>
        <w:t>IN THE CHAIR: Dita CHARANZOVÁ</w:t>
        <w:br/>
      </w:r>
      <w:r>
        <w:rPr>
          <w:i/>
          <w:lang w:val="en-GB"/>
        </w:rPr>
        <w:t>Vice-President</w:t>
      </w:r>
    </w:p>
    <w:p w:rsidR="003030D9">
      <w:pPr>
        <w:rPr>
          <w:lang w:val="en-GB"/>
        </w:rPr>
      </w:pPr>
      <w:r>
        <w:rPr>
          <w:lang w:val="en-GB"/>
        </w:rPr>
        <w:t>The following spoke under the catch-the-eye procedure: Jiří Pospíšil.</w:t>
      </w:r>
    </w:p>
    <w:p w:rsidR="003030D9">
      <w:pPr>
        <w:rPr>
          <w:lang w:val="en-GB"/>
        </w:rPr>
      </w:pPr>
      <w:r>
        <w:rPr>
          <w:lang w:val="en-GB"/>
        </w:rPr>
        <w:t>The following spoke: Olivér Várhelyi and Paulo Rangel.</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38" w:name="_Toc140088494"/>
      <w:r>
        <w:t xml:space="preserve">17. Corrigendum </w:t>
      </w:r>
      <w:r>
        <w:rPr>
          <w:b w:val="0"/>
          <w:bCs w:val="0"/>
          <w:lang w:val="en-GB"/>
        </w:rPr>
        <w:t>(Rule 241) (action taken)</w:t>
      </w:r>
      <w:bookmarkEnd w:id="38"/>
    </w:p>
    <w:p w:rsidR="003030D9">
      <w:pPr>
        <w:rPr>
          <w:lang w:val="en-GB"/>
        </w:rPr>
      </w:pPr>
      <w:r>
        <w:rPr>
          <w:lang w:val="en-GB"/>
        </w:rPr>
        <w:t xml:space="preserve">Corrigendum </w:t>
      </w:r>
      <w:r>
        <w:rPr>
          <w:i/>
          <w:iCs/>
          <w:lang w:val="en-GB"/>
        </w:rPr>
        <w:t>P9_TA(2021)0458(COR01)</w:t>
      </w:r>
      <w:r>
        <w:rPr>
          <w:lang w:val="en-GB"/>
        </w:rPr>
        <w:t xml:space="preserve"> had been announced on 10 July 2023 </w:t>
      </w:r>
      <w:r>
        <w:rPr>
          <w:i/>
          <w:iCs/>
          <w:lang w:val="en-GB"/>
        </w:rPr>
        <w:t>(minutes of 10.7.2023, item 11)</w:t>
      </w:r>
      <w:r>
        <w:rPr>
          <w:lang w:val="en-GB"/>
        </w:rPr>
        <w:t xml:space="preserve">. </w:t>
      </w:r>
    </w:p>
    <w:p w:rsidR="003030D9">
      <w:pPr>
        <w:widowControl/>
        <w:spacing w:after="113"/>
      </w:pPr>
      <w:r>
        <w:t>A</w:t>
      </w:r>
      <w:r>
        <w:t>s no request had been made for a vote pursuant to Rule 241(4), this corrigendum was deemed to have been approved.</w:t>
      </w:r>
    </w:p>
    <w:p w:rsidR="003030D9">
      <w:pPr>
        <w:pStyle w:val="Heading1"/>
        <w:rPr>
          <w:b w:val="0"/>
          <w:bCs w:val="0"/>
          <w:lang w:val="en-GB"/>
        </w:rPr>
      </w:pPr>
      <w:bookmarkStart w:id="39" w:name="_Toc140088495"/>
      <w:r>
        <w:t xml:space="preserve">18. 2022 Report on Albania </w:t>
      </w:r>
      <w:r>
        <w:rPr>
          <w:b w:val="0"/>
          <w:bCs w:val="0"/>
          <w:lang w:val="en-GB"/>
        </w:rPr>
        <w:t>(debate)</w:t>
      </w:r>
      <w:bookmarkEnd w:id="39"/>
    </w:p>
    <w:p w:rsidR="003030D9">
      <w:pPr>
        <w:rPr>
          <w:lang w:val="en-GB"/>
        </w:rPr>
      </w:pPr>
      <w:r>
        <w:rPr>
          <w:lang w:val="en-GB"/>
        </w:rPr>
        <w:t>Report on the 2022 Commission Report on Albania [2022/2199(INI)] - Committee on Foreign Affairs. Rapporteur: Isabel Santos (A9-0204/2023)</w:t>
      </w:r>
    </w:p>
    <w:p w:rsidR="003030D9">
      <w:pPr>
        <w:rPr>
          <w:lang w:val="en-GB"/>
        </w:rPr>
      </w:pPr>
      <w:r>
        <w:rPr>
          <w:lang w:val="en-GB"/>
        </w:rPr>
        <w:t>Isabel Santos introduced the report.</w:t>
      </w:r>
    </w:p>
    <w:p w:rsidR="003030D9">
      <w:pPr>
        <w:rPr>
          <w:lang w:val="en-GB"/>
        </w:rPr>
      </w:pPr>
      <w:r>
        <w:rPr>
          <w:lang w:val="en-GB"/>
        </w:rPr>
        <w:t>The following spoke: Olivér Várhelyi (Member of the Commission).</w:t>
      </w:r>
    </w:p>
    <w:p w:rsidR="003030D9">
      <w:pPr>
        <w:rPr>
          <w:lang w:val="en-GB"/>
        </w:rPr>
      </w:pPr>
      <w:r>
        <w:rPr>
          <w:lang w:val="en-GB"/>
        </w:rPr>
        <w:t>The following spoke: David Lega, on behalf of the PPE Group, Theresa Bielowski, on behalf of the S&amp;D Group, Ilhan Kyuchyuk, on behalf of the Renew Group, Thomas Waitz, on behalf of the Verts/ALE Group, Angel Dzhambazki, on behalf of the ECR Group, Anna Bonfrisco, on behalf of the ID Group, Fabio Massimo Castaldo, non-attached Member, Manolis Kefalogiannis, Andreas Schieder, V</w:t>
      </w:r>
      <w:r>
        <w:rPr>
          <w:lang w:val="en-GB"/>
        </w:rPr>
        <w:t>lad-Marius Botoş, Emmanouil Fragkos, Dominique Bilde, Javier Zarzalejos, Nikos Papandreou and Georgios Kyrtsos.</w:t>
      </w:r>
    </w:p>
    <w:p w:rsidR="003030D9">
      <w:pPr>
        <w:rPr>
          <w:lang w:val="en-GB"/>
        </w:rPr>
      </w:pPr>
      <w:r>
        <w:rPr>
          <w:lang w:val="en-GB"/>
        </w:rPr>
        <w:t>The following spoke under the catch-the-eye procedure: Mick Wallace.</w:t>
      </w:r>
    </w:p>
    <w:p w:rsidR="003030D9">
      <w:pPr>
        <w:rPr>
          <w:lang w:val="en-GB"/>
        </w:rPr>
      </w:pPr>
      <w:r>
        <w:rPr>
          <w:lang w:val="en-GB"/>
        </w:rPr>
        <w:t>The following spoke: Olivér Várhelyi and Isabel Santos.</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40" w:name="_Toc140088496"/>
      <w:r>
        <w:t xml:space="preserve">19. Financial activities of the European Investment Bank – annual report 2022 – Control of the financial activities of the European Investment Bank – annual report 2022 </w:t>
      </w:r>
      <w:r>
        <w:rPr>
          <w:b w:val="0"/>
          <w:bCs w:val="0"/>
          <w:lang w:val="en-GB"/>
        </w:rPr>
        <w:t xml:space="preserve">(joint debate </w:t>
      </w:r>
      <w:r>
        <w:t xml:space="preserve">– </w:t>
      </w:r>
      <w:r>
        <w:rPr>
          <w:b w:val="0"/>
          <w:bCs w:val="0"/>
          <w:lang w:val="en-GB"/>
        </w:rPr>
        <w:t xml:space="preserve"> European Investment Bank)</w:t>
      </w:r>
      <w:bookmarkEnd w:id="40"/>
    </w:p>
    <w:p w:rsidR="003030D9">
      <w:pPr>
        <w:rPr>
          <w:lang w:val="en-GB"/>
        </w:rPr>
      </w:pPr>
      <w:r>
        <w:rPr>
          <w:lang w:val="en-GB"/>
        </w:rPr>
        <w:t>Report on the financial activities of the European Investment Bank – annual report 2022 [2022/2062(INI)] - Committee on Economic and Monetary Affairs. Rapporteur: Stefan Berger (A9-0210/2023)</w:t>
      </w:r>
    </w:p>
    <w:p w:rsidR="003030D9">
      <w:pPr>
        <w:rPr>
          <w:lang w:val="en-GB"/>
        </w:rPr>
      </w:pPr>
      <w:r>
        <w:rPr>
          <w:lang w:val="en-GB"/>
        </w:rPr>
        <w:t>Report on the control of the financial activities of the European Investment Bank – annual report 2022 [2023/2046(INI)] - Committee on Budgetary Control. Rapporteur: Viola von Cramon-Taubadel (A9-0212/2023)</w:t>
      </w:r>
    </w:p>
    <w:p w:rsidR="003030D9">
      <w:pPr>
        <w:rPr>
          <w:lang w:val="en-GB"/>
        </w:rPr>
      </w:pPr>
      <w:r>
        <w:rPr>
          <w:lang w:val="en-GB"/>
        </w:rPr>
        <w:t>Stefan Berger and Viola von Cramon-Taubadel introduced the reports.</w:t>
      </w:r>
    </w:p>
    <w:p w:rsidR="003030D9">
      <w:pPr>
        <w:rPr>
          <w:lang w:val="en-GB"/>
        </w:rPr>
      </w:pPr>
      <w:r>
        <w:rPr>
          <w:lang w:val="en-GB"/>
        </w:rPr>
        <w:t>The following spoke: David Cormand (rapporteur for the opinion of the BUDG Committee).</w:t>
      </w:r>
    </w:p>
    <w:p w:rsidR="003030D9">
      <w:pPr>
        <w:rPr>
          <w:lang w:val="en-GB"/>
        </w:rPr>
      </w:pPr>
      <w:r>
        <w:rPr>
          <w:lang w:val="en-GB"/>
        </w:rPr>
        <w:t>The following spoke: Werner Hoyer (President of the European Investment Bank) and Virginijus Sinkevičius (Member of the Commission).</w:t>
      </w:r>
    </w:p>
    <w:p w:rsidR="003030D9">
      <w:pPr>
        <w:jc w:val="center"/>
        <w:rPr>
          <w:i/>
          <w:lang w:val="en-GB"/>
        </w:rPr>
      </w:pPr>
      <w:r>
        <w:rPr>
          <w:lang w:val="en-GB"/>
        </w:rPr>
        <w:t>IN THE CHAIR: Marc ANGEL</w:t>
        <w:br/>
      </w:r>
      <w:r>
        <w:rPr>
          <w:i/>
          <w:lang w:val="en-GB"/>
        </w:rPr>
        <w:t>Vice-President</w:t>
      </w:r>
    </w:p>
    <w:p w:rsidR="003030D9">
      <w:pPr>
        <w:rPr>
          <w:lang w:val="en-GB"/>
        </w:rPr>
      </w:pPr>
      <w:r>
        <w:rPr>
          <w:lang w:val="en-GB"/>
        </w:rPr>
        <w:t>The following spoke: Petri Sarvamaa, on behalf of the PPE Group, Jonás Fernández, o</w:t>
      </w:r>
      <w:r>
        <w:rPr>
          <w:lang w:val="en-GB"/>
        </w:rPr>
        <w:t>n behalf of the S&amp;D Group, Caroline Nagtegaal, on behalf of the Renew Group, Ryszard Czarnecki, on behalf of the ECR Group, France Jamet, on behalf of the ID Group, Mick Wallace, on behalf of The Left Group, Anna-Michelle Asimakopoulou, Pedro Silva Pereira, Charles Goerens, Roman Haider, Angelika Winzig, Victor Negrescu, Stéphanie Yon-Courtin, Marek Belka, Billy Kelleher, Maria Grapini, Margarida Marques and Leszek Miller.</w:t>
      </w:r>
    </w:p>
    <w:p w:rsidR="003030D9">
      <w:pPr>
        <w:rPr>
          <w:lang w:val="en-GB"/>
        </w:rPr>
      </w:pPr>
      <w:r>
        <w:rPr>
          <w:lang w:val="en-GB"/>
        </w:rPr>
        <w:t>The following spoke under the catch-the-eye procedure: Seán Kelly and Clare Daly.</w:t>
      </w:r>
    </w:p>
    <w:p w:rsidR="003030D9">
      <w:pPr>
        <w:rPr>
          <w:lang w:val="en-GB"/>
        </w:rPr>
      </w:pPr>
      <w:r>
        <w:rPr>
          <w:lang w:val="en-GB"/>
        </w:rPr>
        <w:t>The</w:t>
      </w:r>
      <w:r>
        <w:rPr>
          <w:lang w:val="en-GB"/>
        </w:rPr>
        <w:t xml:space="preserve"> following spoke: Virginijus Sinkevičius, Werner Hoyer, Stefan Berger and Viola von Cramon-Taubadel.</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41" w:name="_Toc140088497"/>
      <w:r>
        <w:t xml:space="preserve">20. Accession to the Schengen area </w:t>
      </w:r>
      <w:r>
        <w:rPr>
          <w:b w:val="0"/>
          <w:bCs w:val="0"/>
          <w:lang w:val="en-GB"/>
        </w:rPr>
        <w:t>(short presentation)</w:t>
      </w:r>
      <w:bookmarkEnd w:id="41"/>
    </w:p>
    <w:p w:rsidR="003030D9">
      <w:pPr>
        <w:spacing w:after="234"/>
        <w:rPr>
          <w:lang w:val="en-GB"/>
        </w:rPr>
      </w:pPr>
      <w:r>
        <w:rPr>
          <w:lang w:val="en-GB"/>
        </w:rPr>
        <w:t>Motion for a resolution tabled pursuant to Rule 227(2) by Do</w:t>
      </w:r>
      <w:r>
        <w:rPr>
          <w:lang w:val="en-GB"/>
        </w:rPr>
        <w:t>lors Montserrat, on behalf of the PETI Committee, on the accession to the Schengen area (2023/2668(RSP)) (B9-0309/2023)</w:t>
      </w:r>
    </w:p>
    <w:p w:rsidR="003030D9">
      <w:pPr>
        <w:spacing w:after="234"/>
        <w:rPr>
          <w:lang w:val="en-GB"/>
        </w:rPr>
      </w:pPr>
      <w:r>
        <w:rPr>
          <w:lang w:val="en-GB"/>
        </w:rPr>
        <w:t>Gheorghe Falcă made the presentation.</w:t>
      </w:r>
    </w:p>
    <w:p w:rsidR="003030D9">
      <w:pPr>
        <w:spacing w:after="234"/>
        <w:rPr>
          <w:lang w:val="en-GB"/>
        </w:rPr>
      </w:pPr>
      <w:r>
        <w:rPr>
          <w:lang w:val="en-GB"/>
        </w:rPr>
        <w:t>The following spoke under the catch-the-eye procedure: Cristian-Silviu Buşoi, Victor Negrescu, Vlad Gheorghe, Nicolae Ştefănuță, Cristian Terheş, Eugen Tomac, Maria Grapini, Ilhan Kyuchyuk, Daniel Buda, Tsvetelina Penkova, Andrey Kovatchev, Juan Fernando López Aguilar and Seán Kelly.</w:t>
      </w:r>
    </w:p>
    <w:p w:rsidR="003030D9">
      <w:pPr>
        <w:spacing w:after="234"/>
        <w:rPr>
          <w:lang w:val="en-GB"/>
        </w:rPr>
      </w:pPr>
      <w:r>
        <w:rPr>
          <w:lang w:val="en-GB"/>
        </w:rPr>
        <w:t>The following spoke: Virginijus Sinkevičius (Member of the Commission</w:t>
      </w:r>
      <w:r>
        <w:rPr>
          <w:lang w:val="en-GB"/>
        </w:rPr>
        <w:t>).</w:t>
      </w:r>
    </w:p>
    <w:p w:rsidR="003030D9">
      <w:pPr>
        <w:rPr>
          <w:lang w:val="en-GB"/>
        </w:rPr>
      </w:pPr>
      <w:r>
        <w:rPr>
          <w:lang w:val="en-GB"/>
        </w:rPr>
        <w:t>The item closed.</w:t>
      </w:r>
    </w:p>
    <w:p w:rsidR="003030D9">
      <w:pPr>
        <w:rPr>
          <w:lang w:val="en-GB"/>
        </w:rPr>
      </w:pPr>
      <w:r>
        <w:rPr>
          <w:lang w:val="en-GB"/>
        </w:rPr>
        <w:t xml:space="preserve">Vote: </w:t>
      </w:r>
      <w:r>
        <w:rPr>
          <w:i/>
          <w:iCs/>
          <w:lang w:val="en-GB"/>
        </w:rPr>
        <w:t>12 July 2023</w:t>
      </w:r>
      <w:r>
        <w:rPr>
          <w:lang w:val="en-GB"/>
        </w:rPr>
        <w:t>.</w:t>
      </w:r>
    </w:p>
    <w:p w:rsidR="003030D9">
      <w:pPr>
        <w:pStyle w:val="Heading1"/>
        <w:rPr>
          <w:b w:val="0"/>
          <w:bCs w:val="0"/>
          <w:lang w:val="en-GB"/>
        </w:rPr>
      </w:pPr>
      <w:bookmarkStart w:id="42" w:name="_Toc140088498"/>
      <w:r>
        <w:t xml:space="preserve">21. Ecodesign Regulation ***I </w:t>
      </w:r>
      <w:r>
        <w:rPr>
          <w:b w:val="0"/>
          <w:bCs w:val="0"/>
          <w:lang w:val="en-GB"/>
        </w:rPr>
        <w:t>(debate)</w:t>
      </w:r>
      <w:bookmarkEnd w:id="42"/>
    </w:p>
    <w:p w:rsidR="003030D9">
      <w:pPr>
        <w:rPr>
          <w:lang w:val="en-GB"/>
        </w:rPr>
      </w:pPr>
      <w:r>
        <w:rPr>
          <w:lang w:val="en-GB"/>
        </w:rPr>
        <w:t>Report on the proposal for a regulation of the European Parliament and of the Council establishing a framework for setting eco-design requirements for sustainable products and repealing Directive 2009/125/EC [COM(2022)0142 - C9-0132/2022 - 2022/0095(COD)] - Committee on the Environment, Public Health and Food Safety. Rapporteur: Alessandra Moretti (A9-0218/2023)</w:t>
      </w:r>
    </w:p>
    <w:p w:rsidR="003030D9">
      <w:pPr>
        <w:rPr>
          <w:lang w:val="en-GB"/>
        </w:rPr>
      </w:pPr>
      <w:r>
        <w:rPr>
          <w:lang w:val="en-GB"/>
        </w:rPr>
        <w:t>Alessandra Moretti introduced the report.</w:t>
      </w:r>
    </w:p>
    <w:p w:rsidR="003030D9">
      <w:pPr>
        <w:rPr>
          <w:lang w:val="en-GB"/>
        </w:rPr>
      </w:pPr>
      <w:r>
        <w:rPr>
          <w:lang w:val="en-GB"/>
        </w:rPr>
        <w:t>The following spoke: Maria</w:t>
      </w:r>
      <w:r>
        <w:rPr>
          <w:lang w:val="en-GB"/>
        </w:rPr>
        <w:t xml:space="preserve"> Spyraki (rapporteur for the opinion of the ITRE Committee) and David Cormand (rapporteur for the opinion of the IMCO Committee). </w:t>
      </w:r>
    </w:p>
    <w:p w:rsidR="003030D9">
      <w:pPr>
        <w:rPr>
          <w:lang w:val="en-GB"/>
        </w:rPr>
      </w:pPr>
      <w:r>
        <w:rPr>
          <w:lang w:val="en-GB"/>
        </w:rPr>
        <w:t>The following spoke: Virginijus Sinkevičius (Member of the Commission).</w:t>
      </w:r>
    </w:p>
    <w:p w:rsidR="003030D9">
      <w:pPr>
        <w:rPr>
          <w:lang w:val="en-GB"/>
        </w:rPr>
      </w:pPr>
      <w:r>
        <w:rPr>
          <w:lang w:val="en-GB"/>
        </w:rPr>
        <w:t xml:space="preserve">The following spoke: Jessica Polfjärd, on behalf of the PPE Group, Erik Bergkvist, on behalf of the S&amp;D Group, Róża Thun und Hohenstein, on behalf of the Renew Group, Sara Matthieu, on behalf of the Verts/ALE Group, Silvia Sardone, on behalf of the ID Group, Marina Mesure, on behalf of The Left Group, Peter </w:t>
      </w:r>
      <w:r>
        <w:rPr>
          <w:lang w:val="en-GB"/>
        </w:rPr>
        <w:t>Liese, Beatrice Covassi, Ivars Ijabs, Malte Gallée, Seán Kelly and Anna Cavazzini.</w:t>
      </w:r>
    </w:p>
    <w:p w:rsidR="003030D9">
      <w:pPr>
        <w:rPr>
          <w:lang w:val="en-GB"/>
        </w:rPr>
      </w:pPr>
      <w:r>
        <w:rPr>
          <w:lang w:val="en-GB"/>
        </w:rPr>
        <w:t>The following spoke: Virginijus Sinkevičius and Alessandra Moretti.</w:t>
      </w:r>
    </w:p>
    <w:p w:rsidR="003030D9">
      <w:r>
        <w:t>The debate closed.</w:t>
      </w:r>
    </w:p>
    <w:p w:rsidR="003030D9">
      <w:pPr>
        <w:rPr>
          <w:lang w:val="en-GB"/>
        </w:rPr>
      </w:pPr>
      <w:r>
        <w:rPr>
          <w:lang w:val="en-GB"/>
        </w:rPr>
        <w:t xml:space="preserve">Vote: </w:t>
      </w:r>
      <w:r>
        <w:rPr>
          <w:i/>
          <w:iCs/>
          <w:lang w:val="en-GB"/>
        </w:rPr>
        <w:t>12 July 2023</w:t>
      </w:r>
      <w:r>
        <w:rPr>
          <w:lang w:val="en-GB"/>
        </w:rPr>
        <w:t>.</w:t>
      </w:r>
    </w:p>
    <w:p w:rsidR="003030D9">
      <w:pPr>
        <w:pStyle w:val="Heading1"/>
      </w:pPr>
      <w:bookmarkStart w:id="43" w:name="_Toc140088499"/>
      <w:r>
        <w:t>22. Explanations of vote</w:t>
      </w:r>
      <w:bookmarkEnd w:id="43"/>
    </w:p>
    <w:p w:rsidR="003030D9">
      <w:pPr>
        <w:spacing w:after="84"/>
        <w:rPr>
          <w:i/>
          <w:lang w:val="en-GB"/>
        </w:rPr>
      </w:pPr>
      <w:r>
        <w:rPr>
          <w:i/>
          <w:lang w:val="en-GB"/>
        </w:rPr>
        <w:t>Oral explanations of vote</w:t>
      </w:r>
    </w:p>
    <w:p w:rsidR="003030D9">
      <w:pPr>
        <w:rPr>
          <w:lang w:val="en-GB"/>
        </w:rPr>
      </w:pPr>
      <w:r>
        <w:rPr>
          <w:b/>
          <w:bCs/>
          <w:lang w:val="en-GB"/>
        </w:rPr>
        <w:t>Industrial Emis</w:t>
      </w:r>
      <w:r>
        <w:rPr>
          <w:b/>
          <w:bCs/>
          <w:lang w:val="en-GB"/>
        </w:rPr>
        <w:t>sions Directive -</w:t>
      </w:r>
      <w:r>
        <w:rPr>
          <w:b/>
          <w:bCs/>
          <w:i/>
          <w:iCs/>
          <w:lang w:val="en-GB"/>
        </w:rPr>
        <w:t xml:space="preserve">  </w:t>
      </w:r>
      <w:r>
        <w:rPr>
          <w:b/>
          <w:bCs/>
          <w:lang w:val="en-GB"/>
        </w:rPr>
        <w:t>Report: Radan Kanev - A9-0216/2023</w:t>
        <w:br/>
      </w:r>
      <w:r>
        <w:rPr>
          <w:lang w:val="en-GB"/>
        </w:rPr>
        <w:t>Seán Kelly</w:t>
      </w:r>
    </w:p>
    <w:p w:rsidR="003030D9">
      <w:pPr>
        <w:rPr>
          <w:lang w:val="en-GB"/>
        </w:rPr>
      </w:pPr>
      <w:r>
        <w:rPr>
          <w:b/>
          <w:bCs/>
          <w:lang w:val="en-GB"/>
        </w:rPr>
        <w:t>Deployment of alternative fuels infrastructure - Report: Petar Vitanov - A9-0234/2022</w:t>
        <w:br/>
      </w:r>
      <w:r>
        <w:rPr>
          <w:lang w:val="en-GB"/>
        </w:rPr>
        <w:t>Seán Kelly</w:t>
      </w:r>
    </w:p>
    <w:p w:rsidR="003030D9">
      <w:pPr>
        <w:rPr>
          <w:lang w:val="en-GB"/>
        </w:rPr>
      </w:pPr>
      <w:r>
        <w:rPr>
          <w:b/>
          <w:bCs/>
          <w:lang w:val="en-GB"/>
        </w:rPr>
        <w:t>Energy efficiency (recast) - Report: Niels Fuglsang - A9-0221/2022</w:t>
      </w:r>
      <w:r>
        <w:rPr>
          <w:lang w:val="en-GB"/>
        </w:rPr>
        <w:br/>
        <w:t>Seán Kelly</w:t>
      </w:r>
    </w:p>
    <w:p w:rsidR="003030D9">
      <w:pPr>
        <w:rPr>
          <w:lang w:val="en-GB"/>
        </w:rPr>
      </w:pPr>
      <w:r>
        <w:rPr>
          <w:b/>
          <w:bCs/>
          <w:lang w:val="en-GB"/>
        </w:rPr>
        <w:t>European Chips Act - Report: Dan Nica - A9-0014/2023</w:t>
      </w:r>
      <w:r>
        <w:rPr>
          <w:lang w:val="en-GB"/>
        </w:rPr>
        <w:br/>
        <w:t>Clare Daly, Mick Wallace</w:t>
      </w:r>
    </w:p>
    <w:p w:rsidR="003030D9">
      <w:pPr>
        <w:rPr>
          <w:lang w:val="en-GB"/>
        </w:rPr>
      </w:pPr>
      <w:r>
        <w:rPr>
          <w:b/>
          <w:bCs/>
          <w:lang w:val="en-GB"/>
        </w:rPr>
        <w:t>The electoral law, the investigative committee and the rule of law in Poland - B9-0319/2023</w:t>
        <w:br/>
      </w:r>
      <w:r>
        <w:rPr>
          <w:lang w:val="en-GB"/>
        </w:rPr>
        <w:t>Hynek Blaško</w:t>
      </w:r>
    </w:p>
    <w:p w:rsidR="003030D9">
      <w:pPr>
        <w:spacing w:after="113"/>
        <w:rPr>
          <w:i/>
          <w:iCs/>
          <w:lang w:val="en-GB"/>
        </w:rPr>
      </w:pPr>
      <w:r>
        <w:rPr>
          <w:i/>
          <w:iCs/>
          <w:lang w:val="en-GB"/>
        </w:rPr>
        <w:t>Written explanations of vote</w:t>
      </w:r>
    </w:p>
    <w:p w:rsidR="003030D9">
      <w:pPr>
        <w:rPr>
          <w:lang w:val="en-GB"/>
        </w:rPr>
      </w:pPr>
      <w:r>
        <w:rPr>
          <w:lang w:val="en-GB"/>
        </w:rPr>
        <w:t>Explanations of vote submitted in writing under Rule 194 appear on the Members’ pages on Parliament’s website.</w:t>
      </w:r>
    </w:p>
    <w:p w:rsidR="003030D9">
      <w:pPr>
        <w:pStyle w:val="Heading1"/>
      </w:pPr>
      <w:bookmarkStart w:id="44" w:name="_Toc140088500"/>
      <w:r>
        <w:t>23. Agenda of the next sitting</w:t>
      </w:r>
      <w:bookmarkEnd w:id="44"/>
    </w:p>
    <w:p w:rsidR="003030D9">
      <w:pPr>
        <w:widowControl/>
        <w:spacing w:after="113"/>
      </w:pPr>
      <w:r>
        <w:t xml:space="preserve">The agenda of the next day’s sitting had been established (‘Agenda’ </w:t>
      </w:r>
      <w:r>
        <w:rPr>
          <w:i/>
          <w:iCs/>
          <w:lang w:val="en-GB"/>
        </w:rPr>
        <w:t>PE 751.220/OJ</w:t>
      </w:r>
      <w:r>
        <w:t>).</w:t>
      </w:r>
    </w:p>
    <w:p w:rsidR="003030D9">
      <w:pPr>
        <w:pStyle w:val="Heading1"/>
      </w:pPr>
      <w:bookmarkStart w:id="45" w:name="_Toc140088501"/>
      <w:r>
        <w:t>24. Approval of the minutes of the sitting</w:t>
      </w:r>
      <w:bookmarkEnd w:id="45"/>
    </w:p>
    <w:p w:rsidR="003030D9">
      <w:pPr>
        <w:rPr>
          <w:lang w:val="en-GB"/>
        </w:rPr>
      </w:pPr>
      <w:r>
        <w:rPr>
          <w:lang w:val="en-GB"/>
        </w:rPr>
        <w:t>In accordance with Rule 202(3), the minutes of the sitting would be put to the House for approval at the beginning of the afternoon of the next sitting.</w:t>
      </w:r>
    </w:p>
    <w:p w:rsidR="003030D9">
      <w:pPr>
        <w:pStyle w:val="Heading1"/>
      </w:pPr>
      <w:bookmarkStart w:id="46" w:name="_Toc140088502"/>
      <w:r>
        <w:t>25. Closure of the sitting</w:t>
      </w:r>
      <w:bookmarkEnd w:id="46"/>
    </w:p>
    <w:p w:rsidR="003030D9">
      <w:pPr>
        <w:widowControl/>
        <w:spacing w:after="113"/>
        <w:sectPr>
          <w:footerReference w:type="default" r:id="rId8"/>
          <w:footerReference w:type="first" r:id="rId9"/>
          <w:pgSz w:w="11906" w:h="16837"/>
          <w:pgMar w:top="567" w:right="1134" w:bottom="1134" w:left="1134" w:header="720" w:footer="720" w:gutter="0"/>
          <w:cols w:space="720"/>
          <w:titlePg/>
          <w:docGrid w:linePitch="360"/>
        </w:sectPr>
      </w:pPr>
      <w:r>
        <w:t>The sitting closed at 22.46.</w:t>
      </w:r>
    </w:p>
    <w:p w:rsidR="003030D9"/>
    <w:p w:rsidR="003030D9">
      <w:pPr>
        <w:pStyle w:val="Heading1"/>
        <w:jc w:val="center"/>
        <w:rPr>
          <w:lang w:val="en-GB"/>
        </w:rPr>
      </w:pPr>
      <w:bookmarkStart w:id="47" w:name="_Toc140088503"/>
      <w:r>
        <w:rPr>
          <w:lang w:val="en-GB"/>
        </w:rPr>
        <w:t>LIST OF DOCUMENTS SERVING AS A BASIS FOR THE DEBATES AND DECISIONS OF PARLIAMENT</w:t>
      </w:r>
      <w:bookmarkEnd w:id="47"/>
    </w:p>
    <w:p w:rsidR="003030D9">
      <w:pPr>
        <w:pStyle w:val="Heading1"/>
      </w:pPr>
      <w:bookmarkStart w:id="48" w:name="_Toc140088504"/>
      <w:r>
        <w:t>1. Motions for resolutions tabled</w:t>
      </w:r>
      <w:bookmarkEnd w:id="48"/>
    </w:p>
    <w:p w:rsidR="003030D9">
      <w:pPr>
        <w:spacing w:after="170"/>
        <w:rPr>
          <w:b/>
          <w:bCs/>
          <w:lang w:val="en-GB"/>
        </w:rPr>
      </w:pPr>
      <w:r>
        <w:rPr>
          <w:b/>
          <w:bCs/>
          <w:lang w:val="en-GB"/>
        </w:rPr>
        <w:t>The electoral law, the investigative committee and the rule of law in Poland</w:t>
      </w:r>
    </w:p>
    <w:p w:rsidR="003030D9">
      <w:r>
        <w:t>Motions for resolutions tabled under Rule 132(2) to wind up the debate:</w:t>
      </w:r>
    </w:p>
    <w:p w:rsidR="003030D9">
      <w:pPr>
        <w:tabs>
          <w:tab w:val="left" w:pos="570"/>
          <w:tab w:val="left" w:pos="2268"/>
          <w:tab w:val="left" w:pos="3402"/>
          <w:tab w:val="left" w:pos="4535"/>
          <w:tab w:val="left" w:pos="5669"/>
          <w:tab w:val="left" w:pos="6803"/>
          <w:tab w:val="left" w:pos="7937"/>
          <w:tab w:val="left" w:pos="9071"/>
          <w:tab w:val="left" w:pos="10205"/>
          <w:tab w:val="left" w:pos="11339"/>
        </w:tabs>
        <w:spacing w:after="170"/>
        <w:rPr>
          <w:lang w:val="en-GB"/>
        </w:rPr>
      </w:pPr>
      <w:r>
        <w:rPr>
          <w:lang w:val="en-GB"/>
        </w:rPr>
        <w:t>on the electoral law, the investigative committee and the rule of law in Poland (2023/2747(RSP)) (B9-0318/2023)</w:t>
        <w:br/>
        <w:t>Ryszard Antoni Legutko</w:t>
        <w:br/>
        <w:t>on behalf of the ECR Group;</w:t>
      </w:r>
    </w:p>
    <w:p w:rsidR="003030D9">
      <w:pPr>
        <w:tabs>
          <w:tab w:val="left" w:pos="570"/>
          <w:tab w:val="left" w:pos="2268"/>
          <w:tab w:val="left" w:pos="3402"/>
          <w:tab w:val="left" w:pos="4535"/>
          <w:tab w:val="left" w:pos="5669"/>
          <w:tab w:val="left" w:pos="6803"/>
          <w:tab w:val="left" w:pos="7937"/>
          <w:tab w:val="left" w:pos="9071"/>
          <w:tab w:val="left" w:pos="10205"/>
          <w:tab w:val="left" w:pos="11339"/>
        </w:tabs>
        <w:spacing w:after="170"/>
        <w:rPr>
          <w:lang w:val="en-GB"/>
        </w:rPr>
      </w:pPr>
      <w:r>
        <w:rPr>
          <w:lang w:val="en-GB"/>
        </w:rPr>
        <w:t>on the electoral law, the investigative committee and the rule of law in Poland (2023/2747(RSP)) (B9-0319/2023)</w:t>
        <w:br/>
        <w:t>Vladimír Bilčík</w:t>
        <w:br/>
        <w:t>on behalf of the PPE Group</w:t>
        <w:br/>
        <w:t>Juan Fernando López Aguilar, Gabriele Bischoff, Birgit Sippel, Katarina Barley, Robert Biedroń, Włodzimierz Cimoszewicz, Sylvie Guillaume</w:t>
        <w:br/>
        <w:t>on behalf of the S&amp;D Group</w:t>
        <w:br/>
        <w:t>Michal Šimečka, Moritz Körner, Sophia in ’t Veld, Anna Júlia Donáth, Katalin Cseh</w:t>
        <w:br/>
        <w:t>on behalf of the Renew Group</w:t>
        <w:br/>
        <w:t>Tineke Strik, Daniel Freund, Terry Reintke</w:t>
        <w:br/>
        <w:t>on behalf of the Verts/ALE Group</w:t>
        <w:br/>
        <w:t>Konst</w:t>
      </w:r>
      <w:r>
        <w:rPr>
          <w:lang w:val="en-GB"/>
        </w:rPr>
        <w:t>antinos Arvanitis, Malin Björk, Nikolaj Villumsen</w:t>
        <w:br/>
        <w:t>on behalf of The Left Group.</w:t>
      </w:r>
    </w:p>
    <w:p w:rsidR="003030D9">
      <w:pPr>
        <w:pStyle w:val="Heading1"/>
      </w:pPr>
      <w:bookmarkStart w:id="49" w:name="_Toc140088505"/>
      <w:r>
        <w:t>2. Action taken on Parliament’s positions and resolutions</w:t>
      </w:r>
      <w:bookmarkEnd w:id="49"/>
    </w:p>
    <w:p w:rsidR="003030D9">
      <w:pPr>
        <w:widowControl/>
        <w:spacing w:after="113"/>
      </w:pPr>
      <w:r>
        <w:t>The Commission communications on the action taken on the resolutions adopted by Parliament during the February II, March I, March II and April 2023 part-sessions were available on Parliament’s website.</w:t>
      </w:r>
    </w:p>
    <w:p w:rsidR="003030D9">
      <w:pPr>
        <w:pStyle w:val="Heading1"/>
      </w:pPr>
      <w:bookmarkStart w:id="50" w:name="_Toc140088506"/>
      <w:r>
        <w:t>3. Modified referrals to committees</w:t>
      </w:r>
      <w:bookmarkEnd w:id="50"/>
      <w:r>
        <w:t xml:space="preserve"> </w:t>
      </w:r>
    </w:p>
    <w:p w:rsidR="003030D9">
      <w:pPr>
        <w:rPr>
          <w:b/>
          <w:bCs/>
          <w:lang w:val="en-GB"/>
        </w:rPr>
      </w:pPr>
      <w:r>
        <w:rPr>
          <w:b/>
          <w:bCs/>
          <w:lang w:val="en-GB"/>
        </w:rPr>
        <w:t>Modified referrals to committees (Rule 56)</w:t>
      </w:r>
    </w:p>
    <w:p w:rsidR="003030D9">
      <w:pPr>
        <w:rPr>
          <w:lang w:val="en-GB"/>
        </w:rPr>
      </w:pPr>
      <w:r>
        <w:rPr>
          <w:lang w:val="en-GB"/>
        </w:rPr>
        <w:t>JURI Committee</w:t>
      </w:r>
    </w:p>
    <w:p w:rsidR="003030D9">
      <w:pPr>
        <w:rPr>
          <w:lang w:val="en-GB"/>
        </w:rPr>
        <w:sectPr>
          <w:footerReference w:type="default" r:id="rId10"/>
          <w:type w:val="oddPage"/>
          <w:pgSz w:w="11906" w:h="16837"/>
          <w:pgMar w:top="567" w:right="1134" w:bottom="1134" w:left="1134" w:header="720" w:footer="720" w:gutter="0"/>
          <w:cols w:space="720"/>
          <w:docGrid w:linePitch="360"/>
        </w:sectPr>
      </w:pPr>
      <w:r>
        <w:rPr>
          <w:lang w:val="en-GB"/>
        </w:rPr>
        <w:t>- Establishing a framework of measures for strengthening Europe's semiconductor ecosystem (Chips Act) (COM(2022)0046 - C9-0039/2022 - 2022/0032(COD))</w:t>
        <w:br/>
        <w:t>referred to committee responsible: ITRE</w:t>
        <w:br/>
        <w:t>opinion: INTA, BUDG, ECON, IMCO (Rule 57), JURI (Rule 57), JURI (Rule 40)</w:t>
      </w:r>
    </w:p>
    <w:p w:rsidR="003030D9"/>
    <w:p w:rsidR="003030D9">
      <w:pPr>
        <w:pStyle w:val="Heading1"/>
        <w:jc w:val="center"/>
        <w:rPr>
          <w:lang w:val="en-GB"/>
        </w:rPr>
      </w:pPr>
      <w:bookmarkStart w:id="51" w:name="_Toc140088507"/>
      <w:r>
        <w:rPr>
          <w:lang w:val="en-GB"/>
        </w:rPr>
        <w:t>ATTENDANCE REGISTER</w:t>
      </w:r>
      <w:bookmarkEnd w:id="51"/>
    </w:p>
    <w:p w:rsidR="003030D9">
      <w:pPr>
        <w:widowControl/>
        <w:spacing w:after="113"/>
      </w:pPr>
    </w:p>
    <w:p w:rsidR="003030D9">
      <w:pPr>
        <w:jc w:val="center"/>
        <w:rPr>
          <w:lang w:val="en-GB"/>
        </w:rPr>
      </w:pPr>
      <w:r>
        <w:rPr>
          <w:lang w:val="en-GB"/>
        </w:rPr>
        <w:t>11.7.2023</w:t>
      </w:r>
    </w:p>
    <w:p w:rsidR="003030D9">
      <w:pPr>
        <w:widowControl/>
        <w:spacing w:after="113"/>
      </w:pPr>
    </w:p>
    <w:p w:rsidR="003030D9">
      <w:pPr>
        <w:jc w:val="both"/>
        <w:rPr>
          <w:lang w:val="en-GB"/>
        </w:rPr>
      </w:pPr>
      <w:r>
        <w:rPr>
          <w:lang w:val="en-GB"/>
        </w:rPr>
        <w:t>Present:</w:t>
      </w:r>
    </w:p>
    <w:p w:rsidR="003030D9">
      <w:pPr>
        <w:widowControl/>
        <w:spacing w:after="113"/>
      </w:pPr>
    </w:p>
    <w:p w:rsidR="003030D9">
      <w:r>
        <w:rPr>
          <w:lang w:val="en-GB"/>
        </w:rPr>
        <w:t>Adamowicz Magdalena, Ademov Asim, Adinolfi Isabella, Adinolfi Matteo, Agius Saliba Alex, Aguilar Mazaly, Aguilera Clara, Alametsä Alviina, Albuquerque João, Alexandrov Yordanov Alexander, Alfonsi François, Alieva-Veli Atidzhe, Al-Sahlani Abir, Ameriks Andris, Anderson Christine, And</w:t>
      </w:r>
      <w:r>
        <w:rPr>
          <w:lang w:val="en-GB"/>
        </w:rPr>
        <w:t>resen Rasmus, Andrews Barry, Androuët Mathilde, Angel Marc, Annemans Gerolf, Ansip Andrus, Ara-Kovács Attila, Arena Maria, Arias Echeverría Pablo, Arimont Pascal, Arłukowicz Bartosz, Arvanitis Konstantinos, Asimakopoulou Anna-Michelle, Aubry Manon, Auken Margrete, Auštrevičius Petras, Avram Carmen, Azmani Malik, Balt Marek Paweł, Bardella Jordan, Barley Katarina, Bartolo Pietro, Băsescu Traian, Basso Alessandra, Bauzá Díaz José Ramón, Bay Nicolas, Beck Gunnar, Beer Nicola, Beghin Tiziana, Beigneux Aurélia, Belka Marek, Bellamy François-Xavier, Benifei Brando, Benjumea Benjumea Isabel, Beňová Monika, Bentele Hildegard, Berendsen Tom, Berg Lars Patrick, Berger Stefan, Bergkvist Erik, Berlato Sergio, Bernhuber Alexander, Biedroń Robert, Bielan Adam, Bielowski Theresa, Bijoux Stéphane, Bilbao Barandica Izaskun, Bilčík Vladimír, Bilde Dominique, Bischoff Gabriele, Biteau Benoît, Björk Malin, Blaga Vasile, Blaško Hynek, Bloss Michael, Bocskor Andrea, Boeselager Damian, Bogdan Ioan-Rareş, Bogovič Franc, Bonfrisco Anna, Borchia Paolo, Borzan Biljana, Botenga Marc, Botoş Vlad-Marius, Bourgeois Geert, Boyer Gilles, Braunsberger-Reinhold Karolin, Bresso Mercedes, Breyer Patric</w:t>
      </w:r>
      <w:r>
        <w:rPr>
          <w:lang w:val="en-GB"/>
        </w:rPr>
        <w:t>k, Brglez Milan, Bricmont Saskia, Brudziński Joachim Stanisław, Bruna Annika, Brunet Sylvie, Buchheit Markus, Buda Daniel, Bullmann Udo, Burkhardt Delara, Buschmann Martin, Buşoi Cristian-Silviu, Bütikofer Reinhard, Buxadé Villalba Jorge, Buzek Jerzy, Campomenosi Marco, Cañas Jordi, Canfin Pascal, Carême Damien, Carvalhais Isabel, Carvalho Maria da Graça, Casa David, Caspary Daniel, Castaldo Fabio Massimo, del Castillo Vera Pilar, Cavazzini Anna, Ceccardi Susanna, Cerdas Sara, Chabaud Catherine, Chagnon Patricia, Chahim Mohammed, Chaibi Leila, Charanzová Dita, Chastel Olivier, Chinnici Caterina, Christensen Asger, Cicurel Ilana, Cimoszewicz Włodzimierz, Ciocca Angelo, Cioloş Dacian, Clergeau Christophe, Clune Deirdre, Coelho Carlos, Colin-Oesterlé Nathalie, Conte Rosanna, Cormand David, Corrao Ignazio, Covassi Beatrice, Cozzolino Andrea, Crețu Corina, Cseh Katalin, Cuffe Ciarán, Cutajar Josianne, Czarnecki Ryszard, van Dalen Peter, Dalunde Jakop G., Daly Clare, D'Amato Rosa, Danjean Arnaud, Danti Nicola, Danzì Maria Angela, Da Re Gianantonio, Dauchy Marie, David Ivan, De Basso Ilan, De Castro Paolo, Decerle Jérémy, Delbos-Corfield Gwendoline, Deli Andor, Delli Karima, De Man Filip, De Meo Salvatore, Demirel Özlem, Deparnay-Grunenberg Anna, Deutsch Tamás, Didier Geoffroy, Dlabajová Martina, Doleschal Christian, Donáth Anna Júlia, Donato Francesca, Dorfmann Herbert, Duda Jarosław, Düpont Lena, Durá Ferrandis Estrella, Durand Pascal, Ďuriš Nicholsonová Lucia, Dzhambazki Angel, Ecke Matthias, Ehler Christian, Eickhout Bas, Engerer Cyrus, Ernst Cornelia, Eroglu Engin, Estaràs Ferragut Rosa, Evren Agnès, Falcă Gheorghe, Farreng Laurence, Ferber Markus, Fernandes José Manuel, Fernández Jonás, Ferrandino Giuseppe, Ferrara Laura, Fest Nicolaus, Fidanza Carlo, Fiocchi Pietro, Fitzgerald Frances, Flanagan Luke Ming, Flego Valter, Fotyga Anna, Fourlas Loucas, Fragkos Emmanouil, Frankowski Tomasz, Franssen Cindy, Freund Daniel, Fritzon Heléne, Fuglsang Niels, Furore Mario, Gahler Michael, Gál Kinga, Gallée Malte, Gálvez Muñoz Lina, Gamon Claudia, Gancia Gianna, García Del Blanco Ibán, García-Margallo y Marfil José Manuel, García Muñoz Isabel, Gardiazabal Rubial Eider, Garraud Jean-Paul, Gazzini Matteo, Geese Alexandra, Geier Jens, Gemma Chiara, Georgiou Giorgos, Geuking Helmut, Gheorghe Vlad, Ghidoni Paola, Giarrusso Dino, Gieseke Jens, Glavak Sunčana, Glueck Andreas, Glucksmann Raphaël, Goerens Charles, González Mónica Silvana, González Casares Nicolás, Gozi Sandro, de Graaff Marcel, Grant Valentino, Grapini Maria, Gregorová Markéta, Griset Catherine, Groothuis Bart, Grošelj Klemen, Grudler Christophe, Gruffat Claude, Gualmini Elisabetta, Guerreiro Francisco, Guetta Bernard, Guillaume Sylvie, Gusmão José, Gyöngyösi Márton, Győri Enikő, Gyürk András, Hahn Svenja, Hahn Henrike, Haider Roman, Hajšel Robert, Hakkarainen Teuvo, Halicki Andrzej, Hansen Christophe, Häusling Martin, Hautala Heidi, Hava Mircea-Gheorghe, Hayer Valérie, Heide Hannes, Heinäluoma Eero, Herbst Niclas, Herzberger-Fofana Pierrette, Hetman Krzysztof, Hlaváček Martin, Hohlmeier Monika, Hojsík Martin, Holmgren Pär, Hölvényi György, Homs Ginel Alicia, Hoogeveen Michiel, Hortefeux Brice, Hübner Danuta Maria, Huitema Jan, Ijabs Ivars, Ilčić Ladislav, Incir Evin, in 't Veld Sophia, Jadot Yannick, Jahr Peter, Jaki Patryk, Jalkh Jean-François, Jamet France, Járóka Lívia, Jarubas Adam, Jerković Romana, Jongerius Agnes, Joron Virginie, Joveva Irena, Juknevičienė Rasa, Jurgiel Krzysztof, Jurzyca Eugen, Juvin Hervé, Kaili Eva, Kalinowski Jarosław, Kalniete Sandra, Kammerevert Petra, Kanev Radan, Kanko Assita, Karas Othmar, Karleskind Pierre, Karlsbro Karin, Karski Karol, Katainen Elsi, Kefalogiannis Manolis, Kelleher Billy, Keller Fabienne, Keller Ska, Kelly Seán, Kempa Beata, Kizilyürek Niyazi, Kloc Izabela-Helena, Knotek Ondřej, Kohut Łukasz, Kokalari Arba, Kokkalis Petros, Kolaja Marcel, Kolakušić Mislav, Konečná Kateřina, Konstantinou Athanasios, Kopacz Ewa, Kopcińska Joanna, Körner Moritz, Kósa Ádám, Köster Dietmar, Kouloglou Stelios, Kountoura Elena, Kovařík Ondřej, Kovatchev Andrey, Krah Maximilian, Krasnodębski Zdzisław, Kruk Elżbieta, Kubilius Andrius, Kuhnke Alice, Kuhs Joachim, Kumpula-Natri Miapetra, Kuźmiuk Zbigniew, Kyrtsos Georgios, Kyuchyuk Ilhan, Lacapelle Jean-Lin, Lagodinsky Sergey, Lalucq Aurore, Lancini Danilo Oscar, Lange Bernd, de Lange Esther, Langensiepen Katrin, Larrouturou Pierre, Laureti Camilla, Lebreton Gilles, Lega David, Leitão-Marques Maria-Manuel, Lewandowski Janusz, Lexmann Miriam, Liberadzki Bogusław, Liese Peter, Limmer Sylvia, Lins Norbert, Lizzi Elena, Loiseau Nathalie, Løkkegaard Morten, López Javi, López Aguilar Juan Fernando, López Gil Leopoldo, López-Istúriz White Antonio, Lucke Karsten, Luena César, Lundgren Peter, Lutgen Benoît, McAllister David, MacManus Chris, Madison Jaak, Maestre Martín De Almagro Cristina, Maldeikienė Aušra, Manders Antonius, Mandl Lukas, Mariani Thierry, Marinescu Marian-Jean, Markey Colm, Marquardt Erik, Marques Margarida, Marques Pedro, Martusciello Fulvio, Matias Marisa, Matić Predrag Fred, Mato Gabriel, Matthieu Sara, Maurel Emmanuel, Mavrides Costas, Maxová Radka, Maydell Eva, Mayer Georg, Mažylis Liudas, Mebarek Nora, Meimarakis Vangelis, Melbārde Dace, Melchior Karen, Melo Nuno, Mesure Marina, Metsola Roberta, Metz Tilly, Meuthen Jörg, Michels Martina, Mihaylova Iskra, Mikser Sven, Milazzo Giuseppe, Millán Mon Francisco José, Miller Leszek, Minardi Eric, Miranda Ana, Mituța Alin, Modig Silvia, Molnár Csaba, Monteiro de Aguiar Cláudia, Montserrat Dolors, Morano Nadine, Moreno Sánchez Javier, Moretti Alessandra, Mortler Marlene, Motreanu Dan-Ştefan, Müller Ulrike, Mureşan Siegfried, Mussolini Alessandra, Nagtegaal Caroline, Negrescu Victor, Nemec Matjaž, Neumann Hannah, Nica Dan, Niebler Angelika, Niedermayer Luděk, Nienass Niklas, Niinistö Ville, Nikolaou-Alavanos Lefteris, Nissinen Johan, Nistor Gheorghe-Vlad, Noichl Maria, Novak Ljudmila, Novakov Andrey, Ochojska Janina, Oetjen Jan-Christoph, Ohlsson Carina, Olbrycht Jan, Olekas Juozas, Olivier Philippe, Omarjee Younous, Orville Max, O'Sullivan Grace, Paet Urmas, Pagazaurtundúa Maite, Panza Alessandro, Papadakis Demetris, Papadimoulis Dimitrios, Papandreou Nikos, Paulus Jutta, Pedicini Piernicola, Pekkarinen Mauri, Peksa Mikuláš, Pelletier Anne-Sophie, Penkova Tsvetelina, Peppucci Francesca, Pereira Sandra, Pereira Lídia, Peter-Hansen Kira Marie, Petersen Morten, Picierno Pina, Picula Tonino, Pieper Markus, Pietikäinen Sirpa, Pignedoli Sabrina, Pimenta Lopes João, Pineda Manu, de la Pisa Carrión Margarita, Pisapia Giuliano, Pîslaru Dragoş, Plumb Rovana, Polčák Stanislav, Polfjärd Jessica, Pollák Peter, Ponsatí Obiols Clara, Poptcheva Eva Maria, Poręba Tomasz Piotr, Pospíšil Jiří, Poulsen Erik, Radačovský Miroslav, Radev Emil, Radtke Dennis, Rafaela Samira, Rafalska Elżbieta, Rangel Paulo, Rasmussen Bergur Løkke, Regner Evelyn, Rego Sira, Reil Guido, Repasi René, Ressler Karlo, Riba i Giner Diana, Ries Frédérique, Rinaldi Antonio Maria, Rinzema Catharina, Ripa Manuela, Riquet Dominique, Roberti Franco, Rodríguez-Piñero Inma, Rodríguez Palop Eugenia, Rodríguez Ramos María Soraya, Rondinelli Daniela, Rooken Rob, Rookmaker Dorien, Roos Robert, Roose Caroline, Ropė Bronis, Ros Sempere Marcos, Rossi Maria Veronica, Roth Neveďalová Katarína, Rougé André, Rudner Thomas, Ruissen Bert-Jan, Ruiz Devesa Domènec, Ruohonen-Lerner Pirkko, Rzońca Bogdan, Sagartz Christian, Salini Massimiliano, Sánchez Amor Nacho, Sander Anne, Sant Alfred, Santos Isabel, Sardone Silvia, Sarvamaa Petri, Saryusz-Wolski Jacek, Satouri Mounir, Schaldemose Christel, Schaller-Baross Ernő, Schieder Andreas, Schmiedtbauer Simone, Schneider Christine, Scholz Helmut, Schuster Joachim, Schwab Andreas, Seekatz Ralf, Semsrott Nico, Sidl Günther, Sikorski Radosław, Silva Pereira Pedro, Simon Sven, Sinčić Ivan Vilibor, Sippel Birgit, Skyttedal Sara, Smeriglio Massimiliano, Šojdrová Michaela, Sokol Tomislav, Solé Jordi, Solís Pérez Susana, Sonneborn Martin, Spurek Sylwia, Spyraki Maria, Stancanelli Raffaele, Stanishev Sergei, Stavrou Eleni, Štefanec Ivan, Ştefănuță Nicolae, Strik Tineke, Strugariu Ramona, Szydło Beata, Tang Paul, Tarabella Marc, Tarczyński Dominik, Tardino Annalisa, Tax Vera, Terheş Cristian, Terras Riho, Tertsch Hermann, Thaler Barbara, Thun und Hohenstein Róża, Tinagli Irene, Tobé Tomas, Tobiszowski Grzegorz, Toia Patrizia, Tolleret Irène, Tomac Eugen, Tomaszewski Waldemar, Tomc Romana, Toom Yana, Torvalds Nils, Tošenovský Evžen, Tóth Edina, Toussaint Marie, Tovaglieri Isabella, Trócsányi László, Uhrík Milan, Urbán Crespo Miguel, Ušakovs Nils, Uspaskich Viktor, Vaidere Inese, Vana Monika, Van Brempt Kathleen, Vandendriessche Tom, Vandenkendelaere Tom, Van Overtveldt Johan, Van Sparrentak Kim, Variati Achille, Vautmans Hilde, Vedrenne Marie-Pierre, Verheyen Sabine, Verhofstadt Guy, Vilimsky Harald, Villanueva Ruiz Idoia, Villumsen Nikolaj, Vincze Loránt, Vind Marianne, Virkkunen Henna, Vistisen Anders, Vitanov Petar, von Cramon-Taubadel Viola, Vondra Alexandr, Voss Axel, Vozemberg-Vrionidi Elissavet, Vrecionová Veronika, Vuolo Lucia, Vázquez Lázara Adrián, Waitz Thomas, Wallace Mick, Walsh Maria, Walsmann Marion, Warborn Jörgen, Waszczykowski Witold Jan, Weimers Charlie, Weiss Pernille, Wieland Rainer, Wiener Sarah, Wiesner Emma, Wiezik Michal, Winkler Iuliu, Winzig Angelika, Wiseler-Lima Isabel, Wiśniewska Jadwiga, Wölken Tiemo, Wolters Lara, Yenbou Salima, Yon-Courtin Stéphanie, Zahradil Jan, Zalewska Anna, Zambelli Stefania, Zarzalejos Javier, Zdechovský Tomáš, Zīle Roberts, Zimniok Bernhard, Złotowski Kosma, Zorrinho Carlos, Zovko Željana, Zullo Marco, Zver Milan, Ždanoka Tatjana</w:t>
      </w:r>
    </w:p>
    <w:sectPr>
      <w:footerReference w:type="default" r:id="rId11"/>
      <w:footerReference w:type="first" r:id="rId12"/>
      <w:pgSz w:w="11906" w:h="16837"/>
      <w:pgMar w:top="567" w:right="1134" w:bottom="1134" w:left="1134"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G Mincho Light J">
    <w:panose1 w:val="00000000000000000000"/>
    <w:charset w:val="00"/>
    <w:family w:val="auto"/>
    <w:pitch w:val="variable"/>
    <w:sig w:usb0="00000000" w:usb1="00000000" w:usb2="00000000" w:usb3="00000000" w:csb0="00000000" w:csb1="00000000"/>
  </w:font>
  <w:font w:name="Albany">
    <w:altName w:val="Arial"/>
    <w:panose1 w:val="00000000000000000000"/>
    <w:charset w:val="00"/>
    <w:family w:val="swiss"/>
    <w:pitch w:val="variable"/>
    <w:sig w:usb0="00000000" w:usb1="00000000" w:usb2="00000000" w:usb3="00000000" w:csb0="00000000"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3</w:t>
    </w:r>
    <w:r>
      <w:rPr>
        <w:rStyle w:val="PageNumber"/>
      </w:rPr>
      <w:fldChar w:fldCharType="end"/>
    </w:r>
    <w:r>
      <w:br/>
      <w:tab/>
    </w:r>
    <w:r>
      <w:rPr>
        <w:rFonts w:ascii="Arial" w:hAnsi="Arial"/>
        <w:b/>
        <w:sz w:val="36"/>
      </w:rPr>
      <w:t>EN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1</w:t>
    </w:r>
    <w:r>
      <w:rPr>
        <w:rStyle w:val="PageNumber"/>
      </w:rPr>
      <w:fldChar w:fldCharType="end"/>
    </w:r>
    <w:r>
      <w:br/>
      <w:tab/>
    </w:r>
    <w:r>
      <w:rPr>
        <w:rFonts w:ascii="Arial" w:hAnsi="Arial"/>
        <w:b/>
        <w:sz w:val="36"/>
      </w:rPr>
      <w:t>EN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20</w:t>
    </w:r>
    <w:r>
      <w:rPr>
        <w:rStyle w:val="PageNumber"/>
      </w:rPr>
      <w:fldChar w:fldCharType="end"/>
    </w:r>
    <w:r>
      <w:br/>
      <w:tab/>
    </w:r>
    <w:r>
      <w:rPr>
        <w:rFonts w:ascii="Arial" w:hAnsi="Arial"/>
        <w:b/>
        <w:sz w:val="36"/>
      </w:rPr>
      <w:t>EN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4</w:t>
    </w:r>
    <w:r>
      <w:rPr>
        <w:rStyle w:val="PageNumber"/>
      </w:rPr>
      <w:fldChar w:fldCharType="end"/>
    </w:r>
    <w:r>
      <w:br/>
      <w:tab/>
    </w:r>
    <w:r>
      <w:rPr>
        <w:rFonts w:ascii="Arial" w:hAnsi="Arial"/>
        <w:b/>
        <w:sz w:val="36"/>
      </w:rPr>
      <w:t>EN</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21</w:t>
    </w:r>
    <w:r>
      <w:rPr>
        <w:rStyle w:val="PageNumber"/>
      </w:rPr>
      <w:fldChar w:fldCharType="end"/>
    </w:r>
    <w:r>
      <w:br/>
      <w:tab/>
    </w:r>
    <w:r>
      <w:rPr>
        <w:rFonts w:ascii="Arial" w:hAnsi="Arial"/>
        <w:b/>
        <w:sz w:val="36"/>
      </w:rPr>
      <w:t>EN</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24</w:t>
    </w:r>
    <w:r>
      <w:rPr>
        <w:rStyle w:val="PageNumber"/>
      </w:rPr>
      <w:fldChar w:fldCharType="end"/>
    </w:r>
    <w:r>
      <w:br/>
      <w:tab/>
    </w:r>
    <w:r>
      <w:rPr>
        <w:rFonts w:ascii="Arial" w:hAnsi="Arial"/>
        <w:b/>
        <w:sz w:val="36"/>
      </w:rPr>
      <w:t>EN</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0D9">
    <w:pPr>
      <w:suppressLineNumbers/>
      <w:pBdr>
        <w:bottom w:val="double" w:sz="1" w:space="0" w:color="000000"/>
      </w:pBdr>
      <w:rPr>
        <w:sz w:val="12"/>
        <w:szCs w:val="12"/>
      </w:rPr>
    </w:pPr>
  </w:p>
  <w:p w:rsidR="003030D9">
    <w:pPr>
      <w:tabs>
        <w:tab w:val="right" w:pos="9637"/>
      </w:tabs>
      <w:rPr>
        <w:rFonts w:ascii="Arial" w:hAnsi="Arial"/>
        <w:b/>
        <w:sz w:val="36"/>
      </w:rPr>
    </w:pPr>
    <w:r>
      <w:t>P9_PV-PROV(2023)07-11</w:t>
      <w:tab/>
      <w:t xml:space="preserve">PE 751.377 - </w:t>
    </w:r>
    <w:r>
      <w:rPr>
        <w:rStyle w:val="PageNumber"/>
      </w:rPr>
      <w:fldChar w:fldCharType="begin"/>
    </w:r>
    <w:r>
      <w:rPr>
        <w:rStyle w:val="PageNumber"/>
      </w:rPr>
      <w:instrText xml:space="preserve"> PAGE \*ARABIC </w:instrText>
    </w:r>
    <w:r>
      <w:rPr>
        <w:rStyle w:val="PageNumber"/>
      </w:rPr>
      <w:fldChar w:fldCharType="separate"/>
    </w:r>
    <w:r w:rsidR="001066AB">
      <w:rPr>
        <w:rStyle w:val="PageNumber"/>
        <w:noProof/>
      </w:rPr>
      <w:t>22</w:t>
    </w:r>
    <w:r>
      <w:rPr>
        <w:rStyle w:val="PageNumber"/>
      </w:rPr>
      <w:fldChar w:fldCharType="end"/>
    </w:r>
    <w:r>
      <w:br/>
      <w:tab/>
    </w:r>
    <w:r>
      <w:rPr>
        <w:rFonts w:ascii="Arial" w:hAnsi="Arial"/>
        <w:b/>
        <w:sz w:val="36"/>
      </w:rPr>
      <w:t>EN</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Jc w:val="left"/>
      <w:pPr>
        <w:tabs>
          <w:tab w:val="num" w:pos="0"/>
        </w:tabs>
        <w:ind w:left="0" w:firstLine="0"/>
      </w:pPr>
    </w:lvl>
    <w:lvl w:ilvl="1">
      <w:start w:val="1"/>
      <w:numFmt w:val="none"/>
      <w:lvlJc w:val="left"/>
      <w:pPr>
        <w:tabs>
          <w:tab w:val="num" w:pos="0"/>
        </w:tabs>
        <w:ind w:left="0" w:firstLine="0"/>
      </w:pPr>
    </w:lvl>
    <w:lvl w:ilvl="2">
      <w:start w:val="1"/>
      <w:numFmt w:val="none"/>
      <w:lvlJc w:val="left"/>
      <w:pPr>
        <w:tabs>
          <w:tab w:val="num" w:pos="0"/>
        </w:tabs>
        <w:ind w:left="0" w:firstLine="0"/>
      </w:pPr>
    </w:lvl>
    <w:lvl w:ilvl="3">
      <w:start w:val="1"/>
      <w:numFmt w:val="none"/>
      <w:lvlJc w:val="left"/>
      <w:pPr>
        <w:tabs>
          <w:tab w:val="num" w:pos="0"/>
        </w:tabs>
        <w:ind w:left="0" w:firstLine="0"/>
      </w:pPr>
    </w:lvl>
    <w:lvl w:ilvl="4">
      <w:start w:val="1"/>
      <w:numFmt w:val="none"/>
      <w:lvlJc w:val="left"/>
      <w:pPr>
        <w:tabs>
          <w:tab w:val="num" w:pos="0"/>
        </w:tabs>
        <w:ind w:left="0" w:firstLine="0"/>
      </w:pPr>
    </w:lvl>
    <w:lvl w:ilvl="5">
      <w:start w:val="1"/>
      <w:numFmt w:val="none"/>
      <w:lvlJc w:val="left"/>
      <w:pPr>
        <w:tabs>
          <w:tab w:val="num" w:pos="0"/>
        </w:tabs>
        <w:ind w:left="0" w:firstLine="0"/>
      </w:pPr>
    </w:lvl>
    <w:lvl w:ilvl="6">
      <w:start w:val="1"/>
      <w:numFmt w:val="none"/>
      <w:lvlJc w:val="left"/>
      <w:pPr>
        <w:tabs>
          <w:tab w:val="num" w:pos="0"/>
        </w:tabs>
        <w:ind w:left="0" w:firstLine="0"/>
      </w:pPr>
    </w:lvl>
    <w:lvl w:ilvl="7">
      <w:start w:val="1"/>
      <w:numFmt w:val="none"/>
      <w:lvlJc w:val="left"/>
      <w:pPr>
        <w:tabs>
          <w:tab w:val="num" w:pos="0"/>
        </w:tabs>
        <w:ind w:left="0" w:firstLine="0"/>
      </w:pPr>
    </w:lvl>
    <w:lvl w:ilvl="8">
      <w:start w:val="1"/>
      <w:numFmt w:val="none"/>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25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noLeading/>
    <w:spaceForUL/>
    <w:balanceSingleByteDoubleByteWidth/>
    <w:doNotLeaveBackslashAlone/>
    <w:ulTrailSpace/>
    <w:doNotExpandShiftReturn/>
    <w:usePrinterMetrics/>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283"/>
    </w:pPr>
    <w:rPr>
      <w:rFonts w:eastAsia="HG Mincho Light J"/>
      <w:color w:val="000000"/>
      <w:sz w:val="24"/>
      <w:szCs w:val="24"/>
      <w:lang w:val="fr-FR" w:bidi="ar-SA"/>
    </w:rPr>
  </w:style>
  <w:style w:type="paragraph" w:styleId="Heading1">
    <w:name w:val="heading 1"/>
    <w:basedOn w:val="Heading"/>
    <w:next w:val="BodyText"/>
    <w:qFormat/>
    <w:pPr>
      <w:numPr>
        <w:ilvl w:val="0"/>
        <w:numId w:val="1"/>
      </w:numPr>
      <w:outlineLvl w:val="0"/>
    </w:pPr>
    <w:rPr>
      <w:b/>
      <w:bCs/>
      <w:sz w:val="28"/>
      <w:szCs w:val="32"/>
    </w:rPr>
  </w:style>
  <w:style w:type="paragraph" w:styleId="Heading2">
    <w:name w:val="heading 2"/>
    <w:basedOn w:val="Heading"/>
    <w:next w:val="BodyText"/>
    <w:qFormat/>
    <w:pPr>
      <w:numPr>
        <w:ilvl w:val="1"/>
        <w:numId w:val="1"/>
      </w:numPr>
      <w:outlineLvl w:val="1"/>
    </w:pPr>
    <w:rPr>
      <w:b/>
      <w:bCs/>
      <w:i w:val="0"/>
      <w:iCs/>
      <w:sz w:val="26"/>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24B">
    <w:name w:val="Arial24B"/>
    <w:rPr>
      <w:rFonts w:ascii="Arial" w:hAnsi="Arial"/>
      <w:b/>
      <w:sz w:val="48"/>
    </w:rPr>
  </w:style>
  <w:style w:type="character" w:customStyle="1" w:styleId="Times16CoverPageItalic">
    <w:name w:val="Times16CoverPageItalic"/>
    <w:rPr>
      <w:rFonts w:ascii="Times New Roman" w:hAnsi="Times New Roman"/>
      <w:i/>
      <w:iCs/>
      <w:color w:val="696969"/>
      <w:sz w:val="32"/>
      <w:szCs w:val="32"/>
    </w:rPr>
  </w:style>
  <w:style w:type="character" w:styleId="PageNumber">
    <w:name w:val="page number"/>
    <w:semiHidden/>
  </w:style>
  <w:style w:type="paragraph" w:styleId="BodyText">
    <w:name w:val="Body Text"/>
    <w:basedOn w:val="Normal"/>
    <w:semiHidden/>
    <w:pPr>
      <w:spacing w:before="0" w:after="120"/>
    </w:pPr>
  </w:style>
  <w:style w:type="paragraph" w:customStyle="1" w:styleId="Heading">
    <w:name w:val="Heading"/>
    <w:basedOn w:val="Normal"/>
    <w:next w:val="BodyText"/>
    <w:pPr>
      <w:keepNext/>
      <w:spacing w:before="240" w:after="120"/>
    </w:pPr>
    <w:rPr>
      <w:rFonts w:ascii="Albany" w:eastAsia="HG Mincho Light J" w:hAnsi="Albany" w:cs="Arial Unicode MS"/>
      <w:sz w:val="28"/>
      <w:szCs w:val="28"/>
    </w:rPr>
  </w:style>
  <w:style w:type="paragraph" w:styleId="Footer">
    <w:name w:val="footer"/>
    <w:basedOn w:val="Normal"/>
    <w:semiHidden/>
    <w:pPr>
      <w:suppressLineNumbers/>
      <w:tabs>
        <w:tab w:val="center" w:pos="5385"/>
        <w:tab w:val="right" w:pos="10771"/>
      </w:tabs>
    </w:pPr>
  </w:style>
  <w:style w:type="paragraph" w:customStyle="1" w:styleId="TableContents">
    <w:name w:val="Table Contents"/>
    <w:basedOn w:val="BodyText"/>
    <w:pPr>
      <w:suppressLineNumbers/>
    </w:pPr>
  </w:style>
  <w:style w:type="paragraph" w:customStyle="1" w:styleId="Index">
    <w:name w:val="Index"/>
    <w:basedOn w:val="Normal"/>
    <w:pPr>
      <w:suppressLineNumbers/>
    </w:pPr>
  </w:style>
  <w:style w:type="paragraph" w:customStyle="1" w:styleId="ContentsHeading">
    <w:name w:val="Contents Heading"/>
    <w:basedOn w:val="Heading"/>
    <w:pPr>
      <w:suppressLineNumbers/>
      <w:ind w:left="0" w:right="0" w:firstLine="0"/>
      <w:jc w:val="center"/>
    </w:pPr>
    <w:rPr>
      <w:b/>
      <w:bCs/>
      <w:sz w:val="32"/>
      <w:szCs w:val="32"/>
    </w:rPr>
  </w:style>
  <w:style w:type="paragraph" w:styleId="TOC1">
    <w:name w:val="toc 1"/>
    <w:basedOn w:val="Index"/>
    <w:uiPriority w:val="39"/>
    <w:pPr>
      <w:tabs>
        <w:tab w:val="right" w:leader="dot" w:pos="9637"/>
      </w:tabs>
      <w:ind w:left="0" w:right="0" w:firstLine="0"/>
    </w:pPr>
  </w:style>
  <w:style w:type="paragraph" w:customStyle="1" w:styleId="HorizontalLine">
    <w:name w:val="Horizontal Line"/>
    <w:basedOn w:val="Normal"/>
    <w:next w:val="BodyText"/>
    <w:pPr>
      <w:suppressLineNumbers/>
      <w:pBdr>
        <w:top w:val="nil"/>
        <w:left w:val="nil"/>
        <w:bottom w:val="double" w:sz="1" w:space="0" w:color="808080"/>
        <w:right w:val="nil"/>
      </w:pBdr>
      <w:spacing w:before="0" w:after="283"/>
    </w:pPr>
    <w:rPr>
      <w:sz w:val="12"/>
      <w:szCs w:val="12"/>
    </w:rPr>
  </w:style>
  <w:style w:type="paragraph" w:customStyle="1" w:styleId="DecisionHeading">
    <w:name w:val="DecisionHeading"/>
    <w:basedOn w:val="Normal"/>
    <w:next w:val="BodyText"/>
    <w:pPr>
      <w:keepNext/>
      <w:spacing w:before="240" w:after="120"/>
    </w:pPr>
    <w:rPr>
      <w:rFonts w:ascii="Times New Roman" w:eastAsia="HG Mincho Light J" w:hAnsi="Times New Roman" w:cs="Arial Unicode MS"/>
      <w:b/>
      <w:sz w:val="24"/>
      <w:szCs w:val="28"/>
    </w:rPr>
  </w:style>
  <w:style w:type="paragraph" w:customStyle="1" w:styleId="Arial11">
    <w:name w:val="Arial11"/>
    <w:pPr>
      <w:widowControl w:val="0"/>
      <w:suppressAutoHyphens/>
    </w:pPr>
    <w:rPr>
      <w:rFonts w:ascii="Arial" w:eastAsia="HG Mincho Light J" w:hAnsi="Arial"/>
      <w:color w:val="000000"/>
      <w:sz w:val="22"/>
      <w:szCs w:val="24"/>
      <w:lang w:val="fr-FR" w:bidi="ar-SA"/>
    </w:rPr>
  </w:style>
  <w:style w:type="paragraph" w:customStyle="1" w:styleId="Arial36">
    <w:name w:val="Arial36"/>
    <w:pPr>
      <w:widowControl w:val="0"/>
      <w:suppressAutoHyphens/>
      <w:jc w:val="center"/>
    </w:pPr>
    <w:rPr>
      <w:rFonts w:ascii="Arial" w:eastAsia="HG Mincho Light J" w:hAnsi="Arial"/>
      <w:color w:val="000000"/>
      <w:sz w:val="72"/>
      <w:szCs w:val="24"/>
      <w:lang w:val="fr-FR" w:bidi="ar-SA"/>
    </w:rPr>
  </w:style>
  <w:style w:type="paragraph" w:customStyle="1" w:styleId="Arial14">
    <w:name w:val="Arial14"/>
    <w:pPr>
      <w:widowControl w:val="0"/>
      <w:suppressAutoHyphens/>
      <w:jc w:val="center"/>
    </w:pPr>
    <w:rPr>
      <w:rFonts w:ascii="Arial" w:eastAsia="HG Mincho Light J" w:hAnsi="Arial"/>
      <w:color w:val="000000"/>
      <w:sz w:val="28"/>
      <w:szCs w:val="24"/>
      <w:lang w:val="fr-FR" w:bidi="ar-SA"/>
    </w:rPr>
  </w:style>
  <w:style w:type="paragraph" w:customStyle="1" w:styleId="Arial14B">
    <w:name w:val="Arial14B"/>
    <w:pPr>
      <w:widowControl w:val="0"/>
      <w:suppressAutoHyphens/>
      <w:jc w:val="center"/>
    </w:pPr>
    <w:rPr>
      <w:rFonts w:ascii="Arial" w:eastAsia="HG Mincho Light J" w:hAnsi="Arial"/>
      <w:b/>
      <w:color w:val="000000"/>
      <w:sz w:val="28"/>
      <w:szCs w:val="24"/>
      <w:lang w:val="fr-FR" w:bidi="ar-SA"/>
    </w:rPr>
  </w:style>
  <w:style w:type="paragraph" w:customStyle="1" w:styleId="Arial9">
    <w:name w:val="Arial9"/>
    <w:pPr>
      <w:widowControl w:val="0"/>
      <w:suppressAutoHyphens/>
    </w:pPr>
    <w:rPr>
      <w:rFonts w:ascii="Arial" w:eastAsia="HG Mincho Light J" w:hAnsi="Arial"/>
      <w:color w:val="000000"/>
      <w:sz w:val="18"/>
      <w:szCs w:val="24"/>
      <w:lang w:val="fr-FR" w:bidi="ar-SA"/>
    </w:rPr>
  </w:style>
  <w:style w:type="paragraph" w:customStyle="1" w:styleId="Arial9CoverPageReferences">
    <w:name w:val="Arial9CoverPageReferences"/>
    <w:basedOn w:val="Normal"/>
    <w:pPr>
      <w:tabs>
        <w:tab w:val="center" w:pos="4819"/>
        <w:tab w:val="right" w:pos="9637"/>
      </w:tabs>
    </w:pPr>
    <w:rPr>
      <w:rFonts w:ascii="Arial" w:hAnsi="Arial"/>
      <w:sz w:val="18"/>
    </w:rPr>
  </w:style>
  <w:style w:type="paragraph" w:customStyle="1" w:styleId="CoverPageLastLineSmall">
    <w:name w:val="CoverPageLastLineSmall"/>
    <w:basedOn w:val="Normal"/>
    <w:pPr>
      <w:tabs>
        <w:tab w:val="left" w:pos="2115"/>
        <w:tab w:val="left" w:pos="3390"/>
      </w:tabs>
      <w:jc w:val="center"/>
    </w:pPr>
    <w:rPr>
      <w:sz w:val="48"/>
    </w:rPr>
  </w:style>
  <w:style w:type="paragraph" w:customStyle="1" w:styleId="CoverPageLastLineLarge">
    <w:name w:val="CoverPageLastLineLarge"/>
    <w:basedOn w:val="Normal"/>
    <w:pPr>
      <w:tabs>
        <w:tab w:val="left" w:pos="1548"/>
        <w:tab w:val="left" w:pos="2823"/>
      </w:tabs>
      <w:jc w:val="center"/>
    </w:pPr>
    <w:rPr>
      <w:sz w:val="48"/>
    </w:rPr>
  </w:style>
  <w:style w:type="paragraph" w:customStyle="1" w:styleId="HorizontalLineSolid">
    <w:name w:val="Horizontal Line Solid"/>
    <w:basedOn w:val="HorizontalLine"/>
    <w:next w:val="BodyText"/>
    <w:pPr>
      <w:pBdr>
        <w:top w:val="nil"/>
        <w:left w:val="nil"/>
        <w:bottom w:val="single" w:sz="8" w:space="1" w:color="000000"/>
        <w:right w:val="nil"/>
      </w:pBdr>
      <w:spacing w:before="0" w:after="57"/>
    </w:pPr>
  </w:style>
  <w:style w:type="paragraph" w:styleId="TOC2">
    <w:name w:val="toc 2"/>
    <w:basedOn w:val="Index"/>
    <w:uiPriority w:val="39"/>
    <w:pPr>
      <w:tabs>
        <w:tab w:val="right" w:leader="dot" w:pos="9638"/>
      </w:tabs>
      <w:ind w:left="283" w:right="0" w:firstLine="0"/>
    </w:p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5.xml" /><Relationship Id="rId11" Type="http://schemas.openxmlformats.org/officeDocument/2006/relationships/footer" Target="footer6.xml" /><Relationship Id="rId12" Type="http://schemas.openxmlformats.org/officeDocument/2006/relationships/footer" Target="footer7.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docProps/app.xml><?xml version="1.0" encoding="utf-8"?>
<Properties xmlns="http://schemas.openxmlformats.org/officeDocument/2006/extended-properties" xmlns:vt="http://schemas.openxmlformats.org/officeDocument/2006/docPropsVTypes">
  <Template>normal.dotm</Template>
  <TotalTime>0</TotalTime>
  <Pages>26</Pages>
  <Words>7829</Words>
  <Characters>44628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52353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Parliament</dc:creator>
  <cp:lastModifiedBy>GEN-PvExport</cp:lastModifiedBy>
  <cp:revision>2</cp:revision>
  <cp:lastPrinted>1601-01-01T00:06:31Z</cp:lastPrinted>
  <dcterms:created xsi:type="dcterms:W3CDTF">2023-07-12T19:07:00Z</dcterms:created>
  <dcterms:modified xsi:type="dcterms:W3CDTF">2023-07-12T19:07:00Z</dcterms:modified>
</cp:coreProperties>
</file>