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2880000" cy="1440000"/>
            <wp:docPr id="1" name="Picture 1"/>
            <wp:cNvGraphicFramePr>
              <a:graphicFrameLocks noChangeAspect="1"/>
            </wp:cNvGraphicFramePr>
            <a:graphic>
              <a:graphicData uri="http://schemas.openxmlformats.org/drawingml/2006/picture">
                <pic:pic>
                  <pic:nvPicPr>
                    <pic:cNvPr id="0" name="logo_portada.png"/>
                    <pic:cNvPicPr/>
                  </pic:nvPicPr>
                  <pic:blipFill>
                    <a:blip r:embed="rId11"/>
                    <a:stretch>
                      <a:fillRect/>
                    </a:stretch>
                  </pic:blipFill>
                  <pic:spPr>
                    <a:xfrm>
                      <a:off x="0" y="0"/>
                      <a:ext cx="2880000" cy="1440000"/>
                    </a:xfrm>
                    <a:prstGeom prst="rect"/>
                  </pic:spPr>
                </pic:pic>
              </a:graphicData>
            </a:graphic>
          </wp:inline>
        </w:drawing>
      </w:r>
    </w:p>
    <w:p/>
    <w:p>
      <w:pPr>
        <w:jc w:val="center"/>
      </w:pPr>
      <w:r>
        <w:rPr>
          <w:rFonts w:ascii="Times New Roman" w:hAnsi="Times New Roman"/>
          <w:b/>
          <w:sz w:val="40"/>
        </w:rPr>
        <w:t>TRABAJO FIN DE CICLO</w:t>
      </w:r>
    </w:p>
    <w:p>
      <w:pPr>
        <w:jc w:val="center"/>
      </w:pPr>
      <w:r>
        <w:rPr>
          <w:rFonts w:ascii="Times New Roman" w:hAnsi="Times New Roman"/>
          <w:b/>
          <w:sz w:val="28"/>
        </w:rPr>
        <w:t>CURSO 2024 / 2025</w:t>
      </w:r>
    </w:p>
    <w:p/>
    <w:p/>
    <w:p>
      <w:pPr>
        <w:jc w:val="center"/>
      </w:pPr>
      <w:r>
        <w:rPr>
          <w:rFonts w:ascii="Times New Roman" w:hAnsi="Times New Roman"/>
          <w:b/>
          <w:sz w:val="30"/>
        </w:rPr>
        <w:t>SolveIT: Plataforma SaaS multi-tenant para la gestión inteligente de incidencias IT en pequeñas y medianas empresas</w:t>
      </w:r>
    </w:p>
    <w:p/>
    <w:p/>
    <w:p/>
    <w:p>
      <w:pPr>
        <w:jc w:val="center"/>
      </w:pPr>
      <w:r>
        <w:rPr>
          <w:rFonts w:ascii="Times New Roman" w:hAnsi="Times New Roman"/>
          <w:b/>
          <w:sz w:val="26"/>
        </w:rPr>
        <w:t>Alumno/a:</w:t>
      </w:r>
    </w:p>
    <w:p>
      <w:pPr>
        <w:jc w:val="center"/>
      </w:pPr>
      <w:r>
        <w:rPr>
          <w:rFonts w:ascii="Times New Roman" w:hAnsi="Times New Roman"/>
          <w:b/>
          <w:sz w:val="26"/>
        </w:rPr>
        <w:t>RUBÉN AGUADO PERULERO</w:t>
      </w:r>
    </w:p>
    <w:p/>
    <w:p>
      <w:pPr>
        <w:jc w:val="center"/>
      </w:pPr>
      <w:r>
        <w:rPr>
          <w:rFonts w:ascii="Times New Roman" w:hAnsi="Times New Roman"/>
          <w:b/>
          <w:sz w:val="26"/>
        </w:rPr>
        <w:t>Tutor/a:</w:t>
      </w:r>
    </w:p>
    <w:p>
      <w:pPr>
        <w:jc w:val="center"/>
      </w:pPr>
      <w:r>
        <w:rPr>
          <w:rFonts w:ascii="Times New Roman" w:hAnsi="Times New Roman"/>
          <w:b/>
          <w:sz w:val="26"/>
        </w:rPr>
        <w:t>[NOMBRE Y APELLIDOS DEL TUTOR]</w:t>
      </w:r>
    </w:p>
    <w:p/>
    <w:p/>
    <w:p/>
    <w:p>
      <w:pPr>
        <w:jc w:val="center"/>
      </w:pPr>
      <w:r>
        <w:rPr>
          <w:rFonts w:ascii="Times New Roman" w:hAnsi="Times New Roman"/>
          <w:b/>
          <w:sz w:val="26"/>
        </w:rPr>
        <w:t>CICLO FORMATIVO DE GRADO SUPERIOR EN DESARROLLO DE APLICACIONES MULTIPLATAFORMA (DAM)</w:t>
      </w:r>
    </w:p>
    <w:p>
      <w:r>
        <w:br w:type="page"/>
      </w:r>
    </w:p>
    <w:p>
      <w:r>
        <w:br w:type="page"/>
      </w:r>
    </w:p>
    <w:p>
      <w:pPr>
        <w:jc w:val="left"/>
      </w:pPr>
      <w:r>
        <w:rPr>
          <w:rFonts w:ascii="Times New Roman" w:hAnsi="Times New Roman"/>
          <w:b/>
          <w:sz w:val="28"/>
        </w:rPr>
        <w:t>Resumen</w:t>
      </w:r>
    </w:p>
    <w:p>
      <w:pPr>
        <w:jc w:val="both"/>
      </w:pPr>
      <w:r>
        <w:rPr>
          <w:rFonts w:ascii="Times New Roman" w:hAnsi="Times New Roman"/>
          <w:b w:val="0"/>
          <w:i w:val="0"/>
          <w:sz w:val="24"/>
        </w:rPr>
        <w:t>El presente Trabajo Fin de Ciclo desarrolla SolveIT, una plataforma SaaS multi-tenant dirigida a pequeñas y medianas empresas que necesitan gestionar incidencias informáticas de forma profesional sin asumir el coste de soluciones empresariales como ServiceNow o Jira Service Management. La solución integra una aplicación móvil multiplataforma desarrollada en React Native, una aplicación web responsive en Next.js y un backend Node.js con base de datos PostgreSQL. Entre sus funcionalidades destacan la asignación automática de técnicos según carga de trabajo, una base de conocimiento colaborativa, un foro interno para los equipos, recuperación segura de contraseñas mediante código por correo electrónico y, como diferenciador clave, un asistente de inteligencia artificial integrado mediante el modelo Gemma de Google que orienta a los usuarios ante problemas técnicos y reduce la carga del departamento de soporte. La arquitectura multi-tenant permite que un único despliegue dé servicio a múltiples empresas con aislamiento total de datos. La plataforma se aloja en infraestructura cloud Railway con escalado bajo demanda y un coste operativo reducido. Tras desarrollar y desplegar la plataforma, se ha validado su funcionalidad sobre dos empresas piloto, demostrando que la solución es viable como producto comercial accesible para el tejido empresarial español.</w:t>
      </w:r>
    </w:p>
    <w:p>
      <w:r>
        <w:rPr>
          <w:rFonts w:ascii="Times New Roman" w:hAnsi="Times New Roman"/>
          <w:b/>
          <w:sz w:val="24"/>
        </w:rPr>
        <w:t xml:space="preserve">Palabras clave: </w:t>
      </w:r>
      <w:r>
        <w:rPr>
          <w:rFonts w:ascii="Times New Roman" w:hAnsi="Times New Roman"/>
          <w:sz w:val="24"/>
        </w:rPr>
        <w:t>asistente IA; gestión de incidencias; multi-tenant; PYME; SaaS</w:t>
      </w:r>
    </w:p>
    <w:p/>
    <w:p>
      <w:pPr>
        <w:jc w:val="left"/>
      </w:pPr>
      <w:r>
        <w:rPr>
          <w:rFonts w:ascii="Times New Roman" w:hAnsi="Times New Roman"/>
          <w:b/>
          <w:i/>
          <w:sz w:val="28"/>
        </w:rPr>
        <w:t>Abstract</w:t>
      </w:r>
    </w:p>
    <w:p>
      <w:pPr>
        <w:jc w:val="both"/>
      </w:pPr>
      <w:r>
        <w:rPr>
          <w:rFonts w:ascii="Times New Roman" w:hAnsi="Times New Roman"/>
          <w:b w:val="0"/>
          <w:i w:val="0"/>
          <w:sz w:val="24"/>
        </w:rPr>
        <w:t>This Final Project develops SolveIT, a multi-tenant SaaS platform aimed at small and medium-sized enterprises that need to manage IT incidents professionally without assuming the cost of enterprise solutions such as ServiceNow or Jira Service Management. The solution integrates a cross-platform mobile application developed in React Native, a responsive web application built in Next.js and a Node.js backend with a PostgreSQL database. Its features include automatic technician assignment based on workload, a collaborative knowledge base, an internal forum for teams, secure password recovery through email codes and, as a key differentiator, an integrated artificial intelligence assistant powered by Google's Gemma model that guides users through technical issues and reduces the workload of the support department. The multi-tenant architecture enables a single deployment to serve multiple companies with full data isolation. The platform is hosted on Railway cloud infrastructure with on-demand scaling and a reduced operating cost. After developing and deploying the platform, its functionality has been validated on two pilot companies, demonstrating that the solution is viable as a commercial product accessible to the Spanish business sector.</w:t>
      </w:r>
    </w:p>
    <w:p>
      <w:r>
        <w:rPr>
          <w:rFonts w:ascii="Times New Roman" w:hAnsi="Times New Roman"/>
          <w:b/>
          <w:i/>
          <w:sz w:val="24"/>
        </w:rPr>
        <w:t xml:space="preserve">Key words: </w:t>
      </w:r>
      <w:r>
        <w:rPr>
          <w:rFonts w:ascii="Times New Roman" w:hAnsi="Times New Roman"/>
          <w:sz w:val="24"/>
        </w:rPr>
        <w:t>AI assistant; incident management; multi-tenant; SaaS; SME</w:t>
      </w:r>
    </w:p>
    <w:p>
      <w:r>
        <w:br w:type="page"/>
      </w:r>
    </w:p>
    <w:p>
      <w:pPr>
        <w:jc w:val="center"/>
      </w:pPr>
      <w:r>
        <w:rPr>
          <w:rFonts w:ascii="Times New Roman" w:hAnsi="Times New Roman"/>
          <w:b/>
          <w:sz w:val="40"/>
        </w:rPr>
        <w:t>ÍNDICE</w:t>
      </w:r>
    </w:p>
    <w:p/>
    <w:p>
      <w:pPr>
        <w:tabs>
          <w:tab w:pos="8787" w:val="right" w:leader="hyphen"/>
        </w:tabs>
      </w:pPr>
      <w:r>
        <w:rPr>
          <w:rFonts w:ascii="Times New Roman" w:hAnsi="Times New Roman"/>
          <w:b/>
          <w:sz w:val="24"/>
        </w:rPr>
        <w:t>1. INTRODUCCIÓN</w:t>
      </w:r>
      <w:r>
        <w:rPr>
          <w:sz w:val="24"/>
        </w:rPr>
        <w:tab/>
      </w:r>
      <w:r>
        <w:rPr>
          <w:rFonts w:ascii="Times New Roman" w:hAnsi="Times New Roman"/>
          <w:b/>
          <w:sz w:val="24"/>
        </w:rPr>
        <w:t>5</w:t>
      </w:r>
    </w:p>
    <w:p>
      <w:pPr>
        <w:tabs>
          <w:tab w:pos="8787" w:val="right" w:leader="hyphen"/>
        </w:tabs>
      </w:pPr>
      <w:r>
        <w:rPr>
          <w:rFonts w:ascii="Times New Roman" w:hAnsi="Times New Roman"/>
          <w:b/>
          <w:sz w:val="24"/>
        </w:rPr>
        <w:t>2. ANÁLISIS</w:t>
      </w:r>
      <w:r>
        <w:rPr>
          <w:sz w:val="24"/>
        </w:rPr>
        <w:tab/>
      </w:r>
      <w:r>
        <w:rPr>
          <w:rFonts w:ascii="Times New Roman" w:hAnsi="Times New Roman"/>
          <w:b/>
          <w:sz w:val="24"/>
        </w:rPr>
        <w:t>6</w:t>
      </w:r>
    </w:p>
    <w:p>
      <w:pPr>
        <w:tabs>
          <w:tab w:pos="8787" w:val="right" w:leader="hyphen"/>
        </w:tabs>
      </w:pPr>
      <w:r>
        <w:rPr>
          <w:rFonts w:ascii="Times New Roman" w:hAnsi="Times New Roman"/>
          <w:sz w:val="24"/>
        </w:rPr>
        <w:t xml:space="preserve">    2.1 Estudio de mercado</w:t>
      </w:r>
      <w:r>
        <w:rPr>
          <w:sz w:val="24"/>
        </w:rPr>
        <w:tab/>
      </w:r>
      <w:r>
        <w:rPr>
          <w:rFonts w:ascii="Times New Roman" w:hAnsi="Times New Roman"/>
          <w:sz w:val="24"/>
        </w:rPr>
        <w:t>6</w:t>
      </w:r>
    </w:p>
    <w:p>
      <w:pPr>
        <w:tabs>
          <w:tab w:pos="8787" w:val="right" w:leader="hyphen"/>
        </w:tabs>
      </w:pPr>
      <w:r>
        <w:rPr>
          <w:rFonts w:ascii="Times New Roman" w:hAnsi="Times New Roman"/>
          <w:sz w:val="24"/>
        </w:rPr>
        <w:t xml:space="preserve">    2.2 Elección de soluciones</w:t>
      </w:r>
      <w:r>
        <w:rPr>
          <w:sz w:val="24"/>
        </w:rPr>
        <w:tab/>
      </w:r>
      <w:r>
        <w:rPr>
          <w:rFonts w:ascii="Times New Roman" w:hAnsi="Times New Roman"/>
          <w:sz w:val="24"/>
        </w:rPr>
        <w:t>8</w:t>
      </w:r>
    </w:p>
    <w:p>
      <w:pPr>
        <w:tabs>
          <w:tab w:pos="8787" w:val="right" w:leader="hyphen"/>
        </w:tabs>
      </w:pPr>
      <w:r>
        <w:rPr>
          <w:rFonts w:ascii="Times New Roman" w:hAnsi="Times New Roman"/>
          <w:b/>
          <w:sz w:val="24"/>
        </w:rPr>
        <w:t>3. VALORACIÓN ECONÓMICA</w:t>
      </w:r>
      <w:r>
        <w:rPr>
          <w:sz w:val="24"/>
        </w:rPr>
        <w:tab/>
      </w:r>
      <w:r>
        <w:rPr>
          <w:rFonts w:ascii="Times New Roman" w:hAnsi="Times New Roman"/>
          <w:b/>
          <w:sz w:val="24"/>
        </w:rPr>
        <w:t>10</w:t>
      </w:r>
    </w:p>
    <w:p>
      <w:pPr>
        <w:tabs>
          <w:tab w:pos="8787" w:val="right" w:leader="hyphen"/>
        </w:tabs>
      </w:pPr>
      <w:r>
        <w:rPr>
          <w:rFonts w:ascii="Times New Roman" w:hAnsi="Times New Roman"/>
          <w:sz w:val="24"/>
        </w:rPr>
        <w:t xml:space="preserve">    3.1 Hardware</w:t>
      </w:r>
      <w:r>
        <w:rPr>
          <w:sz w:val="24"/>
        </w:rPr>
        <w:tab/>
      </w:r>
      <w:r>
        <w:rPr>
          <w:rFonts w:ascii="Times New Roman" w:hAnsi="Times New Roman"/>
          <w:sz w:val="24"/>
        </w:rPr>
        <w:t>10</w:t>
      </w:r>
    </w:p>
    <w:p>
      <w:pPr>
        <w:tabs>
          <w:tab w:pos="8787" w:val="right" w:leader="hyphen"/>
        </w:tabs>
      </w:pPr>
      <w:r>
        <w:rPr>
          <w:rFonts w:ascii="Times New Roman" w:hAnsi="Times New Roman"/>
          <w:sz w:val="24"/>
        </w:rPr>
        <w:t xml:space="preserve">    3.2 Licencias y servicios</w:t>
      </w:r>
      <w:r>
        <w:rPr>
          <w:sz w:val="24"/>
        </w:rPr>
        <w:tab/>
      </w:r>
      <w:r>
        <w:rPr>
          <w:rFonts w:ascii="Times New Roman" w:hAnsi="Times New Roman"/>
          <w:sz w:val="24"/>
        </w:rPr>
        <w:t>11</w:t>
      </w:r>
    </w:p>
    <w:p>
      <w:pPr>
        <w:tabs>
          <w:tab w:pos="8787" w:val="right" w:leader="hyphen"/>
        </w:tabs>
      </w:pPr>
      <w:r>
        <w:rPr>
          <w:rFonts w:ascii="Times New Roman" w:hAnsi="Times New Roman"/>
          <w:sz w:val="24"/>
        </w:rPr>
        <w:t xml:space="preserve">    3.3 Personal</w:t>
      </w:r>
      <w:r>
        <w:rPr>
          <w:sz w:val="24"/>
        </w:rPr>
        <w:tab/>
      </w:r>
      <w:r>
        <w:rPr>
          <w:rFonts w:ascii="Times New Roman" w:hAnsi="Times New Roman"/>
          <w:sz w:val="24"/>
        </w:rPr>
        <w:t>11</w:t>
      </w:r>
    </w:p>
    <w:p>
      <w:pPr>
        <w:tabs>
          <w:tab w:pos="8787" w:val="right" w:leader="hyphen"/>
        </w:tabs>
      </w:pPr>
      <w:r>
        <w:rPr>
          <w:rFonts w:ascii="Times New Roman" w:hAnsi="Times New Roman"/>
          <w:sz w:val="24"/>
        </w:rPr>
        <w:t xml:space="preserve">    3.4 Costes de mantenimiento</w:t>
      </w:r>
      <w:r>
        <w:rPr>
          <w:sz w:val="24"/>
        </w:rPr>
        <w:tab/>
      </w:r>
      <w:r>
        <w:rPr>
          <w:rFonts w:ascii="Times New Roman" w:hAnsi="Times New Roman"/>
          <w:sz w:val="24"/>
        </w:rPr>
        <w:t>12</w:t>
      </w:r>
    </w:p>
    <w:p>
      <w:pPr>
        <w:tabs>
          <w:tab w:pos="8787" w:val="right" w:leader="hyphen"/>
        </w:tabs>
      </w:pPr>
      <w:r>
        <w:rPr>
          <w:rFonts w:ascii="Times New Roman" w:hAnsi="Times New Roman"/>
          <w:b/>
          <w:sz w:val="24"/>
        </w:rPr>
        <w:t>4. VIABILIDAD DEL PROYECTO</w:t>
      </w:r>
      <w:r>
        <w:rPr>
          <w:sz w:val="24"/>
        </w:rPr>
        <w:tab/>
      </w:r>
      <w:r>
        <w:rPr>
          <w:rFonts w:ascii="Times New Roman" w:hAnsi="Times New Roman"/>
          <w:b/>
          <w:sz w:val="24"/>
        </w:rPr>
        <w:t>13</w:t>
      </w:r>
    </w:p>
    <w:p>
      <w:pPr>
        <w:tabs>
          <w:tab w:pos="8787" w:val="right" w:leader="hyphen"/>
        </w:tabs>
      </w:pPr>
      <w:r>
        <w:rPr>
          <w:rFonts w:ascii="Times New Roman" w:hAnsi="Times New Roman"/>
          <w:b/>
          <w:sz w:val="24"/>
        </w:rPr>
        <w:t>5. PUESTA EN MARCHA</w:t>
      </w:r>
      <w:r>
        <w:rPr>
          <w:sz w:val="24"/>
        </w:rPr>
        <w:tab/>
      </w:r>
      <w:r>
        <w:rPr>
          <w:rFonts w:ascii="Times New Roman" w:hAnsi="Times New Roman"/>
          <w:b/>
          <w:sz w:val="24"/>
        </w:rPr>
        <w:t>16</w:t>
      </w:r>
    </w:p>
    <w:p>
      <w:pPr>
        <w:tabs>
          <w:tab w:pos="8787" w:val="right" w:leader="hyphen"/>
        </w:tabs>
      </w:pPr>
      <w:r>
        <w:rPr>
          <w:rFonts w:ascii="Times New Roman" w:hAnsi="Times New Roman"/>
          <w:sz w:val="24"/>
        </w:rPr>
        <w:t xml:space="preserve">    5.1 Forma jurídica y trámites</w:t>
      </w:r>
      <w:r>
        <w:rPr>
          <w:sz w:val="24"/>
        </w:rPr>
        <w:tab/>
      </w:r>
      <w:r>
        <w:rPr>
          <w:rFonts w:ascii="Times New Roman" w:hAnsi="Times New Roman"/>
          <w:sz w:val="24"/>
        </w:rPr>
        <w:t>16</w:t>
      </w:r>
    </w:p>
    <w:p>
      <w:pPr>
        <w:tabs>
          <w:tab w:pos="8787" w:val="right" w:leader="hyphen"/>
        </w:tabs>
      </w:pPr>
      <w:r>
        <w:rPr>
          <w:rFonts w:ascii="Times New Roman" w:hAnsi="Times New Roman"/>
          <w:sz w:val="24"/>
        </w:rPr>
        <w:t xml:space="preserve">    5.2 Recursos humanos</w:t>
      </w:r>
      <w:r>
        <w:rPr>
          <w:sz w:val="24"/>
        </w:rPr>
        <w:tab/>
      </w:r>
      <w:r>
        <w:rPr>
          <w:rFonts w:ascii="Times New Roman" w:hAnsi="Times New Roman"/>
          <w:sz w:val="24"/>
        </w:rPr>
        <w:t>17</w:t>
      </w:r>
    </w:p>
    <w:p>
      <w:pPr>
        <w:tabs>
          <w:tab w:pos="8787" w:val="right" w:leader="hyphen"/>
        </w:tabs>
      </w:pPr>
      <w:r>
        <w:rPr>
          <w:rFonts w:ascii="Times New Roman" w:hAnsi="Times New Roman"/>
          <w:sz w:val="24"/>
        </w:rPr>
        <w:t xml:space="preserve">    5.3 Prevención de riesgos laborales</w:t>
      </w:r>
      <w:r>
        <w:rPr>
          <w:sz w:val="24"/>
        </w:rPr>
        <w:tab/>
      </w:r>
      <w:r>
        <w:rPr>
          <w:rFonts w:ascii="Times New Roman" w:hAnsi="Times New Roman"/>
          <w:sz w:val="24"/>
        </w:rPr>
        <w:t>18</w:t>
      </w:r>
    </w:p>
    <w:p>
      <w:pPr>
        <w:tabs>
          <w:tab w:pos="8787" w:val="right" w:leader="hyphen"/>
        </w:tabs>
      </w:pPr>
      <w:r>
        <w:rPr>
          <w:rFonts w:ascii="Times New Roman" w:hAnsi="Times New Roman"/>
          <w:sz w:val="24"/>
        </w:rPr>
        <w:t xml:space="preserve">    5.4 Análisis medioambiental</w:t>
      </w:r>
      <w:r>
        <w:rPr>
          <w:sz w:val="24"/>
        </w:rPr>
        <w:tab/>
      </w:r>
      <w:r>
        <w:rPr>
          <w:rFonts w:ascii="Times New Roman" w:hAnsi="Times New Roman"/>
          <w:sz w:val="24"/>
        </w:rPr>
        <w:t>19</w:t>
      </w:r>
    </w:p>
    <w:p>
      <w:pPr>
        <w:tabs>
          <w:tab w:pos="8787" w:val="right" w:leader="hyphen"/>
        </w:tabs>
      </w:pPr>
      <w:r>
        <w:rPr>
          <w:rFonts w:ascii="Times New Roman" w:hAnsi="Times New Roman"/>
          <w:sz w:val="24"/>
        </w:rPr>
        <w:t xml:space="preserve">    5.5 Plan de financiación</w:t>
      </w:r>
      <w:r>
        <w:rPr>
          <w:sz w:val="24"/>
        </w:rPr>
        <w:tab/>
      </w:r>
      <w:r>
        <w:rPr>
          <w:rFonts w:ascii="Times New Roman" w:hAnsi="Times New Roman"/>
          <w:sz w:val="24"/>
        </w:rPr>
        <w:t>19</w:t>
      </w:r>
    </w:p>
    <w:p>
      <w:pPr>
        <w:tabs>
          <w:tab w:pos="8787" w:val="right" w:leader="hyphen"/>
        </w:tabs>
      </w:pPr>
      <w:r>
        <w:rPr>
          <w:rFonts w:ascii="Times New Roman" w:hAnsi="Times New Roman"/>
          <w:b/>
          <w:sz w:val="24"/>
        </w:rPr>
        <w:t>6. EVALUACIÓN FUNCIONAL</w:t>
      </w:r>
      <w:r>
        <w:rPr>
          <w:sz w:val="24"/>
        </w:rPr>
        <w:tab/>
      </w:r>
      <w:r>
        <w:rPr>
          <w:rFonts w:ascii="Times New Roman" w:hAnsi="Times New Roman"/>
          <w:b/>
          <w:sz w:val="24"/>
        </w:rPr>
        <w:t>21</w:t>
      </w:r>
    </w:p>
    <w:p>
      <w:pPr>
        <w:tabs>
          <w:tab w:pos="8787" w:val="right" w:leader="hyphen"/>
        </w:tabs>
      </w:pPr>
      <w:r>
        <w:rPr>
          <w:rFonts w:ascii="Times New Roman" w:hAnsi="Times New Roman"/>
          <w:b/>
          <w:sz w:val="24"/>
        </w:rPr>
        <w:t>7. CONCLUSIÓN</w:t>
      </w:r>
      <w:r>
        <w:rPr>
          <w:sz w:val="24"/>
        </w:rPr>
        <w:tab/>
      </w:r>
      <w:r>
        <w:rPr>
          <w:rFonts w:ascii="Times New Roman" w:hAnsi="Times New Roman"/>
          <w:b/>
          <w:sz w:val="24"/>
        </w:rPr>
        <w:t>24</w:t>
      </w:r>
    </w:p>
    <w:p>
      <w:pPr>
        <w:tabs>
          <w:tab w:pos="8787" w:val="right" w:leader="hyphen"/>
        </w:tabs>
      </w:pPr>
      <w:r>
        <w:rPr>
          <w:rFonts w:ascii="Times New Roman" w:hAnsi="Times New Roman"/>
          <w:b/>
          <w:sz w:val="24"/>
        </w:rPr>
        <w:t>8. BIBLIOGRAFÍA</w:t>
      </w:r>
      <w:r>
        <w:rPr>
          <w:sz w:val="24"/>
        </w:rPr>
        <w:tab/>
      </w:r>
      <w:r>
        <w:rPr>
          <w:rFonts w:ascii="Times New Roman" w:hAnsi="Times New Roman"/>
          <w:b/>
          <w:sz w:val="24"/>
        </w:rPr>
        <w:t>25</w:t>
      </w:r>
    </w:p>
    <w:p>
      <w:pPr>
        <w:tabs>
          <w:tab w:pos="8787" w:val="right" w:leader="hyphen"/>
        </w:tabs>
      </w:pPr>
      <w:r>
        <w:rPr>
          <w:rFonts w:ascii="Times New Roman" w:hAnsi="Times New Roman"/>
          <w:b/>
          <w:sz w:val="24"/>
        </w:rPr>
        <w:t>9. ANEXOS</w:t>
      </w:r>
      <w:r>
        <w:rPr>
          <w:sz w:val="24"/>
        </w:rPr>
        <w:tab/>
      </w:r>
      <w:r>
        <w:rPr>
          <w:rFonts w:ascii="Times New Roman" w:hAnsi="Times New Roman"/>
          <w:b/>
          <w:sz w:val="24"/>
        </w:rPr>
        <w:t>27</w:t>
      </w:r>
    </w:p>
    <w:p>
      <w:r>
        <w:br w:type="page"/>
      </w:r>
    </w:p>
    <w:p>
      <w:pPr>
        <w:spacing w:before="240" w:after="240"/>
        <w:jc w:val="left"/>
      </w:pPr>
      <w:r>
        <w:rPr>
          <w:rFonts w:ascii="Times New Roman" w:hAnsi="Times New Roman"/>
          <w:b/>
          <w:sz w:val="32"/>
        </w:rPr>
        <w:t>1. INTRODUCCIÓN</w:t>
      </w:r>
    </w:p>
    <w:p>
      <w:pPr>
        <w:jc w:val="both"/>
      </w:pPr>
      <w:r>
        <w:rPr>
          <w:rFonts w:ascii="Times New Roman" w:hAnsi="Times New Roman"/>
          <w:b w:val="0"/>
          <w:i w:val="0"/>
          <w:sz w:val="24"/>
        </w:rPr>
        <w:t>La transformación digital del tejido empresarial español ha incrementado de forma exponencial la dependencia de los sistemas informáticos en cualquier organización, independientemente de su tamaño o sector. Según el Instituto Nacional de Estadística (INE, 2024), más del 99% de las empresas españolas con asalariados dispone de conexión a internet y utiliza ordenadores en su actividad diaria. Esta dependencia tecnológica ha generado, paralelamente, una necesidad creciente de gestionar de forma eficiente las incidencias técnicas que inevitablemente surgen: equipos averiados, problemas de red, software que falla, accesos denegados, dispositivos periféricos que dejan de funcionar y un largo etcétera.</w:t>
      </w:r>
    </w:p>
    <w:p>
      <w:pPr>
        <w:jc w:val="both"/>
      </w:pPr>
      <w:r>
        <w:rPr>
          <w:rFonts w:ascii="Times New Roman" w:hAnsi="Times New Roman"/>
          <w:b w:val="0"/>
          <w:i w:val="0"/>
          <w:sz w:val="24"/>
        </w:rPr>
        <w:t>Mientras que las grandes corporaciones cuentan con soluciones consolidadas como ServiceNow, BMC Helix o Jira Service Management para gestionar sus tickets de soporte, las pequeñas y medianas empresas (PYME), que representan el 99,8% del tejido empresarial español según el Ministerio de Industria (2024), se encuentran ante un dilema. Por un lado, el coste y la complejidad de implantación de las soluciones empresariales resultan inasumibles. Por otro, gestionar las incidencias mediante hojas de cálculo, correos electrónicos o sistemas caseros conlleva pérdidas de información, falta de trazabilidad y una experiencia de usuario deficiente.</w:t>
      </w:r>
    </w:p>
    <w:p>
      <w:pPr>
        <w:jc w:val="both"/>
      </w:pPr>
      <w:r>
        <w:rPr>
          <w:rFonts w:ascii="Times New Roman" w:hAnsi="Times New Roman"/>
          <w:b w:val="0"/>
          <w:i w:val="0"/>
          <w:sz w:val="24"/>
        </w:rPr>
        <w:t>Este Trabajo Fin de Ciclo presenta SolveIT, una plataforma SaaS (Software as a Service) multi-tenant concebida específicamente para cubrir esta necesidad. La idea de negocio consiste en ofrecer a las PYME un sistema profesional de gestión de incidencias IT con todas las funcionalidades que un departamento de soporte moderno requiere, accesible desde el navegador y desde el móvil, con un modelo de pago por suscripción mensual y sin necesidad de mantenimiento por parte del cliente.</w:t>
      </w:r>
    </w:p>
    <w:p>
      <w:pPr>
        <w:jc w:val="both"/>
      </w:pPr>
      <w:r>
        <w:rPr>
          <w:rFonts w:ascii="Times New Roman" w:hAnsi="Times New Roman"/>
          <w:b w:val="0"/>
          <w:i w:val="0"/>
          <w:sz w:val="24"/>
        </w:rPr>
        <w:t>La plataforma propone un servicio en tres capas. La primera capa es la aplicación móvil multiplataforma, desarrollada con React Native y Expo, que permite a usuarios y técnicos gestionar incidencias desde cualquier ubicación. La segunda capa es la aplicación web responsive, construida con Next.js, orientada principalmente a roles administrativos y a entornos donde el ordenador es la herramienta habitual. La tercera capa es el backend Node.js con base de datos PostgreSQL, donde reside la lógica de negocio y se centralizan los datos de todas las empresas cliente bajo una arquitectura multi-tenant que garantiza el aislamiento total entre organizaciones.</w:t>
      </w:r>
    </w:p>
    <w:p>
      <w:pPr>
        <w:jc w:val="both"/>
      </w:pPr>
      <w:r>
        <w:rPr>
          <w:rFonts w:ascii="Times New Roman" w:hAnsi="Times New Roman"/>
          <w:b w:val="0"/>
          <w:i w:val="0"/>
          <w:sz w:val="24"/>
        </w:rPr>
        <w:t>Como elemento diferenciador frente a la competencia, SolveIT incorpora un asistente de inteligencia artificial basado en el modelo Gemma de Google que asiste a los usuarios ante problemas técnicos antes de generar un ticket. Este asistente, además de mejorar la experiencia del empleado al ofrecerle una respuesta inmediata, reduce la carga sobre el departamento de soporte al filtrar consultas que pueden resolverse con la documentación existente.</w:t>
      </w:r>
    </w:p>
    <w:p>
      <w:pPr>
        <w:jc w:val="both"/>
      </w:pPr>
      <w:r>
        <w:rPr>
          <w:rFonts w:ascii="Times New Roman" w:hAnsi="Times New Roman"/>
          <w:b w:val="0"/>
          <w:i w:val="0"/>
          <w:sz w:val="24"/>
        </w:rPr>
        <w:t>La justificación personal de este proyecto responde a varias motivaciones interconectadas. Durante la realización de las prácticas en empresa observé de primera mano cómo los departamentos de IT de las PYME conviven con herramientas heterogéneas y poco integradas para gestionar el día a día. La idea de construir una solución que aglutine todas las necesidades en un único producto, accesible y con tecnologías modernas, surgió de manera natural. A nivel profesional, este trabajo me permite consolidar las competencias adquiridas en los módulos de Programación Multimedia y Dispositivos Móviles, Acceso a Datos, Programación de Servicios y Procesos y Sistemas de Gestión Empresarial, integrándolas en un único proyecto end-to-end. Además, posiciona mi perfil profesional en un sector con alta demanda como es el desarrollo full-stack y la integración de inteligencia artificial en productos reales.</w:t>
      </w:r>
    </w:p>
    <w:p>
      <w:pPr>
        <w:jc w:val="both"/>
      </w:pPr>
      <w:r>
        <w:rPr>
          <w:rFonts w:ascii="Times New Roman" w:hAnsi="Times New Roman"/>
          <w:b w:val="0"/>
          <w:i w:val="0"/>
          <w:sz w:val="24"/>
        </w:rPr>
        <w:t>Desde la perspectiva del emprendimiento, SolveIT se presenta como un proyecto alineado con los Objetivos de Desarrollo Sostenible de la Agenda 2030 (Naciones Unidas, 2015). En particular, contribuye al ODS 8 (Trabajo decente y crecimiento económico) al mejorar la productividad de los trabajadores reduciendo el tiempo de inactividad por incidencias técnicas; al ODS 9 (Industria, innovación e infraestructura) al democratizar el acceso a herramientas de gestión IT que hasta ahora estaban reservadas a grandes empresas; y al ODS 12 (Producción y consumo responsables) al fomentar la digitalización y reducir el uso de papel y desplazamientos físicos del personal técnico. El proyecto se enmarca, asimismo, dentro de las economías transformadoras al impulsar la digitalización del tejido productivo y al ofrecer un modelo de software accesible que reduce la brecha tecnológica entre grandes corporaciones y PYME.</w:t>
      </w:r>
    </w:p>
    <w:p>
      <w:r>
        <w:br w:type="page"/>
      </w:r>
    </w:p>
    <w:p>
      <w:pPr>
        <w:spacing w:before="240" w:after="240"/>
        <w:jc w:val="left"/>
      </w:pPr>
      <w:r>
        <w:rPr>
          <w:rFonts w:ascii="Times New Roman" w:hAnsi="Times New Roman"/>
          <w:b/>
          <w:sz w:val="32"/>
        </w:rPr>
        <w:t>2. ANÁLISIS</w:t>
      </w:r>
    </w:p>
    <w:p>
      <w:pPr>
        <w:spacing w:before="240" w:after="120"/>
      </w:pPr>
      <w:r>
        <w:rPr>
          <w:rFonts w:ascii="Times New Roman" w:hAnsi="Times New Roman"/>
          <w:b/>
          <w:sz w:val="26"/>
        </w:rPr>
        <w:t>2.1 Estudio de mercado</w:t>
      </w:r>
    </w:p>
    <w:p>
      <w:pPr>
        <w:jc w:val="both"/>
      </w:pPr>
      <w:r>
        <w:rPr>
          <w:rFonts w:ascii="Times New Roman" w:hAnsi="Times New Roman"/>
          <w:b w:val="0"/>
          <w:i w:val="0"/>
          <w:sz w:val="24"/>
        </w:rPr>
        <w:t>El mercado del IT Service Management (ITSM) ha experimentado un crecimiento sostenido durante los últimos años. Según el informe de Gartner (2024), el segmento global de software ITSM superó los 12.000 millones de dólares en 2023 y se proyecta una tasa anual compuesta de crecimiento (CAGR) cercana al 9% hasta 2028. Este crecimiento responde a la combinación de tres factores: la digitalización acelerada tras la pandemia, la adopción de modelos híbridos de trabajo y la creciente complejidad de las infraestructuras IT.</w:t>
      </w:r>
    </w:p>
    <w:p>
      <w:pPr>
        <w:jc w:val="both"/>
      </w:pPr>
      <w:r>
        <w:rPr>
          <w:rFonts w:ascii="Times New Roman" w:hAnsi="Times New Roman"/>
          <w:b w:val="0"/>
          <w:i w:val="0"/>
          <w:sz w:val="24"/>
        </w:rPr>
        <w:t>Para validar la necesidad del producto se ha realizado una investigación cualitativa basada en observación directa durante el periodo de Formación en Centros de Trabajo y en conversaciones informales con responsables de soporte de cinco empresas de entre 15 y 200 empleados. Las conclusiones más relevantes son las siguientes:</w:t>
      </w:r>
    </w:p>
    <w:p>
      <w:pPr>
        <w:pStyle w:val="ListBullet"/>
        <w:spacing w:line="360" w:lineRule="auto"/>
      </w:pPr>
      <w:r>
        <w:rPr>
          <w:rFonts w:ascii="Times New Roman" w:hAnsi="Times New Roman"/>
          <w:sz w:val="24"/>
        </w:rPr>
        <w:t>Cuatro de las cinco empresas consultadas no disponen de un sistema profesional de tickets. Gestionan las incidencias mediante correo electrónico o aplicaciones de mensajería instantánea.</w:t>
      </w:r>
    </w:p>
    <w:p>
      <w:pPr>
        <w:pStyle w:val="ListBullet"/>
        <w:spacing w:line="360" w:lineRule="auto"/>
      </w:pPr>
      <w:r>
        <w:rPr>
          <w:rFonts w:ascii="Times New Roman" w:hAnsi="Times New Roman"/>
          <w:sz w:val="24"/>
        </w:rPr>
        <w:t>El 100% de los responsables consultados reconoce que pierde información sobre incidencias previas, lo que provoca que se repitan diagnósticos para problemas ya resueltos.</w:t>
      </w:r>
    </w:p>
    <w:p>
      <w:pPr>
        <w:pStyle w:val="ListBullet"/>
        <w:spacing w:line="360" w:lineRule="auto"/>
      </w:pPr>
      <w:r>
        <w:rPr>
          <w:rFonts w:ascii="Times New Roman" w:hAnsi="Times New Roman"/>
          <w:sz w:val="24"/>
        </w:rPr>
        <w:t>La principal barrera para adoptar una solución profesional es el coste de las licencias y la complejidad de implantación.</w:t>
      </w:r>
    </w:p>
    <w:p>
      <w:pPr>
        <w:pStyle w:val="ListBullet"/>
        <w:spacing w:line="360" w:lineRule="auto"/>
      </w:pPr>
      <w:r>
        <w:rPr>
          <w:rFonts w:ascii="Times New Roman" w:hAnsi="Times New Roman"/>
          <w:sz w:val="24"/>
        </w:rPr>
        <w:t>Existe un interés explícito por funcionalidades de inteligencia artificial que reduzcan la carga del equipo de soporte.</w:t>
      </w:r>
    </w:p>
    <w:p>
      <w:pPr>
        <w:spacing w:before="160" w:after="80"/>
      </w:pPr>
      <w:r>
        <w:rPr>
          <w:rFonts w:ascii="Times New Roman" w:hAnsi="Times New Roman"/>
          <w:b/>
          <w:i/>
          <w:sz w:val="24"/>
        </w:rPr>
        <w:t>Análisis de la competencia</w:t>
      </w:r>
    </w:p>
    <w:p>
      <w:pPr>
        <w:jc w:val="both"/>
      </w:pPr>
      <w:r>
        <w:rPr>
          <w:rFonts w:ascii="Times New Roman" w:hAnsi="Times New Roman"/>
          <w:b w:val="0"/>
          <w:i w:val="0"/>
          <w:sz w:val="24"/>
        </w:rPr>
        <w:t>ServiceNow es la solución líder en el segmento corporativo. Ofrece una plataforma completa de gestión de servicios IT, gestión de activos, automatización y analítica. Su precio parte de aproximadamente 100 dólares por usuario y mes, con costes adicionales de implantación que pueden superar los 50.000 euros para una empresa mediana. Su orientación es claramente enterprise y resulta inviable para PYME.</w:t>
      </w:r>
    </w:p>
    <w:p>
      <w:pPr>
        <w:jc w:val="both"/>
      </w:pPr>
      <w:r>
        <w:rPr>
          <w:rFonts w:ascii="Times New Roman" w:hAnsi="Times New Roman"/>
          <w:b w:val="0"/>
          <w:i w:val="0"/>
          <w:sz w:val="24"/>
        </w:rPr>
        <w:t>Jira Service Management (Atlassian) es la opción más popular entre empresas tecnológicas medianas. Su modelo es freemium con un plan gratuito limitado a tres agentes y planes de pago desde 21 dólares por agente al mes. Aunque su precio es más accesible que ServiceNow, su curva de aprendizaje es considerable y muchas funcionalidades requieren plugins de pago.</w:t>
      </w:r>
    </w:p>
    <w:p>
      <w:pPr>
        <w:jc w:val="both"/>
      </w:pPr>
      <w:r>
        <w:rPr>
          <w:rFonts w:ascii="Times New Roman" w:hAnsi="Times New Roman"/>
          <w:b w:val="0"/>
          <w:i w:val="0"/>
          <w:sz w:val="24"/>
        </w:rPr>
        <w:t>Freshservice (Freshworks) es una solución cloud orientada a empresas medianas. Precios desde 19 dólares por agente al mes, interfaz amigable y buena experiencia móvil. Su limitación principal es que está orientada a empresas con un único tenant y no incorpora capacidades nativas de IA generativa.</w:t>
      </w:r>
    </w:p>
    <w:p>
      <w:pPr>
        <w:jc w:val="both"/>
      </w:pPr>
      <w:r>
        <w:rPr>
          <w:rFonts w:ascii="Times New Roman" w:hAnsi="Times New Roman"/>
          <w:b w:val="0"/>
          <w:i w:val="0"/>
          <w:sz w:val="24"/>
        </w:rPr>
        <w:t>Zammad y osTicket son soluciones open source autoalojadas. El coste de licencia es nulo pero requieren administración de infraestructura, mantenimiento, parcheado y conocimiento técnico que la mayoría de PYME no tiene internamente.</w:t>
      </w:r>
    </w:p>
    <w:p>
      <w:pPr>
        <w:spacing w:before="160" w:after="80"/>
      </w:pPr>
      <w:r>
        <w:rPr>
          <w:rFonts w:ascii="Times New Roman" w:hAnsi="Times New Roman"/>
          <w:b/>
          <w:i/>
          <w:sz w:val="24"/>
        </w:rPr>
        <w:t>Análisis DAFO de SolveIT</w:t>
      </w:r>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rFonts w:ascii="Times New Roman" w:hAnsi="Times New Roman"/>
                <w:b/>
                <w:sz w:val="22"/>
              </w:rPr>
              <w:t>Fortalezas</w:t>
            </w:r>
          </w:p>
        </w:tc>
        <w:tc>
          <w:tcPr>
            <w:tcW w:type="dxa" w:w="4703"/>
          </w:tcPr>
          <w:p>
            <w:r/>
            <w:r>
              <w:rPr>
                <w:rFonts w:ascii="Times New Roman" w:hAnsi="Times New Roman"/>
                <w:b/>
                <w:sz w:val="22"/>
              </w:rPr>
              <w:t>Debilidades</w:t>
            </w:r>
          </w:p>
        </w:tc>
      </w:tr>
      <w:tr>
        <w:tc>
          <w:tcPr>
            <w:tcW w:type="dxa" w:w="4703"/>
          </w:tcPr>
          <w:p>
            <w:r/>
            <w:r>
              <w:rPr>
                <w:rFonts w:ascii="Times New Roman" w:hAnsi="Times New Roman"/>
                <w:sz w:val="22"/>
              </w:rPr>
              <w:t>Tecnología moderna (React Native, Next.js, Node.js)</w:t>
            </w:r>
          </w:p>
        </w:tc>
        <w:tc>
          <w:tcPr>
            <w:tcW w:type="dxa" w:w="4703"/>
          </w:tcPr>
          <w:p>
            <w:r/>
            <w:r>
              <w:rPr>
                <w:rFonts w:ascii="Times New Roman" w:hAnsi="Times New Roman"/>
                <w:sz w:val="22"/>
              </w:rPr>
              <w:t>Marca desconocida sin reputación previa</w:t>
            </w:r>
          </w:p>
        </w:tc>
      </w:tr>
      <w:tr>
        <w:tc>
          <w:tcPr>
            <w:tcW w:type="dxa" w:w="4703"/>
          </w:tcPr>
          <w:p>
            <w:r/>
            <w:r>
              <w:rPr>
                <w:rFonts w:ascii="Times New Roman" w:hAnsi="Times New Roman"/>
                <w:sz w:val="22"/>
              </w:rPr>
              <w:t>Asistente de IA integrado de serie</w:t>
            </w:r>
          </w:p>
        </w:tc>
        <w:tc>
          <w:tcPr>
            <w:tcW w:type="dxa" w:w="4703"/>
          </w:tcPr>
          <w:p>
            <w:r/>
            <w:r>
              <w:rPr>
                <w:rFonts w:ascii="Times New Roman" w:hAnsi="Times New Roman"/>
                <w:sz w:val="22"/>
              </w:rPr>
              <w:t>Equipo inicial reducido (un único desarrollador)</w:t>
            </w:r>
          </w:p>
        </w:tc>
      </w:tr>
      <w:tr>
        <w:tc>
          <w:tcPr>
            <w:tcW w:type="dxa" w:w="4703"/>
          </w:tcPr>
          <w:p>
            <w:r/>
            <w:r>
              <w:rPr>
                <w:rFonts w:ascii="Times New Roman" w:hAnsi="Times New Roman"/>
                <w:sz w:val="22"/>
              </w:rPr>
              <w:t>Multi-tenant nativo</w:t>
            </w:r>
          </w:p>
        </w:tc>
        <w:tc>
          <w:tcPr>
            <w:tcW w:type="dxa" w:w="4703"/>
          </w:tcPr>
          <w:p>
            <w:r/>
            <w:r>
              <w:rPr>
                <w:rFonts w:ascii="Times New Roman" w:hAnsi="Times New Roman"/>
                <w:sz w:val="22"/>
              </w:rPr>
              <w:t>Cartera de funcionalidades inferior a ServiceNow</w:t>
            </w:r>
          </w:p>
        </w:tc>
      </w:tr>
      <w:tr>
        <w:tc>
          <w:tcPr>
            <w:tcW w:type="dxa" w:w="4703"/>
          </w:tcPr>
          <w:p>
            <w:r/>
            <w:r>
              <w:rPr>
                <w:rFonts w:ascii="Times New Roman" w:hAnsi="Times New Roman"/>
                <w:sz w:val="22"/>
              </w:rPr>
              <w:t>Coste reducido para el cliente</w:t>
            </w:r>
          </w:p>
        </w:tc>
        <w:tc>
          <w:tcPr>
            <w:tcW w:type="dxa" w:w="4703"/>
          </w:tcPr>
          <w:p>
            <w:r/>
            <w:r>
              <w:rPr>
                <w:rFonts w:ascii="Times New Roman" w:hAnsi="Times New Roman"/>
                <w:sz w:val="22"/>
              </w:rPr>
              <w:t>Dependencia de proveedores cloud externos</w:t>
            </w:r>
          </w:p>
        </w:tc>
      </w:tr>
    </w:tbl>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rFonts w:ascii="Times New Roman" w:hAnsi="Times New Roman"/>
                <w:b/>
                <w:sz w:val="22"/>
              </w:rPr>
              <w:t>Oportunidades</w:t>
            </w:r>
          </w:p>
        </w:tc>
        <w:tc>
          <w:tcPr>
            <w:tcW w:type="dxa" w:w="4703"/>
          </w:tcPr>
          <w:p>
            <w:r/>
            <w:r>
              <w:rPr>
                <w:rFonts w:ascii="Times New Roman" w:hAnsi="Times New Roman"/>
                <w:b/>
                <w:sz w:val="22"/>
              </w:rPr>
              <w:t>Amenazas</w:t>
            </w:r>
          </w:p>
        </w:tc>
      </w:tr>
      <w:tr>
        <w:tc>
          <w:tcPr>
            <w:tcW w:type="dxa" w:w="4703"/>
          </w:tcPr>
          <w:p>
            <w:r/>
            <w:r>
              <w:rPr>
                <w:rFonts w:ascii="Times New Roman" w:hAnsi="Times New Roman"/>
                <w:sz w:val="22"/>
              </w:rPr>
              <w:t>Crecimiento del segmento ITSM</w:t>
            </w:r>
          </w:p>
        </w:tc>
        <w:tc>
          <w:tcPr>
            <w:tcW w:type="dxa" w:w="4703"/>
          </w:tcPr>
          <w:p>
            <w:r/>
            <w:r>
              <w:rPr>
                <w:rFonts w:ascii="Times New Roman" w:hAnsi="Times New Roman"/>
                <w:sz w:val="22"/>
              </w:rPr>
              <w:t>Entrada de competidores con más recursos</w:t>
            </w:r>
          </w:p>
        </w:tc>
      </w:tr>
      <w:tr>
        <w:tc>
          <w:tcPr>
            <w:tcW w:type="dxa" w:w="4703"/>
          </w:tcPr>
          <w:p>
            <w:r/>
            <w:r>
              <w:rPr>
                <w:rFonts w:ascii="Times New Roman" w:hAnsi="Times New Roman"/>
                <w:sz w:val="22"/>
              </w:rPr>
              <w:t>Ayudas a la digitalización (Kit Digital)</w:t>
            </w:r>
          </w:p>
        </w:tc>
        <w:tc>
          <w:tcPr>
            <w:tcW w:type="dxa" w:w="4703"/>
          </w:tcPr>
          <w:p>
            <w:r/>
            <w:r>
              <w:rPr>
                <w:rFonts w:ascii="Times New Roman" w:hAnsi="Times New Roman"/>
                <w:sz w:val="22"/>
              </w:rPr>
              <w:t>Cambios en políticas de precios de cloud o IA</w:t>
            </w:r>
          </w:p>
        </w:tc>
      </w:tr>
      <w:tr>
        <w:tc>
          <w:tcPr>
            <w:tcW w:type="dxa" w:w="4703"/>
          </w:tcPr>
          <w:p>
            <w:r/>
            <w:r>
              <w:rPr>
                <w:rFonts w:ascii="Times New Roman" w:hAnsi="Times New Roman"/>
                <w:sz w:val="22"/>
              </w:rPr>
              <w:t>Demanda de IA en productos SaaS</w:t>
            </w:r>
          </w:p>
        </w:tc>
        <w:tc>
          <w:tcPr>
            <w:tcW w:type="dxa" w:w="4703"/>
          </w:tcPr>
          <w:p>
            <w:r/>
            <w:r>
              <w:rPr>
                <w:rFonts w:ascii="Times New Roman" w:hAnsi="Times New Roman"/>
                <w:sz w:val="22"/>
              </w:rPr>
              <w:t>Madurez del open source autoalojable</w:t>
            </w:r>
          </w:p>
        </w:tc>
      </w:tr>
      <w:tr>
        <w:tc>
          <w:tcPr>
            <w:tcW w:type="dxa" w:w="4703"/>
          </w:tcPr>
          <w:p>
            <w:r/>
            <w:r>
              <w:rPr>
                <w:rFonts w:ascii="Times New Roman" w:hAnsi="Times New Roman"/>
                <w:sz w:val="22"/>
              </w:rPr>
              <w:t>Tejido PYME español infrautilizando ITSM</w:t>
            </w:r>
          </w:p>
        </w:tc>
        <w:tc>
          <w:tcPr>
            <w:tcW w:type="dxa" w:w="4703"/>
          </w:tcPr>
          <w:p>
            <w:r/>
            <w:r>
              <w:rPr>
                <w:rFonts w:ascii="Times New Roman" w:hAnsi="Times New Roman"/>
                <w:sz w:val="22"/>
              </w:rPr>
              <w:t>Riesgo regulatorio (RGPD, AI Act)</w:t>
            </w:r>
          </w:p>
        </w:tc>
      </w:tr>
    </w:tbl>
    <w:p/>
    <w:p>
      <w:pPr>
        <w:spacing w:before="240" w:after="120"/>
      </w:pPr>
      <w:r>
        <w:rPr>
          <w:rFonts w:ascii="Times New Roman" w:hAnsi="Times New Roman"/>
          <w:b/>
          <w:sz w:val="26"/>
        </w:rPr>
        <w:t>2.2 Elección de soluciones</w:t>
      </w:r>
    </w:p>
    <w:p>
      <w:pPr>
        <w:jc w:val="both"/>
      </w:pPr>
      <w:r>
        <w:rPr>
          <w:rFonts w:ascii="Times New Roman" w:hAnsi="Times New Roman"/>
          <w:b w:val="0"/>
          <w:i w:val="0"/>
          <w:sz w:val="24"/>
        </w:rPr>
        <w:t>Tras el análisis de mercado y aplicando la filosofía KISS (Keep It Simple, Stupid), se ha decidido construir SolveIT como una solución a medida sobre un stack tecnológico moderno y mayoritariamente abierto, en lugar de adaptar una solución existente o construir un fork de un sistema open source como Zammad. Las razones de esta elección son las siguientes.</w:t>
      </w:r>
    </w:p>
    <w:p>
      <w:pPr>
        <w:jc w:val="both"/>
      </w:pPr>
      <w:r>
        <w:rPr>
          <w:rFonts w:ascii="Times New Roman" w:hAnsi="Times New Roman"/>
          <w:b w:val="0"/>
          <w:i w:val="0"/>
          <w:sz w:val="24"/>
        </w:rPr>
        <w:t>Re-usabilidad. El stack elegido (Node.js, React Native, Next.js, PostgreSQL) es ampliamente conocido por la comunidad de desarrolladores, lo que facilita la incorporación de nuevos miembros al equipo en el futuro y garantiza el soporte a largo plazo. Los conocimientos adquiridos durante el desarrollo se trasladan sin fricción a otros proyectos.</w:t>
      </w:r>
    </w:p>
    <w:p>
      <w:pPr>
        <w:jc w:val="both"/>
      </w:pPr>
      <w:r>
        <w:rPr>
          <w:rFonts w:ascii="Times New Roman" w:hAnsi="Times New Roman"/>
          <w:b w:val="0"/>
          <w:i w:val="0"/>
          <w:sz w:val="24"/>
        </w:rPr>
        <w:t>Complejidad de instalación. El cliente final no tiene que instalar nada en sus sistemas. La aplicación móvil se distribuye a través de las tiendas oficiales (Google Play y App Store) y la aplicación web se accede desde un navegador. El backend se aloja en infraestructura cloud gestionada por el proveedor del servicio.</w:t>
      </w:r>
    </w:p>
    <w:p>
      <w:pPr>
        <w:jc w:val="both"/>
      </w:pPr>
      <w:r>
        <w:rPr>
          <w:rFonts w:ascii="Times New Roman" w:hAnsi="Times New Roman"/>
          <w:b w:val="0"/>
          <w:i w:val="0"/>
          <w:sz w:val="24"/>
        </w:rPr>
        <w:t>Velocidad de desarrollo. React Native y Next.js comparten lenguaje (JavaScript / TypeScript), lo que permite reutilizar lógica entre web y móvil. Expo simplifica el ciclo de desarrollo y publicación de la aplicación móvil.</w:t>
      </w:r>
    </w:p>
    <w:p>
      <w:pPr>
        <w:jc w:val="both"/>
      </w:pPr>
      <w:r>
        <w:rPr>
          <w:rFonts w:ascii="Times New Roman" w:hAnsi="Times New Roman"/>
          <w:b w:val="0"/>
          <w:i w:val="0"/>
          <w:sz w:val="24"/>
        </w:rPr>
        <w:t>Coste. Todas las tecnologías base son gratuitas y de código abierto. Los servicios cloud se contratan por uso, lo que permite escalar el coste linealmente con los ingresos.</w:t>
      </w:r>
    </w:p>
    <w:p>
      <w:pPr>
        <w:spacing w:before="160" w:after="80"/>
      </w:pPr>
      <w:r>
        <w:rPr>
          <w:rFonts w:ascii="Times New Roman" w:hAnsi="Times New Roman"/>
          <w:b/>
          <w:i/>
          <w:sz w:val="24"/>
        </w:rPr>
        <w:t>Stack tecnológico definitivo</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Times New Roman" w:hAnsi="Times New Roman"/>
                <w:b/>
                <w:sz w:val="22"/>
              </w:rPr>
              <w:t>Capa</w:t>
            </w:r>
          </w:p>
        </w:tc>
        <w:tc>
          <w:tcPr>
            <w:tcW w:type="dxa" w:w="3135"/>
          </w:tcPr>
          <w:p>
            <w:r/>
            <w:r>
              <w:rPr>
                <w:rFonts w:ascii="Times New Roman" w:hAnsi="Times New Roman"/>
                <w:b/>
                <w:sz w:val="22"/>
              </w:rPr>
              <w:t>Tecnología</w:t>
            </w:r>
          </w:p>
        </w:tc>
        <w:tc>
          <w:tcPr>
            <w:tcW w:type="dxa" w:w="3135"/>
          </w:tcPr>
          <w:p>
            <w:r/>
            <w:r>
              <w:rPr>
                <w:rFonts w:ascii="Times New Roman" w:hAnsi="Times New Roman"/>
                <w:b/>
                <w:sz w:val="22"/>
              </w:rPr>
              <w:t>Motivo</w:t>
            </w:r>
          </w:p>
        </w:tc>
      </w:tr>
      <w:tr>
        <w:tc>
          <w:tcPr>
            <w:tcW w:type="dxa" w:w="3135"/>
          </w:tcPr>
          <w:p>
            <w:r/>
            <w:r>
              <w:rPr>
                <w:rFonts w:ascii="Times New Roman" w:hAnsi="Times New Roman"/>
                <w:sz w:val="22"/>
              </w:rPr>
              <w:t>Frontend móvil</w:t>
            </w:r>
          </w:p>
        </w:tc>
        <w:tc>
          <w:tcPr>
            <w:tcW w:type="dxa" w:w="3135"/>
          </w:tcPr>
          <w:p>
            <w:r/>
            <w:r>
              <w:rPr>
                <w:rFonts w:ascii="Times New Roman" w:hAnsi="Times New Roman"/>
                <w:sz w:val="22"/>
              </w:rPr>
              <w:t>React Native + Expo (SDK 54)</w:t>
            </w:r>
          </w:p>
        </w:tc>
        <w:tc>
          <w:tcPr>
            <w:tcW w:type="dxa" w:w="3135"/>
          </w:tcPr>
          <w:p>
            <w:r/>
            <w:r>
              <w:rPr>
                <w:rFonts w:ascii="Times New Roman" w:hAnsi="Times New Roman"/>
                <w:sz w:val="22"/>
              </w:rPr>
              <w:t>Multiplataforma, rapidez, comunidad</w:t>
            </w:r>
          </w:p>
        </w:tc>
      </w:tr>
      <w:tr>
        <w:tc>
          <w:tcPr>
            <w:tcW w:type="dxa" w:w="3135"/>
          </w:tcPr>
          <w:p>
            <w:r/>
            <w:r>
              <w:rPr>
                <w:rFonts w:ascii="Times New Roman" w:hAnsi="Times New Roman"/>
                <w:sz w:val="22"/>
              </w:rPr>
              <w:t>Frontend web</w:t>
            </w:r>
          </w:p>
        </w:tc>
        <w:tc>
          <w:tcPr>
            <w:tcW w:type="dxa" w:w="3135"/>
          </w:tcPr>
          <w:p>
            <w:r/>
            <w:r>
              <w:rPr>
                <w:rFonts w:ascii="Times New Roman" w:hAnsi="Times New Roman"/>
                <w:sz w:val="22"/>
              </w:rPr>
              <w:t>Next.js 14 + TypeScript</w:t>
            </w:r>
          </w:p>
        </w:tc>
        <w:tc>
          <w:tcPr>
            <w:tcW w:type="dxa" w:w="3135"/>
          </w:tcPr>
          <w:p>
            <w:r/>
            <w:r>
              <w:rPr>
                <w:rFonts w:ascii="Times New Roman" w:hAnsi="Times New Roman"/>
                <w:sz w:val="22"/>
              </w:rPr>
              <w:t>SSR, SEO, ecosistema React</w:t>
            </w:r>
          </w:p>
        </w:tc>
      </w:tr>
      <w:tr>
        <w:tc>
          <w:tcPr>
            <w:tcW w:type="dxa" w:w="3135"/>
          </w:tcPr>
          <w:p>
            <w:r/>
            <w:r>
              <w:rPr>
                <w:rFonts w:ascii="Times New Roman" w:hAnsi="Times New Roman"/>
                <w:sz w:val="22"/>
              </w:rPr>
              <w:t>Backend</w:t>
            </w:r>
          </w:p>
        </w:tc>
        <w:tc>
          <w:tcPr>
            <w:tcW w:type="dxa" w:w="3135"/>
          </w:tcPr>
          <w:p>
            <w:r/>
            <w:r>
              <w:rPr>
                <w:rFonts w:ascii="Times New Roman" w:hAnsi="Times New Roman"/>
                <w:sz w:val="22"/>
              </w:rPr>
              <w:t>Node.js + Express</w:t>
            </w:r>
          </w:p>
        </w:tc>
        <w:tc>
          <w:tcPr>
            <w:tcW w:type="dxa" w:w="3135"/>
          </w:tcPr>
          <w:p>
            <w:r/>
            <w:r>
              <w:rPr>
                <w:rFonts w:ascii="Times New Roman" w:hAnsi="Times New Roman"/>
                <w:sz w:val="22"/>
              </w:rPr>
              <w:t>Curva de aprendizaje suave</w:t>
            </w:r>
          </w:p>
        </w:tc>
      </w:tr>
      <w:tr>
        <w:tc>
          <w:tcPr>
            <w:tcW w:type="dxa" w:w="3135"/>
          </w:tcPr>
          <w:p>
            <w:r/>
            <w:r>
              <w:rPr>
                <w:rFonts w:ascii="Times New Roman" w:hAnsi="Times New Roman"/>
                <w:sz w:val="22"/>
              </w:rPr>
              <w:t>Base de datos</w:t>
            </w:r>
          </w:p>
        </w:tc>
        <w:tc>
          <w:tcPr>
            <w:tcW w:type="dxa" w:w="3135"/>
          </w:tcPr>
          <w:p>
            <w:r/>
            <w:r>
              <w:rPr>
                <w:rFonts w:ascii="Times New Roman" w:hAnsi="Times New Roman"/>
                <w:sz w:val="22"/>
              </w:rPr>
              <w:t>PostgreSQL</w:t>
            </w:r>
          </w:p>
        </w:tc>
        <w:tc>
          <w:tcPr>
            <w:tcW w:type="dxa" w:w="3135"/>
          </w:tcPr>
          <w:p>
            <w:r/>
            <w:r>
              <w:rPr>
                <w:rFonts w:ascii="Times New Roman" w:hAnsi="Times New Roman"/>
                <w:sz w:val="22"/>
              </w:rPr>
              <w:t>ACID, soporte JSON, multi-tenant friendly</w:t>
            </w:r>
          </w:p>
        </w:tc>
      </w:tr>
      <w:tr>
        <w:tc>
          <w:tcPr>
            <w:tcW w:type="dxa" w:w="3135"/>
          </w:tcPr>
          <w:p>
            <w:r/>
            <w:r>
              <w:rPr>
                <w:rFonts w:ascii="Times New Roman" w:hAnsi="Times New Roman"/>
                <w:sz w:val="22"/>
              </w:rPr>
              <w:t>Hosting</w:t>
            </w:r>
          </w:p>
        </w:tc>
        <w:tc>
          <w:tcPr>
            <w:tcW w:type="dxa" w:w="3135"/>
          </w:tcPr>
          <w:p>
            <w:r/>
            <w:r>
              <w:rPr>
                <w:rFonts w:ascii="Times New Roman" w:hAnsi="Times New Roman"/>
                <w:sz w:val="22"/>
              </w:rPr>
              <w:t>Railway</w:t>
            </w:r>
          </w:p>
        </w:tc>
        <w:tc>
          <w:tcPr>
            <w:tcW w:type="dxa" w:w="3135"/>
          </w:tcPr>
          <w:p>
            <w:r/>
            <w:r>
              <w:rPr>
                <w:rFonts w:ascii="Times New Roman" w:hAnsi="Times New Roman"/>
                <w:sz w:val="22"/>
              </w:rPr>
              <w:t>PaaS sencillo, integración Git, escalado</w:t>
            </w:r>
          </w:p>
        </w:tc>
      </w:tr>
      <w:tr>
        <w:tc>
          <w:tcPr>
            <w:tcW w:type="dxa" w:w="3135"/>
          </w:tcPr>
          <w:p>
            <w:r/>
            <w:r>
              <w:rPr>
                <w:rFonts w:ascii="Times New Roman" w:hAnsi="Times New Roman"/>
                <w:sz w:val="22"/>
              </w:rPr>
              <w:t>IA generativa</w:t>
            </w:r>
          </w:p>
        </w:tc>
        <w:tc>
          <w:tcPr>
            <w:tcW w:type="dxa" w:w="3135"/>
          </w:tcPr>
          <w:p>
            <w:r/>
            <w:r>
              <w:rPr>
                <w:rFonts w:ascii="Times New Roman" w:hAnsi="Times New Roman"/>
                <w:sz w:val="22"/>
              </w:rPr>
              <w:t>Google Gemma 3 12B</w:t>
            </w:r>
          </w:p>
        </w:tc>
        <w:tc>
          <w:tcPr>
            <w:tcW w:type="dxa" w:w="3135"/>
          </w:tcPr>
          <w:p>
            <w:r/>
            <w:r>
              <w:rPr>
                <w:rFonts w:ascii="Times New Roman" w:hAnsi="Times New Roman"/>
                <w:sz w:val="22"/>
              </w:rPr>
              <w:t>Calidad alta, plan gratuito viable</w:t>
            </w:r>
          </w:p>
        </w:tc>
      </w:tr>
      <w:tr>
        <w:tc>
          <w:tcPr>
            <w:tcW w:type="dxa" w:w="3135"/>
          </w:tcPr>
          <w:p>
            <w:r/>
            <w:r>
              <w:rPr>
                <w:rFonts w:ascii="Times New Roman" w:hAnsi="Times New Roman"/>
                <w:sz w:val="22"/>
              </w:rPr>
              <w:t>Email transaccional</w:t>
            </w:r>
          </w:p>
        </w:tc>
        <w:tc>
          <w:tcPr>
            <w:tcW w:type="dxa" w:w="3135"/>
          </w:tcPr>
          <w:p>
            <w:r/>
            <w:r>
              <w:rPr>
                <w:rFonts w:ascii="Times New Roman" w:hAnsi="Times New Roman"/>
                <w:sz w:val="22"/>
              </w:rPr>
              <w:t>Resend</w:t>
            </w:r>
          </w:p>
        </w:tc>
        <w:tc>
          <w:tcPr>
            <w:tcW w:type="dxa" w:w="3135"/>
          </w:tcPr>
          <w:p>
            <w:r/>
            <w:r>
              <w:rPr>
                <w:rFonts w:ascii="Times New Roman" w:hAnsi="Times New Roman"/>
                <w:sz w:val="22"/>
              </w:rPr>
              <w:t>API moderna, plan gratuito 100/día</w:t>
            </w:r>
          </w:p>
        </w:tc>
      </w:tr>
      <w:tr>
        <w:tc>
          <w:tcPr>
            <w:tcW w:type="dxa" w:w="3135"/>
          </w:tcPr>
          <w:p>
            <w:r/>
            <w:r>
              <w:rPr>
                <w:rFonts w:ascii="Times New Roman" w:hAnsi="Times New Roman"/>
                <w:sz w:val="22"/>
              </w:rPr>
              <w:t>Autenticación</w:t>
            </w:r>
          </w:p>
        </w:tc>
        <w:tc>
          <w:tcPr>
            <w:tcW w:type="dxa" w:w="3135"/>
          </w:tcPr>
          <w:p>
            <w:r/>
            <w:r>
              <w:rPr>
                <w:rFonts w:ascii="Times New Roman" w:hAnsi="Times New Roman"/>
                <w:sz w:val="22"/>
              </w:rPr>
              <w:t>JWT + bcrypt</w:t>
            </w:r>
          </w:p>
        </w:tc>
        <w:tc>
          <w:tcPr>
            <w:tcW w:type="dxa" w:w="3135"/>
          </w:tcPr>
          <w:p>
            <w:r/>
            <w:r>
              <w:rPr>
                <w:rFonts w:ascii="Times New Roman" w:hAnsi="Times New Roman"/>
                <w:sz w:val="22"/>
              </w:rPr>
              <w:t>Control total, sin dependencia externa</w:t>
            </w:r>
          </w:p>
        </w:tc>
      </w:tr>
    </w:tbl>
    <w:p/>
    <w:p>
      <w:r>
        <w:br w:type="page"/>
      </w:r>
    </w:p>
    <w:p>
      <w:pPr>
        <w:spacing w:before="240" w:after="240"/>
        <w:jc w:val="left"/>
      </w:pPr>
      <w:r>
        <w:rPr>
          <w:rFonts w:ascii="Times New Roman" w:hAnsi="Times New Roman"/>
          <w:b/>
          <w:sz w:val="32"/>
        </w:rPr>
        <w:t>3. VALORACIÓN ECONÓMICA</w:t>
      </w:r>
    </w:p>
    <w:p>
      <w:pPr>
        <w:jc w:val="both"/>
      </w:pPr>
      <w:r>
        <w:rPr>
          <w:rFonts w:ascii="Times New Roman" w:hAnsi="Times New Roman"/>
          <w:b w:val="0"/>
          <w:i w:val="0"/>
          <w:sz w:val="24"/>
        </w:rPr>
        <w:t>En este apartado se desglosan los costes asociados al desarrollo y al mantenimiento del proyecto durante su primer año de vida. Las cifras corresponden a estimaciones realistas basadas en los precios actuales del mercado español a mayo de 2026.</w:t>
      </w:r>
    </w:p>
    <w:p>
      <w:pPr>
        <w:spacing w:before="240" w:after="120"/>
      </w:pPr>
      <w:r>
        <w:rPr>
          <w:rFonts w:ascii="Times New Roman" w:hAnsi="Times New Roman"/>
          <w:b/>
          <w:sz w:val="26"/>
        </w:rPr>
        <w:t>3.1 Hardware</w:t>
      </w:r>
    </w:p>
    <w:p>
      <w:pPr>
        <w:jc w:val="both"/>
      </w:pPr>
      <w:r>
        <w:rPr>
          <w:rFonts w:ascii="Times New Roman" w:hAnsi="Times New Roman"/>
          <w:b w:val="0"/>
          <w:i w:val="0"/>
          <w:sz w:val="24"/>
        </w:rPr>
        <w:t>El hardware necesario para llevar a cabo el proyecto es mínimo, ya que el stack elegido permite desarrollar desde un equipo personal sin grandes requisitos.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Times New Roman" w:hAnsi="Times New Roman"/>
                <w:b/>
                <w:sz w:val="22"/>
              </w:rPr>
              <w:t>Concepto</w:t>
            </w:r>
          </w:p>
        </w:tc>
        <w:tc>
          <w:tcPr>
            <w:tcW w:type="dxa" w:w="3135"/>
          </w:tcPr>
          <w:p>
            <w:r/>
            <w:r>
              <w:rPr>
                <w:rFonts w:ascii="Times New Roman" w:hAnsi="Times New Roman"/>
                <w:b/>
                <w:sz w:val="22"/>
              </w:rPr>
              <w:t>Coste (€)</w:t>
            </w:r>
          </w:p>
        </w:tc>
        <w:tc>
          <w:tcPr>
            <w:tcW w:type="dxa" w:w="3135"/>
          </w:tcPr>
          <w:p>
            <w:r/>
            <w:r>
              <w:rPr>
                <w:rFonts w:ascii="Times New Roman" w:hAnsi="Times New Roman"/>
                <w:b/>
                <w:sz w:val="22"/>
              </w:rPr>
              <w:t>Vida útil</w:t>
            </w:r>
          </w:p>
        </w:tc>
      </w:tr>
      <w:tr>
        <w:tc>
          <w:tcPr>
            <w:tcW w:type="dxa" w:w="3135"/>
          </w:tcPr>
          <w:p>
            <w:r/>
            <w:r>
              <w:rPr>
                <w:rFonts w:ascii="Times New Roman" w:hAnsi="Times New Roman"/>
                <w:sz w:val="22"/>
              </w:rPr>
              <w:t>Equipo de desarrollo (portátil 16 GB RAM, SSD 512 GB)</w:t>
            </w:r>
          </w:p>
        </w:tc>
        <w:tc>
          <w:tcPr>
            <w:tcW w:type="dxa" w:w="3135"/>
          </w:tcPr>
          <w:p>
            <w:r/>
            <w:r>
              <w:rPr>
                <w:rFonts w:ascii="Times New Roman" w:hAnsi="Times New Roman"/>
                <w:sz w:val="22"/>
              </w:rPr>
              <w:t>1.000</w:t>
            </w:r>
          </w:p>
        </w:tc>
        <w:tc>
          <w:tcPr>
            <w:tcW w:type="dxa" w:w="3135"/>
          </w:tcPr>
          <w:p>
            <w:r/>
            <w:r>
              <w:rPr>
                <w:rFonts w:ascii="Times New Roman" w:hAnsi="Times New Roman"/>
                <w:sz w:val="22"/>
              </w:rPr>
              <w:t>4 años</w:t>
            </w:r>
          </w:p>
        </w:tc>
      </w:tr>
      <w:tr>
        <w:tc>
          <w:tcPr>
            <w:tcW w:type="dxa" w:w="3135"/>
          </w:tcPr>
          <w:p>
            <w:r/>
            <w:r>
              <w:rPr>
                <w:rFonts w:ascii="Times New Roman" w:hAnsi="Times New Roman"/>
                <w:sz w:val="22"/>
              </w:rPr>
              <w:t>Monitor adicional 24"</w:t>
            </w:r>
          </w:p>
        </w:tc>
        <w:tc>
          <w:tcPr>
            <w:tcW w:type="dxa" w:w="3135"/>
          </w:tcPr>
          <w:p>
            <w:r/>
            <w:r>
              <w:rPr>
                <w:rFonts w:ascii="Times New Roman" w:hAnsi="Times New Roman"/>
                <w:sz w:val="22"/>
              </w:rPr>
              <w:t>180</w:t>
            </w:r>
          </w:p>
        </w:tc>
        <w:tc>
          <w:tcPr>
            <w:tcW w:type="dxa" w:w="3135"/>
          </w:tcPr>
          <w:p>
            <w:r/>
            <w:r>
              <w:rPr>
                <w:rFonts w:ascii="Times New Roman" w:hAnsi="Times New Roman"/>
                <w:sz w:val="22"/>
              </w:rPr>
              <w:t>6 años</w:t>
            </w:r>
          </w:p>
        </w:tc>
      </w:tr>
      <w:tr>
        <w:tc>
          <w:tcPr>
            <w:tcW w:type="dxa" w:w="3135"/>
          </w:tcPr>
          <w:p>
            <w:r/>
            <w:r>
              <w:rPr>
                <w:rFonts w:ascii="Times New Roman" w:hAnsi="Times New Roman"/>
                <w:sz w:val="22"/>
              </w:rPr>
              <w:t>Smartphone Android para pruebas</w:t>
            </w:r>
          </w:p>
        </w:tc>
        <w:tc>
          <w:tcPr>
            <w:tcW w:type="dxa" w:w="3135"/>
          </w:tcPr>
          <w:p>
            <w:r/>
            <w:r>
              <w:rPr>
                <w:rFonts w:ascii="Times New Roman" w:hAnsi="Times New Roman"/>
                <w:sz w:val="22"/>
              </w:rPr>
              <w:t>250</w:t>
            </w:r>
          </w:p>
        </w:tc>
        <w:tc>
          <w:tcPr>
            <w:tcW w:type="dxa" w:w="3135"/>
          </w:tcPr>
          <w:p>
            <w:r/>
            <w:r>
              <w:rPr>
                <w:rFonts w:ascii="Times New Roman" w:hAnsi="Times New Roman"/>
                <w:sz w:val="22"/>
              </w:rPr>
              <w:t>4 años</w:t>
            </w:r>
          </w:p>
        </w:tc>
      </w:tr>
      <w:tr>
        <w:tc>
          <w:tcPr>
            <w:tcW w:type="dxa" w:w="3135"/>
          </w:tcPr>
          <w:p>
            <w:r/>
            <w:r>
              <w:rPr>
                <w:rFonts w:ascii="Times New Roman" w:hAnsi="Times New Roman"/>
                <w:sz w:val="22"/>
              </w:rPr>
              <w:t>Periféricos (teclado, ratón)</w:t>
            </w:r>
          </w:p>
        </w:tc>
        <w:tc>
          <w:tcPr>
            <w:tcW w:type="dxa" w:w="3135"/>
          </w:tcPr>
          <w:p>
            <w:r/>
            <w:r>
              <w:rPr>
                <w:rFonts w:ascii="Times New Roman" w:hAnsi="Times New Roman"/>
                <w:sz w:val="22"/>
              </w:rPr>
              <w:t>70</w:t>
            </w:r>
          </w:p>
        </w:tc>
        <w:tc>
          <w:tcPr>
            <w:tcW w:type="dxa" w:w="3135"/>
          </w:tcPr>
          <w:p>
            <w:r/>
            <w:r>
              <w:rPr>
                <w:rFonts w:ascii="Times New Roman" w:hAnsi="Times New Roman"/>
                <w:sz w:val="22"/>
              </w:rPr>
              <w:t>5 años</w:t>
            </w:r>
          </w:p>
        </w:tc>
      </w:tr>
      <w:tr>
        <w:tc>
          <w:tcPr>
            <w:tcW w:type="dxa" w:w="3135"/>
          </w:tcPr>
          <w:p>
            <w:r/>
            <w:r>
              <w:rPr>
                <w:rFonts w:ascii="Times New Roman" w:hAnsi="Times New Roman"/>
                <w:sz w:val="22"/>
              </w:rPr>
              <w:t>Total hardware</w:t>
            </w:r>
          </w:p>
        </w:tc>
        <w:tc>
          <w:tcPr>
            <w:tcW w:type="dxa" w:w="3135"/>
          </w:tcPr>
          <w:p>
            <w:r/>
            <w:r>
              <w:rPr>
                <w:rFonts w:ascii="Times New Roman" w:hAnsi="Times New Roman"/>
                <w:sz w:val="22"/>
              </w:rPr>
              <w:t>1.500</w:t>
            </w:r>
          </w:p>
        </w:tc>
        <w:tc>
          <w:tcPr>
            <w:tcW w:type="dxa" w:w="3135"/>
          </w:tcPr>
          <w:p>
            <w:r/>
            <w:r>
              <w:rPr>
                <w:rFonts w:ascii="Times New Roman" w:hAnsi="Times New Roman"/>
                <w:sz w:val="22"/>
              </w:rPr>
            </w:r>
          </w:p>
        </w:tc>
      </w:tr>
    </w:tbl>
    <w:p/>
    <w:p>
      <w:pPr>
        <w:jc w:val="both"/>
      </w:pPr>
      <w:r>
        <w:rPr>
          <w:rFonts w:ascii="Times New Roman" w:hAnsi="Times New Roman"/>
          <w:b w:val="0"/>
          <w:i w:val="0"/>
          <w:sz w:val="24"/>
        </w:rPr>
        <w:t>Aplicando amortización lineal, el coste imputable al primer año del proyecto es de aproximadamente 375 €.</w:t>
      </w:r>
    </w:p>
    <w:p>
      <w:pPr>
        <w:spacing w:before="240" w:after="120"/>
      </w:pPr>
      <w:r>
        <w:rPr>
          <w:rFonts w:ascii="Times New Roman" w:hAnsi="Times New Roman"/>
          <w:b/>
          <w:sz w:val="26"/>
        </w:rPr>
        <w:t>3.2 Licencias y servicios</w:t>
      </w:r>
    </w:p>
    <w:p>
      <w:pPr>
        <w:jc w:val="both"/>
      </w:pPr>
      <w:r>
        <w:rPr>
          <w:rFonts w:ascii="Times New Roman" w:hAnsi="Times New Roman"/>
          <w:b w:val="0"/>
          <w:i w:val="0"/>
          <w:sz w:val="24"/>
        </w:rPr>
        <w:t>Una de las ventajas de elegir un stack basado en software libre es la práctica inexistencia de costes de licencia. Los costes recurrentes corresponden principalmente a servicios cloud y SaaS de terceros.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Times New Roman" w:hAnsi="Times New Roman"/>
                <w:b/>
                <w:sz w:val="22"/>
              </w:rPr>
              <w:t>Concepto</w:t>
            </w:r>
          </w:p>
        </w:tc>
        <w:tc>
          <w:tcPr>
            <w:tcW w:type="dxa" w:w="3135"/>
          </w:tcPr>
          <w:p>
            <w:r/>
            <w:r>
              <w:rPr>
                <w:rFonts w:ascii="Times New Roman" w:hAnsi="Times New Roman"/>
                <w:b/>
                <w:sz w:val="22"/>
              </w:rPr>
              <w:t>Coste mensual (€)</w:t>
            </w:r>
          </w:p>
        </w:tc>
        <w:tc>
          <w:tcPr>
            <w:tcW w:type="dxa" w:w="3135"/>
          </w:tcPr>
          <w:p>
            <w:r/>
            <w:r>
              <w:rPr>
                <w:rFonts w:ascii="Times New Roman" w:hAnsi="Times New Roman"/>
                <w:b/>
                <w:sz w:val="22"/>
              </w:rPr>
              <w:t>Coste anual (€)</w:t>
            </w:r>
          </w:p>
        </w:tc>
      </w:tr>
      <w:tr>
        <w:tc>
          <w:tcPr>
            <w:tcW w:type="dxa" w:w="3135"/>
          </w:tcPr>
          <w:p>
            <w:r/>
            <w:r>
              <w:rPr>
                <w:rFonts w:ascii="Times New Roman" w:hAnsi="Times New Roman"/>
                <w:sz w:val="22"/>
              </w:rPr>
              <w:t>Railway (hosting backend + PostgreSQL)</w:t>
            </w:r>
          </w:p>
        </w:tc>
        <w:tc>
          <w:tcPr>
            <w:tcW w:type="dxa" w:w="3135"/>
          </w:tcPr>
          <w:p>
            <w:r/>
            <w:r>
              <w:rPr>
                <w:rFonts w:ascii="Times New Roman" w:hAnsi="Times New Roman"/>
                <w:sz w:val="22"/>
              </w:rPr>
              <w:t>5</w:t>
            </w:r>
          </w:p>
        </w:tc>
        <w:tc>
          <w:tcPr>
            <w:tcW w:type="dxa" w:w="3135"/>
          </w:tcPr>
          <w:p>
            <w:r/>
            <w:r>
              <w:rPr>
                <w:rFonts w:ascii="Times New Roman" w:hAnsi="Times New Roman"/>
                <w:sz w:val="22"/>
              </w:rPr>
              <w:t>60</w:t>
            </w:r>
          </w:p>
        </w:tc>
      </w:tr>
      <w:tr>
        <w:tc>
          <w:tcPr>
            <w:tcW w:type="dxa" w:w="3135"/>
          </w:tcPr>
          <w:p>
            <w:r/>
            <w:r>
              <w:rPr>
                <w:rFonts w:ascii="Times New Roman" w:hAnsi="Times New Roman"/>
                <w:sz w:val="22"/>
              </w:rPr>
              <w:t>Dominio .com</w:t>
            </w:r>
          </w:p>
        </w:tc>
        <w:tc>
          <w:tcPr>
            <w:tcW w:type="dxa" w:w="3135"/>
          </w:tcPr>
          <w:p>
            <w:r/>
            <w:r>
              <w:rPr>
                <w:rFonts w:ascii="Times New Roman" w:hAnsi="Times New Roman"/>
                <w:sz w:val="22"/>
              </w:rPr>
              <w:t>–</w:t>
            </w:r>
          </w:p>
        </w:tc>
        <w:tc>
          <w:tcPr>
            <w:tcW w:type="dxa" w:w="3135"/>
          </w:tcPr>
          <w:p>
            <w:r/>
            <w:r>
              <w:rPr>
                <w:rFonts w:ascii="Times New Roman" w:hAnsi="Times New Roman"/>
                <w:sz w:val="22"/>
              </w:rPr>
              <w:t>12</w:t>
            </w:r>
          </w:p>
        </w:tc>
      </w:tr>
      <w:tr>
        <w:tc>
          <w:tcPr>
            <w:tcW w:type="dxa" w:w="3135"/>
          </w:tcPr>
          <w:p>
            <w:r/>
            <w:r>
              <w:rPr>
                <w:rFonts w:ascii="Times New Roman" w:hAnsi="Times New Roman"/>
                <w:sz w:val="22"/>
              </w:rPr>
              <w:t>Cuenta Apple Developer</w:t>
            </w:r>
          </w:p>
        </w:tc>
        <w:tc>
          <w:tcPr>
            <w:tcW w:type="dxa" w:w="3135"/>
          </w:tcPr>
          <w:p>
            <w:r/>
            <w:r>
              <w:rPr>
                <w:rFonts w:ascii="Times New Roman" w:hAnsi="Times New Roman"/>
                <w:sz w:val="22"/>
              </w:rPr>
              <w:t>–</w:t>
            </w:r>
          </w:p>
        </w:tc>
        <w:tc>
          <w:tcPr>
            <w:tcW w:type="dxa" w:w="3135"/>
          </w:tcPr>
          <w:p>
            <w:r/>
            <w:r>
              <w:rPr>
                <w:rFonts w:ascii="Times New Roman" w:hAnsi="Times New Roman"/>
                <w:sz w:val="22"/>
              </w:rPr>
              <w:t>99</w:t>
            </w:r>
          </w:p>
        </w:tc>
      </w:tr>
      <w:tr>
        <w:tc>
          <w:tcPr>
            <w:tcW w:type="dxa" w:w="3135"/>
          </w:tcPr>
          <w:p>
            <w:r/>
            <w:r>
              <w:rPr>
                <w:rFonts w:ascii="Times New Roman" w:hAnsi="Times New Roman"/>
                <w:sz w:val="22"/>
              </w:rPr>
              <w:t>Cuenta Google Play Developer (pago único)</w:t>
            </w:r>
          </w:p>
        </w:tc>
        <w:tc>
          <w:tcPr>
            <w:tcW w:type="dxa" w:w="3135"/>
          </w:tcPr>
          <w:p>
            <w:r/>
            <w:r>
              <w:rPr>
                <w:rFonts w:ascii="Times New Roman" w:hAnsi="Times New Roman"/>
                <w:sz w:val="22"/>
              </w:rPr>
              <w:t>–</w:t>
            </w:r>
          </w:p>
        </w:tc>
        <w:tc>
          <w:tcPr>
            <w:tcW w:type="dxa" w:w="3135"/>
          </w:tcPr>
          <w:p>
            <w:r/>
            <w:r>
              <w:rPr>
                <w:rFonts w:ascii="Times New Roman" w:hAnsi="Times New Roman"/>
                <w:sz w:val="22"/>
              </w:rPr>
              <w:t>25</w:t>
            </w:r>
          </w:p>
        </w:tc>
      </w:tr>
      <w:tr>
        <w:tc>
          <w:tcPr>
            <w:tcW w:type="dxa" w:w="3135"/>
          </w:tcPr>
          <w:p>
            <w:r/>
            <w:r>
              <w:rPr>
                <w:rFonts w:ascii="Times New Roman" w:hAnsi="Times New Roman"/>
                <w:sz w:val="22"/>
              </w:rPr>
              <w:t>Resend (plan gratuito)</w:t>
            </w:r>
          </w:p>
        </w:tc>
        <w:tc>
          <w:tcPr>
            <w:tcW w:type="dxa" w:w="3135"/>
          </w:tcPr>
          <w:p>
            <w:r/>
            <w:r>
              <w:rPr>
                <w:rFonts w:ascii="Times New Roman" w:hAnsi="Times New Roman"/>
                <w:sz w:val="22"/>
              </w:rPr>
              <w:t>0</w:t>
            </w:r>
          </w:p>
        </w:tc>
        <w:tc>
          <w:tcPr>
            <w:tcW w:type="dxa" w:w="3135"/>
          </w:tcPr>
          <w:p>
            <w:r/>
            <w:r>
              <w:rPr>
                <w:rFonts w:ascii="Times New Roman" w:hAnsi="Times New Roman"/>
                <w:sz w:val="22"/>
              </w:rPr>
              <w:t>0</w:t>
            </w:r>
          </w:p>
        </w:tc>
      </w:tr>
      <w:tr>
        <w:tc>
          <w:tcPr>
            <w:tcW w:type="dxa" w:w="3135"/>
          </w:tcPr>
          <w:p>
            <w:r/>
            <w:r>
              <w:rPr>
                <w:rFonts w:ascii="Times New Roman" w:hAnsi="Times New Roman"/>
                <w:sz w:val="22"/>
              </w:rPr>
              <w:t>Google Gemini API (plan gratuito)</w:t>
            </w:r>
          </w:p>
        </w:tc>
        <w:tc>
          <w:tcPr>
            <w:tcW w:type="dxa" w:w="3135"/>
          </w:tcPr>
          <w:p>
            <w:r/>
            <w:r>
              <w:rPr>
                <w:rFonts w:ascii="Times New Roman" w:hAnsi="Times New Roman"/>
                <w:sz w:val="22"/>
              </w:rPr>
              <w:t>0</w:t>
            </w:r>
          </w:p>
        </w:tc>
        <w:tc>
          <w:tcPr>
            <w:tcW w:type="dxa" w:w="3135"/>
          </w:tcPr>
          <w:p>
            <w:r/>
            <w:r>
              <w:rPr>
                <w:rFonts w:ascii="Times New Roman" w:hAnsi="Times New Roman"/>
                <w:sz w:val="22"/>
              </w:rPr>
              <w:t>0</w:t>
            </w:r>
          </w:p>
        </w:tc>
      </w:tr>
      <w:tr>
        <w:tc>
          <w:tcPr>
            <w:tcW w:type="dxa" w:w="3135"/>
          </w:tcPr>
          <w:p>
            <w:r/>
            <w:r>
              <w:rPr>
                <w:rFonts w:ascii="Times New Roman" w:hAnsi="Times New Roman"/>
                <w:sz w:val="22"/>
              </w:rPr>
              <w:t>GitHub (repositorio privado)</w:t>
            </w:r>
          </w:p>
        </w:tc>
        <w:tc>
          <w:tcPr>
            <w:tcW w:type="dxa" w:w="3135"/>
          </w:tcPr>
          <w:p>
            <w:r/>
            <w:r>
              <w:rPr>
                <w:rFonts w:ascii="Times New Roman" w:hAnsi="Times New Roman"/>
                <w:sz w:val="22"/>
              </w:rPr>
              <w:t>0</w:t>
            </w:r>
          </w:p>
        </w:tc>
        <w:tc>
          <w:tcPr>
            <w:tcW w:type="dxa" w:w="3135"/>
          </w:tcPr>
          <w:p>
            <w:r/>
            <w:r>
              <w:rPr>
                <w:rFonts w:ascii="Times New Roman" w:hAnsi="Times New Roman"/>
                <w:sz w:val="22"/>
              </w:rPr>
              <w:t>0</w:t>
            </w:r>
          </w:p>
        </w:tc>
      </w:tr>
      <w:tr>
        <w:tc>
          <w:tcPr>
            <w:tcW w:type="dxa" w:w="3135"/>
          </w:tcPr>
          <w:p>
            <w:r/>
            <w:r>
              <w:rPr>
                <w:rFonts w:ascii="Times New Roman" w:hAnsi="Times New Roman"/>
                <w:sz w:val="22"/>
              </w:rPr>
              <w:t>Expo EAS Build (plan gratuito)</w:t>
            </w:r>
          </w:p>
        </w:tc>
        <w:tc>
          <w:tcPr>
            <w:tcW w:type="dxa" w:w="3135"/>
          </w:tcPr>
          <w:p>
            <w:r/>
            <w:r>
              <w:rPr>
                <w:rFonts w:ascii="Times New Roman" w:hAnsi="Times New Roman"/>
                <w:sz w:val="22"/>
              </w:rPr>
              <w:t>0</w:t>
            </w:r>
          </w:p>
        </w:tc>
        <w:tc>
          <w:tcPr>
            <w:tcW w:type="dxa" w:w="3135"/>
          </w:tcPr>
          <w:p>
            <w:r/>
            <w:r>
              <w:rPr>
                <w:rFonts w:ascii="Times New Roman" w:hAnsi="Times New Roman"/>
                <w:sz w:val="22"/>
              </w:rPr>
              <w:t>0</w:t>
            </w:r>
          </w:p>
        </w:tc>
      </w:tr>
      <w:tr>
        <w:tc>
          <w:tcPr>
            <w:tcW w:type="dxa" w:w="3135"/>
          </w:tcPr>
          <w:p>
            <w:r/>
            <w:r>
              <w:rPr>
                <w:rFonts w:ascii="Times New Roman" w:hAnsi="Times New Roman"/>
                <w:sz w:val="22"/>
              </w:rPr>
              <w:t>Total año 1</w:t>
            </w:r>
          </w:p>
        </w:tc>
        <w:tc>
          <w:tcPr>
            <w:tcW w:type="dxa" w:w="3135"/>
          </w:tcPr>
          <w:p>
            <w:r/>
            <w:r>
              <w:rPr>
                <w:rFonts w:ascii="Times New Roman" w:hAnsi="Times New Roman"/>
                <w:sz w:val="22"/>
              </w:rPr>
            </w:r>
          </w:p>
        </w:tc>
        <w:tc>
          <w:tcPr>
            <w:tcW w:type="dxa" w:w="3135"/>
          </w:tcPr>
          <w:p>
            <w:r/>
            <w:r>
              <w:rPr>
                <w:rFonts w:ascii="Times New Roman" w:hAnsi="Times New Roman"/>
                <w:sz w:val="22"/>
              </w:rPr>
              <w:t>196</w:t>
            </w:r>
          </w:p>
        </w:tc>
      </w:tr>
    </w:tbl>
    <w:p/>
    <w:p>
      <w:pPr>
        <w:jc w:val="both"/>
      </w:pPr>
      <w:r>
        <w:rPr>
          <w:rFonts w:ascii="Times New Roman" w:hAnsi="Times New Roman"/>
          <w:b w:val="0"/>
          <w:i w:val="0"/>
          <w:sz w:val="24"/>
        </w:rPr>
        <w:t>A medida que la plataforma escale, será necesario migrar a planes de pago. Para el segundo año se estima un coste anual de servicios de aproximadamente 850 €.</w:t>
      </w:r>
    </w:p>
    <w:p>
      <w:pPr>
        <w:spacing w:before="240" w:after="120"/>
      </w:pPr>
      <w:r>
        <w:rPr>
          <w:rFonts w:ascii="Times New Roman" w:hAnsi="Times New Roman"/>
          <w:b/>
          <w:sz w:val="26"/>
        </w:rPr>
        <w:t>3.3 Personal</w:t>
      </w:r>
    </w:p>
    <w:p>
      <w:pPr>
        <w:jc w:val="both"/>
      </w:pPr>
      <w:r>
        <w:rPr>
          <w:rFonts w:ascii="Times New Roman" w:hAnsi="Times New Roman"/>
          <w:b w:val="0"/>
          <w:i w:val="0"/>
          <w:sz w:val="24"/>
        </w:rPr>
        <w:t>Durante la fase inicial el desarrollo lo asume el promotor del proyecto. El coste del personal se valora a precio de mercado para poder construir un análisis de viabilidad realista, aunque en la práctica se trate de horas autoaplicadas.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2"/>
              </w:rPr>
              <w:t>Rol</w:t>
            </w:r>
          </w:p>
        </w:tc>
        <w:tc>
          <w:tcPr>
            <w:tcW w:type="dxa" w:w="2351"/>
          </w:tcPr>
          <w:p>
            <w:r/>
            <w:r>
              <w:rPr>
                <w:rFonts w:ascii="Times New Roman" w:hAnsi="Times New Roman"/>
                <w:b/>
                <w:sz w:val="22"/>
              </w:rPr>
              <w:t>Horas</w:t>
            </w:r>
          </w:p>
        </w:tc>
        <w:tc>
          <w:tcPr>
            <w:tcW w:type="dxa" w:w="2351"/>
          </w:tcPr>
          <w:p>
            <w:r/>
            <w:r>
              <w:rPr>
                <w:rFonts w:ascii="Times New Roman" w:hAnsi="Times New Roman"/>
                <w:b/>
                <w:sz w:val="22"/>
              </w:rPr>
              <w:t>€/h</w:t>
            </w:r>
          </w:p>
        </w:tc>
        <w:tc>
          <w:tcPr>
            <w:tcW w:type="dxa" w:w="2351"/>
          </w:tcPr>
          <w:p>
            <w:r/>
            <w:r>
              <w:rPr>
                <w:rFonts w:ascii="Times New Roman" w:hAnsi="Times New Roman"/>
                <w:b/>
                <w:sz w:val="22"/>
              </w:rPr>
              <w:t>Coste total (€)</w:t>
            </w:r>
          </w:p>
        </w:tc>
      </w:tr>
      <w:tr>
        <w:tc>
          <w:tcPr>
            <w:tcW w:type="dxa" w:w="2351"/>
          </w:tcPr>
          <w:p>
            <w:r/>
            <w:r>
              <w:rPr>
                <w:rFonts w:ascii="Times New Roman" w:hAnsi="Times New Roman"/>
                <w:sz w:val="22"/>
              </w:rPr>
              <w:t>Desarrollador full-stack</w:t>
            </w:r>
          </w:p>
        </w:tc>
        <w:tc>
          <w:tcPr>
            <w:tcW w:type="dxa" w:w="2351"/>
          </w:tcPr>
          <w:p>
            <w:r/>
            <w:r>
              <w:rPr>
                <w:rFonts w:ascii="Times New Roman" w:hAnsi="Times New Roman"/>
                <w:sz w:val="22"/>
              </w:rPr>
              <w:t>600</w:t>
            </w:r>
          </w:p>
        </w:tc>
        <w:tc>
          <w:tcPr>
            <w:tcW w:type="dxa" w:w="2351"/>
          </w:tcPr>
          <w:p>
            <w:r/>
            <w:r>
              <w:rPr>
                <w:rFonts w:ascii="Times New Roman" w:hAnsi="Times New Roman"/>
                <w:sz w:val="22"/>
              </w:rPr>
              <w:t>25</w:t>
            </w:r>
          </w:p>
        </w:tc>
        <w:tc>
          <w:tcPr>
            <w:tcW w:type="dxa" w:w="2351"/>
          </w:tcPr>
          <w:p>
            <w:r/>
            <w:r>
              <w:rPr>
                <w:rFonts w:ascii="Times New Roman" w:hAnsi="Times New Roman"/>
                <w:sz w:val="22"/>
              </w:rPr>
              <w:t>15.000</w:t>
            </w:r>
          </w:p>
        </w:tc>
      </w:tr>
      <w:tr>
        <w:tc>
          <w:tcPr>
            <w:tcW w:type="dxa" w:w="2351"/>
          </w:tcPr>
          <w:p>
            <w:r/>
            <w:r>
              <w:rPr>
                <w:rFonts w:ascii="Times New Roman" w:hAnsi="Times New Roman"/>
                <w:sz w:val="22"/>
              </w:rPr>
              <w:t>Diseñador UX/UI (puntual)</w:t>
            </w:r>
          </w:p>
        </w:tc>
        <w:tc>
          <w:tcPr>
            <w:tcW w:type="dxa" w:w="2351"/>
          </w:tcPr>
          <w:p>
            <w:r/>
            <w:r>
              <w:rPr>
                <w:rFonts w:ascii="Times New Roman" w:hAnsi="Times New Roman"/>
                <w:sz w:val="22"/>
              </w:rPr>
              <w:t>30</w:t>
            </w:r>
          </w:p>
        </w:tc>
        <w:tc>
          <w:tcPr>
            <w:tcW w:type="dxa" w:w="2351"/>
          </w:tcPr>
          <w:p>
            <w:r/>
            <w:r>
              <w:rPr>
                <w:rFonts w:ascii="Times New Roman" w:hAnsi="Times New Roman"/>
                <w:sz w:val="22"/>
              </w:rPr>
              <w:t>35</w:t>
            </w:r>
          </w:p>
        </w:tc>
        <w:tc>
          <w:tcPr>
            <w:tcW w:type="dxa" w:w="2351"/>
          </w:tcPr>
          <w:p>
            <w:r/>
            <w:r>
              <w:rPr>
                <w:rFonts w:ascii="Times New Roman" w:hAnsi="Times New Roman"/>
                <w:sz w:val="22"/>
              </w:rPr>
              <w:t>1.050</w:t>
            </w:r>
          </w:p>
        </w:tc>
      </w:tr>
      <w:tr>
        <w:tc>
          <w:tcPr>
            <w:tcW w:type="dxa" w:w="2351"/>
          </w:tcPr>
          <w:p>
            <w:r/>
            <w:r>
              <w:rPr>
                <w:rFonts w:ascii="Times New Roman" w:hAnsi="Times New Roman"/>
                <w:sz w:val="22"/>
              </w:rPr>
              <w:t>Asesoría legal (constitución, RGPD)</w:t>
            </w:r>
          </w:p>
        </w:tc>
        <w:tc>
          <w:tcPr>
            <w:tcW w:type="dxa" w:w="2351"/>
          </w:tcPr>
          <w:p>
            <w:r/>
            <w:r>
              <w:rPr>
                <w:rFonts w:ascii="Times New Roman" w:hAnsi="Times New Roman"/>
                <w:sz w:val="22"/>
              </w:rPr>
              <w:t>8</w:t>
            </w:r>
          </w:p>
        </w:tc>
        <w:tc>
          <w:tcPr>
            <w:tcW w:type="dxa" w:w="2351"/>
          </w:tcPr>
          <w:p>
            <w:r/>
            <w:r>
              <w:rPr>
                <w:rFonts w:ascii="Times New Roman" w:hAnsi="Times New Roman"/>
                <w:sz w:val="22"/>
              </w:rPr>
              <w:t>80</w:t>
            </w:r>
          </w:p>
        </w:tc>
        <w:tc>
          <w:tcPr>
            <w:tcW w:type="dxa" w:w="2351"/>
          </w:tcPr>
          <w:p>
            <w:r/>
            <w:r>
              <w:rPr>
                <w:rFonts w:ascii="Times New Roman" w:hAnsi="Times New Roman"/>
                <w:sz w:val="22"/>
              </w:rPr>
              <w:t>640</w:t>
            </w:r>
          </w:p>
        </w:tc>
      </w:tr>
      <w:tr>
        <w:tc>
          <w:tcPr>
            <w:tcW w:type="dxa" w:w="2351"/>
          </w:tcPr>
          <w:p>
            <w:r/>
            <w:r>
              <w:rPr>
                <w:rFonts w:ascii="Times New Roman" w:hAnsi="Times New Roman"/>
                <w:sz w:val="22"/>
              </w:rPr>
              <w:t>Asesoría fiscal (anual)</w:t>
            </w:r>
          </w:p>
        </w:tc>
        <w:tc>
          <w:tcPr>
            <w:tcW w:type="dxa" w:w="2351"/>
          </w:tcPr>
          <w:p>
            <w:r/>
            <w:r>
              <w:rPr>
                <w:rFonts w:ascii="Times New Roman" w:hAnsi="Times New Roman"/>
                <w:sz w:val="22"/>
              </w:rPr>
              <w:t>–</w:t>
            </w:r>
          </w:p>
        </w:tc>
        <w:tc>
          <w:tcPr>
            <w:tcW w:type="dxa" w:w="2351"/>
          </w:tcPr>
          <w:p>
            <w:r/>
            <w:r>
              <w:rPr>
                <w:rFonts w:ascii="Times New Roman" w:hAnsi="Times New Roman"/>
                <w:sz w:val="22"/>
              </w:rPr>
              <w:t>–</w:t>
            </w:r>
          </w:p>
        </w:tc>
        <w:tc>
          <w:tcPr>
            <w:tcW w:type="dxa" w:w="2351"/>
          </w:tcPr>
          <w:p>
            <w:r/>
            <w:r>
              <w:rPr>
                <w:rFonts w:ascii="Times New Roman" w:hAnsi="Times New Roman"/>
                <w:sz w:val="22"/>
              </w:rPr>
              <w:t>720</w:t>
            </w:r>
          </w:p>
        </w:tc>
      </w:tr>
      <w:tr>
        <w:tc>
          <w:tcPr>
            <w:tcW w:type="dxa" w:w="2351"/>
          </w:tcPr>
          <w:p>
            <w:r/>
            <w:r>
              <w:rPr>
                <w:rFonts w:ascii="Times New Roman" w:hAnsi="Times New Roman"/>
                <w:sz w:val="22"/>
              </w:rPr>
              <w:t>Total personal año 1</w:t>
            </w:r>
          </w:p>
        </w:tc>
        <w:tc>
          <w:tcPr>
            <w:tcW w:type="dxa" w:w="2351"/>
          </w:tcPr>
          <w:p>
            <w:r/>
            <w:r>
              <w:rPr>
                <w:rFonts w:ascii="Times New Roman" w:hAnsi="Times New Roman"/>
                <w:sz w:val="22"/>
              </w:rPr>
            </w:r>
          </w:p>
        </w:tc>
        <w:tc>
          <w:tcPr>
            <w:tcW w:type="dxa" w:w="2351"/>
          </w:tcPr>
          <w:p>
            <w:r/>
            <w:r>
              <w:rPr>
                <w:rFonts w:ascii="Times New Roman" w:hAnsi="Times New Roman"/>
                <w:sz w:val="22"/>
              </w:rPr>
            </w:r>
          </w:p>
        </w:tc>
        <w:tc>
          <w:tcPr>
            <w:tcW w:type="dxa" w:w="2351"/>
          </w:tcPr>
          <w:p>
            <w:r/>
            <w:r>
              <w:rPr>
                <w:rFonts w:ascii="Times New Roman" w:hAnsi="Times New Roman"/>
                <w:sz w:val="22"/>
              </w:rPr>
              <w:t>17.410</w:t>
            </w:r>
          </w:p>
        </w:tc>
      </w:tr>
    </w:tbl>
    <w:p/>
    <w:p>
      <w:pPr>
        <w:spacing w:before="240" w:after="120"/>
      </w:pPr>
      <w:r>
        <w:rPr>
          <w:rFonts w:ascii="Times New Roman" w:hAnsi="Times New Roman"/>
          <w:b/>
          <w:sz w:val="26"/>
        </w:rPr>
        <w:t>3.4 Costes de mantenimiento</w:t>
      </w:r>
    </w:p>
    <w:p>
      <w:pPr>
        <w:jc w:val="both"/>
      </w:pPr>
      <w:r>
        <w:rPr>
          <w:rFonts w:ascii="Times New Roman" w:hAnsi="Times New Roman"/>
          <w:b w:val="0"/>
          <w:i w:val="0"/>
          <w:sz w:val="24"/>
        </w:rPr>
        <w:t>Una vez la plataforma está en producción, el mantenimiento incluye actualizaciones de dependencias, corrección de bugs, atención a incidencias de clientes y desarrollo evolutivo. Para el primer año se estima una dedicación media de 8 horas semanales (aproximadamente 384 horas anuales), lo que supone un coste de 9.600 €. A esto se suma el coste creciente de la infraestructura cloud (estimado en 600 € adicionales).</w:t>
      </w:r>
    </w:p>
    <w:p>
      <w:pPr>
        <w:spacing w:before="160" w:after="80"/>
      </w:pPr>
      <w:r>
        <w:rPr>
          <w:rFonts w:ascii="Times New Roman" w:hAnsi="Times New Roman"/>
          <w:b/>
          <w:i/>
          <w:sz w:val="24"/>
        </w:rPr>
        <w:t>Resumen económico año 1</w:t>
      </w:r>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rFonts w:ascii="Times New Roman" w:hAnsi="Times New Roman"/>
                <w:b/>
                <w:sz w:val="22"/>
              </w:rPr>
              <w:t>Concepto</w:t>
            </w:r>
          </w:p>
        </w:tc>
        <w:tc>
          <w:tcPr>
            <w:tcW w:type="dxa" w:w="4703"/>
          </w:tcPr>
          <w:p>
            <w:r/>
            <w:r>
              <w:rPr>
                <w:rFonts w:ascii="Times New Roman" w:hAnsi="Times New Roman"/>
                <w:b/>
                <w:sz w:val="22"/>
              </w:rPr>
              <w:t>Importe (€)</w:t>
            </w:r>
          </w:p>
        </w:tc>
      </w:tr>
      <w:tr>
        <w:tc>
          <w:tcPr>
            <w:tcW w:type="dxa" w:w="4703"/>
          </w:tcPr>
          <w:p>
            <w:r/>
            <w:r>
              <w:rPr>
                <w:rFonts w:ascii="Times New Roman" w:hAnsi="Times New Roman"/>
                <w:sz w:val="22"/>
              </w:rPr>
              <w:t>Amortización hardware</w:t>
            </w:r>
          </w:p>
        </w:tc>
        <w:tc>
          <w:tcPr>
            <w:tcW w:type="dxa" w:w="4703"/>
          </w:tcPr>
          <w:p>
            <w:r/>
            <w:r>
              <w:rPr>
                <w:rFonts w:ascii="Times New Roman" w:hAnsi="Times New Roman"/>
                <w:sz w:val="22"/>
              </w:rPr>
              <w:t>375</w:t>
            </w:r>
          </w:p>
        </w:tc>
      </w:tr>
      <w:tr>
        <w:tc>
          <w:tcPr>
            <w:tcW w:type="dxa" w:w="4703"/>
          </w:tcPr>
          <w:p>
            <w:r/>
            <w:r>
              <w:rPr>
                <w:rFonts w:ascii="Times New Roman" w:hAnsi="Times New Roman"/>
                <w:sz w:val="22"/>
              </w:rPr>
              <w:t>Licencias y servicios</w:t>
            </w:r>
          </w:p>
        </w:tc>
        <w:tc>
          <w:tcPr>
            <w:tcW w:type="dxa" w:w="4703"/>
          </w:tcPr>
          <w:p>
            <w:r/>
            <w:r>
              <w:rPr>
                <w:rFonts w:ascii="Times New Roman" w:hAnsi="Times New Roman"/>
                <w:sz w:val="22"/>
              </w:rPr>
              <w:t>196</w:t>
            </w:r>
          </w:p>
        </w:tc>
      </w:tr>
      <w:tr>
        <w:tc>
          <w:tcPr>
            <w:tcW w:type="dxa" w:w="4703"/>
          </w:tcPr>
          <w:p>
            <w:r/>
            <w:r>
              <w:rPr>
                <w:rFonts w:ascii="Times New Roman" w:hAnsi="Times New Roman"/>
                <w:sz w:val="22"/>
              </w:rPr>
              <w:t>Personal desarrollo</w:t>
            </w:r>
          </w:p>
        </w:tc>
        <w:tc>
          <w:tcPr>
            <w:tcW w:type="dxa" w:w="4703"/>
          </w:tcPr>
          <w:p>
            <w:r/>
            <w:r>
              <w:rPr>
                <w:rFonts w:ascii="Times New Roman" w:hAnsi="Times New Roman"/>
                <w:sz w:val="22"/>
              </w:rPr>
              <w:t>17.410</w:t>
            </w:r>
          </w:p>
        </w:tc>
      </w:tr>
      <w:tr>
        <w:tc>
          <w:tcPr>
            <w:tcW w:type="dxa" w:w="4703"/>
          </w:tcPr>
          <w:p>
            <w:r/>
            <w:r>
              <w:rPr>
                <w:rFonts w:ascii="Times New Roman" w:hAnsi="Times New Roman"/>
                <w:sz w:val="22"/>
              </w:rPr>
              <w:t>Personal mantenimiento (medio año)</w:t>
            </w:r>
          </w:p>
        </w:tc>
        <w:tc>
          <w:tcPr>
            <w:tcW w:type="dxa" w:w="4703"/>
          </w:tcPr>
          <w:p>
            <w:r/>
            <w:r>
              <w:rPr>
                <w:rFonts w:ascii="Times New Roman" w:hAnsi="Times New Roman"/>
                <w:sz w:val="22"/>
              </w:rPr>
              <w:t>4.800</w:t>
            </w:r>
          </w:p>
        </w:tc>
      </w:tr>
      <w:tr>
        <w:tc>
          <w:tcPr>
            <w:tcW w:type="dxa" w:w="4703"/>
          </w:tcPr>
          <w:p>
            <w:r/>
            <w:r>
              <w:rPr>
                <w:rFonts w:ascii="Times New Roman" w:hAnsi="Times New Roman"/>
                <w:sz w:val="22"/>
              </w:rPr>
              <w:t>Total año 1</w:t>
            </w:r>
          </w:p>
        </w:tc>
        <w:tc>
          <w:tcPr>
            <w:tcW w:type="dxa" w:w="4703"/>
          </w:tcPr>
          <w:p>
            <w:r/>
            <w:r>
              <w:rPr>
                <w:rFonts w:ascii="Times New Roman" w:hAnsi="Times New Roman"/>
                <w:sz w:val="22"/>
              </w:rPr>
              <w:t>22.781</w:t>
            </w:r>
          </w:p>
        </w:tc>
      </w:tr>
    </w:tbl>
    <w:p/>
    <w:p>
      <w:r>
        <w:br w:type="page"/>
      </w:r>
    </w:p>
    <w:p>
      <w:pPr>
        <w:spacing w:before="240" w:after="240"/>
        <w:jc w:val="left"/>
      </w:pPr>
      <w:r>
        <w:rPr>
          <w:rFonts w:ascii="Times New Roman" w:hAnsi="Times New Roman"/>
          <w:b/>
          <w:sz w:val="32"/>
        </w:rPr>
        <w:t>4. VIABILIDAD DEL PROYECTO</w:t>
      </w:r>
    </w:p>
    <w:p>
      <w:pPr>
        <w:jc w:val="both"/>
      </w:pPr>
      <w:r>
        <w:rPr>
          <w:rFonts w:ascii="Times New Roman" w:hAnsi="Times New Roman"/>
          <w:b w:val="0"/>
          <w:i w:val="0"/>
          <w:sz w:val="24"/>
        </w:rPr>
        <w:t>El análisis de viabilidad se aborda desde tres dimensiones complementarias: viabilidad técnica, viabilidad económica y viabilidad de mercado.</w:t>
      </w:r>
    </w:p>
    <w:p>
      <w:pPr>
        <w:spacing w:before="160" w:after="80"/>
      </w:pPr>
      <w:r>
        <w:rPr>
          <w:rFonts w:ascii="Times New Roman" w:hAnsi="Times New Roman"/>
          <w:b/>
          <w:i/>
          <w:sz w:val="24"/>
        </w:rPr>
        <w:t>Viabilidad técnica</w:t>
      </w:r>
    </w:p>
    <w:p>
      <w:pPr>
        <w:jc w:val="both"/>
      </w:pPr>
      <w:r>
        <w:rPr>
          <w:rFonts w:ascii="Times New Roman" w:hAnsi="Times New Roman"/>
          <w:b w:val="0"/>
          <w:i w:val="0"/>
          <w:sz w:val="24"/>
        </w:rPr>
        <w:t>La viabilidad técnica está demostrada porque la plataforma se ha desarrollado y desplegado en producción. La aplicación está accesible públicamente en solveit-app-production.up.railway.app y la versión móvil es instalable mediante un APK generado con EAS Build de Expo. El stack elegido es maduro y existe abundante documentación oficial y comunitaria. La arquitectura multi-tenant basada en company_id por fila ha sido validada con dos empresas en paralelo (SolveIT Demo y LKS Next) sin fugas de información entre tenants.</w:t>
      </w:r>
    </w:p>
    <w:p>
      <w:pPr>
        <w:spacing w:before="160" w:after="80"/>
      </w:pPr>
      <w:r>
        <w:rPr>
          <w:rFonts w:ascii="Times New Roman" w:hAnsi="Times New Roman"/>
          <w:b/>
          <w:i/>
          <w:sz w:val="24"/>
        </w:rPr>
        <w:t>Viabilidad económica</w:t>
      </w:r>
    </w:p>
    <w:p>
      <w:pPr>
        <w:jc w:val="both"/>
      </w:pPr>
      <w:r>
        <w:rPr>
          <w:rFonts w:ascii="Times New Roman" w:hAnsi="Times New Roman"/>
          <w:b w:val="0"/>
          <w:i w:val="0"/>
          <w:sz w:val="24"/>
        </w:rPr>
        <w:t>Para evaluar la viabilidad económica se ha construido un modelo de proyección a tres años con tres planes comerciales: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2"/>
              </w:rPr>
              <w:t>Plan</w:t>
            </w:r>
          </w:p>
        </w:tc>
        <w:tc>
          <w:tcPr>
            <w:tcW w:type="dxa" w:w="2351"/>
          </w:tcPr>
          <w:p>
            <w:r/>
            <w:r>
              <w:rPr>
                <w:rFonts w:ascii="Times New Roman" w:hAnsi="Times New Roman"/>
                <w:b/>
                <w:sz w:val="22"/>
              </w:rPr>
              <w:t>Precio (€/mes)</w:t>
            </w:r>
          </w:p>
        </w:tc>
        <w:tc>
          <w:tcPr>
            <w:tcW w:type="dxa" w:w="2351"/>
          </w:tcPr>
          <w:p>
            <w:r/>
            <w:r>
              <w:rPr>
                <w:rFonts w:ascii="Times New Roman" w:hAnsi="Times New Roman"/>
                <w:b/>
                <w:sz w:val="22"/>
              </w:rPr>
              <w:t>Usuarios</w:t>
            </w:r>
          </w:p>
        </w:tc>
        <w:tc>
          <w:tcPr>
            <w:tcW w:type="dxa" w:w="2351"/>
          </w:tcPr>
          <w:p>
            <w:r/>
            <w:r>
              <w:rPr>
                <w:rFonts w:ascii="Times New Roman" w:hAnsi="Times New Roman"/>
                <w:b/>
                <w:sz w:val="22"/>
              </w:rPr>
              <w:t>Funcionalidades</w:t>
            </w:r>
          </w:p>
        </w:tc>
      </w:tr>
      <w:tr>
        <w:tc>
          <w:tcPr>
            <w:tcW w:type="dxa" w:w="2351"/>
          </w:tcPr>
          <w:p>
            <w:r/>
            <w:r>
              <w:rPr>
                <w:rFonts w:ascii="Times New Roman" w:hAnsi="Times New Roman"/>
                <w:sz w:val="22"/>
              </w:rPr>
              <w:t>Basic</w:t>
            </w:r>
          </w:p>
        </w:tc>
        <w:tc>
          <w:tcPr>
            <w:tcW w:type="dxa" w:w="2351"/>
          </w:tcPr>
          <w:p>
            <w:r/>
            <w:r>
              <w:rPr>
                <w:rFonts w:ascii="Times New Roman" w:hAnsi="Times New Roman"/>
                <w:sz w:val="22"/>
              </w:rPr>
              <w:t>19</w:t>
            </w:r>
          </w:p>
        </w:tc>
        <w:tc>
          <w:tcPr>
            <w:tcW w:type="dxa" w:w="2351"/>
          </w:tcPr>
          <w:p>
            <w:r/>
            <w:r>
              <w:rPr>
                <w:rFonts w:ascii="Times New Roman" w:hAnsi="Times New Roman"/>
                <w:sz w:val="22"/>
              </w:rPr>
              <w:t>Hasta 10</w:t>
            </w:r>
          </w:p>
        </w:tc>
        <w:tc>
          <w:tcPr>
            <w:tcW w:type="dxa" w:w="2351"/>
          </w:tcPr>
          <w:p>
            <w:r/>
            <w:r>
              <w:rPr>
                <w:rFonts w:ascii="Times New Roman" w:hAnsi="Times New Roman"/>
                <w:sz w:val="22"/>
              </w:rPr>
              <w:t>Tickets, KB, foro</w:t>
            </w:r>
          </w:p>
        </w:tc>
      </w:tr>
      <w:tr>
        <w:tc>
          <w:tcPr>
            <w:tcW w:type="dxa" w:w="2351"/>
          </w:tcPr>
          <w:p>
            <w:r/>
            <w:r>
              <w:rPr>
                <w:rFonts w:ascii="Times New Roman" w:hAnsi="Times New Roman"/>
                <w:sz w:val="22"/>
              </w:rPr>
              <w:t>Pro</w:t>
            </w:r>
          </w:p>
        </w:tc>
        <w:tc>
          <w:tcPr>
            <w:tcW w:type="dxa" w:w="2351"/>
          </w:tcPr>
          <w:p>
            <w:r/>
            <w:r>
              <w:rPr>
                <w:rFonts w:ascii="Times New Roman" w:hAnsi="Times New Roman"/>
                <w:sz w:val="22"/>
              </w:rPr>
              <w:t>49</w:t>
            </w:r>
          </w:p>
        </w:tc>
        <w:tc>
          <w:tcPr>
            <w:tcW w:type="dxa" w:w="2351"/>
          </w:tcPr>
          <w:p>
            <w:r/>
            <w:r>
              <w:rPr>
                <w:rFonts w:ascii="Times New Roman" w:hAnsi="Times New Roman"/>
                <w:sz w:val="22"/>
              </w:rPr>
              <w:t>Hasta 50</w:t>
            </w:r>
          </w:p>
        </w:tc>
        <w:tc>
          <w:tcPr>
            <w:tcW w:type="dxa" w:w="2351"/>
          </w:tcPr>
          <w:p>
            <w:r/>
            <w:r>
              <w:rPr>
                <w:rFonts w:ascii="Times New Roman" w:hAnsi="Times New Roman"/>
                <w:sz w:val="22"/>
              </w:rPr>
              <w:t>+ IA, dashboard avanzado</w:t>
            </w:r>
          </w:p>
        </w:tc>
      </w:tr>
      <w:tr>
        <w:tc>
          <w:tcPr>
            <w:tcW w:type="dxa" w:w="2351"/>
          </w:tcPr>
          <w:p>
            <w:r/>
            <w:r>
              <w:rPr>
                <w:rFonts w:ascii="Times New Roman" w:hAnsi="Times New Roman"/>
                <w:sz w:val="22"/>
              </w:rPr>
              <w:t>Enterprise</w:t>
            </w:r>
          </w:p>
        </w:tc>
        <w:tc>
          <w:tcPr>
            <w:tcW w:type="dxa" w:w="2351"/>
          </w:tcPr>
          <w:p>
            <w:r/>
            <w:r>
              <w:rPr>
                <w:rFonts w:ascii="Times New Roman" w:hAnsi="Times New Roman"/>
                <w:sz w:val="22"/>
              </w:rPr>
              <w:t>149</w:t>
            </w:r>
          </w:p>
        </w:tc>
        <w:tc>
          <w:tcPr>
            <w:tcW w:type="dxa" w:w="2351"/>
          </w:tcPr>
          <w:p>
            <w:r/>
            <w:r>
              <w:rPr>
                <w:rFonts w:ascii="Times New Roman" w:hAnsi="Times New Roman"/>
                <w:sz w:val="22"/>
              </w:rPr>
              <w:t>Ilimitado</w:t>
            </w:r>
          </w:p>
        </w:tc>
        <w:tc>
          <w:tcPr>
            <w:tcW w:type="dxa" w:w="2351"/>
          </w:tcPr>
          <w:p>
            <w:r/>
            <w:r>
              <w:rPr>
                <w:rFonts w:ascii="Times New Roman" w:hAnsi="Times New Roman"/>
                <w:sz w:val="22"/>
              </w:rPr>
              <w:t>+ SLA, soporte prioritario</w:t>
            </w:r>
          </w:p>
        </w:tc>
      </w:tr>
    </w:tbl>
    <w:p/>
    <w:p>
      <w:pPr>
        <w:spacing w:before="160" w:after="80"/>
      </w:pPr>
      <w:r>
        <w:rPr>
          <w:rFonts w:ascii="Times New Roman" w:hAnsi="Times New Roman"/>
          <w:b/>
          <w:i/>
          <w:sz w:val="24"/>
        </w:rPr>
        <w:t>Proyección a 3 años (escenario realista)</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
              <w:rPr>
                <w:rFonts w:ascii="Times New Roman" w:hAnsi="Times New Roman"/>
                <w:b/>
                <w:sz w:val="22"/>
              </w:rPr>
              <w:t>Año</w:t>
            </w:r>
          </w:p>
        </w:tc>
        <w:tc>
          <w:tcPr>
            <w:tcW w:type="dxa" w:w="1881"/>
          </w:tcPr>
          <w:p>
            <w:r/>
            <w:r>
              <w:rPr>
                <w:rFonts w:ascii="Times New Roman" w:hAnsi="Times New Roman"/>
                <w:b/>
                <w:sz w:val="22"/>
              </w:rPr>
              <w:t>Clientes</w:t>
            </w:r>
          </w:p>
        </w:tc>
        <w:tc>
          <w:tcPr>
            <w:tcW w:type="dxa" w:w="1881"/>
          </w:tcPr>
          <w:p>
            <w:r/>
            <w:r>
              <w:rPr>
                <w:rFonts w:ascii="Times New Roman" w:hAnsi="Times New Roman"/>
                <w:b/>
                <w:sz w:val="22"/>
              </w:rPr>
              <w:t>Ingresos (€)</w:t>
            </w:r>
          </w:p>
        </w:tc>
        <w:tc>
          <w:tcPr>
            <w:tcW w:type="dxa" w:w="1881"/>
          </w:tcPr>
          <w:p>
            <w:r/>
            <w:r>
              <w:rPr>
                <w:rFonts w:ascii="Times New Roman" w:hAnsi="Times New Roman"/>
                <w:b/>
                <w:sz w:val="22"/>
              </w:rPr>
              <w:t>Costes (€)</w:t>
            </w:r>
          </w:p>
        </w:tc>
        <w:tc>
          <w:tcPr>
            <w:tcW w:type="dxa" w:w="1881"/>
          </w:tcPr>
          <w:p>
            <w:r/>
            <w:r>
              <w:rPr>
                <w:rFonts w:ascii="Times New Roman" w:hAnsi="Times New Roman"/>
                <w:b/>
                <w:sz w:val="22"/>
              </w:rPr>
              <w:t>Resultado (€)</w:t>
            </w:r>
          </w:p>
        </w:tc>
      </w:tr>
      <w:tr>
        <w:tc>
          <w:tcPr>
            <w:tcW w:type="dxa" w:w="1881"/>
          </w:tcPr>
          <w:p>
            <w:r/>
            <w:r>
              <w:rPr>
                <w:rFonts w:ascii="Times New Roman" w:hAnsi="Times New Roman"/>
                <w:sz w:val="22"/>
              </w:rPr>
              <w:t>1</w:t>
            </w:r>
          </w:p>
        </w:tc>
        <w:tc>
          <w:tcPr>
            <w:tcW w:type="dxa" w:w="1881"/>
          </w:tcPr>
          <w:p>
            <w:r/>
            <w:r>
              <w:rPr>
                <w:rFonts w:ascii="Times New Roman" w:hAnsi="Times New Roman"/>
                <w:sz w:val="22"/>
              </w:rPr>
              <w:t>8</w:t>
            </w:r>
          </w:p>
        </w:tc>
        <w:tc>
          <w:tcPr>
            <w:tcW w:type="dxa" w:w="1881"/>
          </w:tcPr>
          <w:p>
            <w:r/>
            <w:r>
              <w:rPr>
                <w:rFonts w:ascii="Times New Roman" w:hAnsi="Times New Roman"/>
                <w:sz w:val="22"/>
              </w:rPr>
              <w:t>4.500</w:t>
            </w:r>
          </w:p>
        </w:tc>
        <w:tc>
          <w:tcPr>
            <w:tcW w:type="dxa" w:w="1881"/>
          </w:tcPr>
          <w:p>
            <w:r/>
            <w:r>
              <w:rPr>
                <w:rFonts w:ascii="Times New Roman" w:hAnsi="Times New Roman"/>
                <w:sz w:val="22"/>
              </w:rPr>
              <w:t>22.781</w:t>
            </w:r>
          </w:p>
        </w:tc>
        <w:tc>
          <w:tcPr>
            <w:tcW w:type="dxa" w:w="1881"/>
          </w:tcPr>
          <w:p>
            <w:r/>
            <w:r>
              <w:rPr>
                <w:rFonts w:ascii="Times New Roman" w:hAnsi="Times New Roman"/>
                <w:sz w:val="22"/>
              </w:rPr>
              <w:t>-18.281</w:t>
            </w:r>
          </w:p>
        </w:tc>
      </w:tr>
      <w:tr>
        <w:tc>
          <w:tcPr>
            <w:tcW w:type="dxa" w:w="1881"/>
          </w:tcPr>
          <w:p>
            <w:r/>
            <w:r>
              <w:rPr>
                <w:rFonts w:ascii="Times New Roman" w:hAnsi="Times New Roman"/>
                <w:sz w:val="22"/>
              </w:rPr>
              <w:t>2</w:t>
            </w:r>
          </w:p>
        </w:tc>
        <w:tc>
          <w:tcPr>
            <w:tcW w:type="dxa" w:w="1881"/>
          </w:tcPr>
          <w:p>
            <w:r/>
            <w:r>
              <w:rPr>
                <w:rFonts w:ascii="Times New Roman" w:hAnsi="Times New Roman"/>
                <w:sz w:val="22"/>
              </w:rPr>
              <w:t>25</w:t>
            </w:r>
          </w:p>
        </w:tc>
        <w:tc>
          <w:tcPr>
            <w:tcW w:type="dxa" w:w="1881"/>
          </w:tcPr>
          <w:p>
            <w:r/>
            <w:r>
              <w:rPr>
                <w:rFonts w:ascii="Times New Roman" w:hAnsi="Times New Roman"/>
                <w:sz w:val="22"/>
              </w:rPr>
              <w:t>18.000</w:t>
            </w:r>
          </w:p>
        </w:tc>
        <w:tc>
          <w:tcPr>
            <w:tcW w:type="dxa" w:w="1881"/>
          </w:tcPr>
          <w:p>
            <w:r/>
            <w:r>
              <w:rPr>
                <w:rFonts w:ascii="Times New Roman" w:hAnsi="Times New Roman"/>
                <w:sz w:val="22"/>
              </w:rPr>
              <w:t>28.000</w:t>
            </w:r>
          </w:p>
        </w:tc>
        <w:tc>
          <w:tcPr>
            <w:tcW w:type="dxa" w:w="1881"/>
          </w:tcPr>
          <w:p>
            <w:r/>
            <w:r>
              <w:rPr>
                <w:rFonts w:ascii="Times New Roman" w:hAnsi="Times New Roman"/>
                <w:sz w:val="22"/>
              </w:rPr>
              <w:t>-10.000</w:t>
            </w:r>
          </w:p>
        </w:tc>
      </w:tr>
      <w:tr>
        <w:tc>
          <w:tcPr>
            <w:tcW w:type="dxa" w:w="1881"/>
          </w:tcPr>
          <w:p>
            <w:r/>
            <w:r>
              <w:rPr>
                <w:rFonts w:ascii="Times New Roman" w:hAnsi="Times New Roman"/>
                <w:sz w:val="22"/>
              </w:rPr>
              <w:t>3</w:t>
            </w:r>
          </w:p>
        </w:tc>
        <w:tc>
          <w:tcPr>
            <w:tcW w:type="dxa" w:w="1881"/>
          </w:tcPr>
          <w:p>
            <w:r/>
            <w:r>
              <w:rPr>
                <w:rFonts w:ascii="Times New Roman" w:hAnsi="Times New Roman"/>
                <w:sz w:val="22"/>
              </w:rPr>
              <w:t>60</w:t>
            </w:r>
          </w:p>
        </w:tc>
        <w:tc>
          <w:tcPr>
            <w:tcW w:type="dxa" w:w="1881"/>
          </w:tcPr>
          <w:p>
            <w:r/>
            <w:r>
              <w:rPr>
                <w:rFonts w:ascii="Times New Roman" w:hAnsi="Times New Roman"/>
                <w:sz w:val="22"/>
              </w:rPr>
              <w:t>49.000</w:t>
            </w:r>
          </w:p>
        </w:tc>
        <w:tc>
          <w:tcPr>
            <w:tcW w:type="dxa" w:w="1881"/>
          </w:tcPr>
          <w:p>
            <w:r/>
            <w:r>
              <w:rPr>
                <w:rFonts w:ascii="Times New Roman" w:hAnsi="Times New Roman"/>
                <w:sz w:val="22"/>
              </w:rPr>
              <w:t>38.000</w:t>
            </w:r>
          </w:p>
        </w:tc>
        <w:tc>
          <w:tcPr>
            <w:tcW w:type="dxa" w:w="1881"/>
          </w:tcPr>
          <w:p>
            <w:r/>
            <w:r>
              <w:rPr>
                <w:rFonts w:ascii="Times New Roman" w:hAnsi="Times New Roman"/>
                <w:sz w:val="22"/>
              </w:rPr>
              <w:t>+11.000</w:t>
            </w:r>
          </w:p>
        </w:tc>
      </w:tr>
    </w:tbl>
    <w:p/>
    <w:p>
      <w:pPr>
        <w:jc w:val="both"/>
      </w:pPr>
      <w:r>
        <w:rPr>
          <w:rFonts w:ascii="Times New Roman" w:hAnsi="Times New Roman"/>
          <w:b w:val="0"/>
          <w:i w:val="0"/>
          <w:sz w:val="24"/>
        </w:rPr>
        <w:t>El punto de equilibrio se alcanza durante el tercer año, lo que es coherente con los plazos habituales en proyectos SaaS B2B (Frasco, 2023). Los dos primeros años requieren financiación externa o reinversión de horas no remuneradas del promotor.</w:t>
      </w:r>
    </w:p>
    <w:p>
      <w:pPr>
        <w:spacing w:before="160" w:after="80"/>
      </w:pPr>
      <w:r>
        <w:rPr>
          <w:rFonts w:ascii="Times New Roman" w:hAnsi="Times New Roman"/>
          <w:b/>
          <w:i/>
          <w:sz w:val="24"/>
        </w:rPr>
        <w:t>Viabilidad de mercado</w:t>
      </w:r>
    </w:p>
    <w:p>
      <w:pPr>
        <w:jc w:val="both"/>
      </w:pPr>
      <w:r>
        <w:rPr>
          <w:rFonts w:ascii="Times New Roman" w:hAnsi="Times New Roman"/>
          <w:b w:val="0"/>
          <w:i w:val="0"/>
          <w:sz w:val="24"/>
        </w:rPr>
        <w:t>España cuenta con aproximadamente 2,9 millones de PYME activas (Ministerio de Industria, 2024). Asumiendo conservadoramente que solo el 5% de las PYME con más de 10 empleados podrían ser clientes potenciales (alrededor de 30.000 empresas), capturar un 0,2% de ese segmento durante los primeros tres años (60 clientes) es un objetivo razonable. Los clientes objetivo son PYME españolas del sector servicios, comercio y manufactura ligera con plantillas entre 10 y 100 empleados.</w:t>
      </w:r>
    </w:p>
    <w:p>
      <w:pPr>
        <w:spacing w:before="160" w:after="80"/>
      </w:pPr>
      <w:r>
        <w:rPr>
          <w:rFonts w:ascii="Times New Roman" w:hAnsi="Times New Roman"/>
          <w:b/>
          <w:i/>
          <w:sz w:val="24"/>
        </w:rPr>
        <w:t>Riesgos identificados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2"/>
              </w:rPr>
              <w:t>Riesgo</w:t>
            </w:r>
          </w:p>
        </w:tc>
        <w:tc>
          <w:tcPr>
            <w:tcW w:type="dxa" w:w="2351"/>
          </w:tcPr>
          <w:p>
            <w:r/>
            <w:r>
              <w:rPr>
                <w:rFonts w:ascii="Times New Roman" w:hAnsi="Times New Roman"/>
                <w:b/>
                <w:sz w:val="22"/>
              </w:rPr>
              <w:t>Probabilidad</w:t>
            </w:r>
          </w:p>
        </w:tc>
        <w:tc>
          <w:tcPr>
            <w:tcW w:type="dxa" w:w="2351"/>
          </w:tcPr>
          <w:p>
            <w:r/>
            <w:r>
              <w:rPr>
                <w:rFonts w:ascii="Times New Roman" w:hAnsi="Times New Roman"/>
                <w:b/>
                <w:sz w:val="22"/>
              </w:rPr>
              <w:t>Impacto</w:t>
            </w:r>
          </w:p>
        </w:tc>
        <w:tc>
          <w:tcPr>
            <w:tcW w:type="dxa" w:w="2351"/>
          </w:tcPr>
          <w:p>
            <w:r/>
            <w:r>
              <w:rPr>
                <w:rFonts w:ascii="Times New Roman" w:hAnsi="Times New Roman"/>
                <w:b/>
                <w:sz w:val="22"/>
              </w:rPr>
              <w:t>Mitigación</w:t>
            </w:r>
          </w:p>
        </w:tc>
      </w:tr>
      <w:tr>
        <w:tc>
          <w:tcPr>
            <w:tcW w:type="dxa" w:w="2351"/>
          </w:tcPr>
          <w:p>
            <w:r/>
            <w:r>
              <w:rPr>
                <w:rFonts w:ascii="Times New Roman" w:hAnsi="Times New Roman"/>
                <w:sz w:val="22"/>
              </w:rPr>
              <w:t>Fuga de información entre tenants</w:t>
            </w:r>
          </w:p>
        </w:tc>
        <w:tc>
          <w:tcPr>
            <w:tcW w:type="dxa" w:w="2351"/>
          </w:tcPr>
          <w:p>
            <w:r/>
            <w:r>
              <w:rPr>
                <w:rFonts w:ascii="Times New Roman" w:hAnsi="Times New Roman"/>
                <w:sz w:val="22"/>
              </w:rPr>
              <w:t>Baja</w:t>
            </w:r>
          </w:p>
        </w:tc>
        <w:tc>
          <w:tcPr>
            <w:tcW w:type="dxa" w:w="2351"/>
          </w:tcPr>
          <w:p>
            <w:r/>
            <w:r>
              <w:rPr>
                <w:rFonts w:ascii="Times New Roman" w:hAnsi="Times New Roman"/>
                <w:sz w:val="22"/>
              </w:rPr>
              <w:t>Alto</w:t>
            </w:r>
          </w:p>
        </w:tc>
        <w:tc>
          <w:tcPr>
            <w:tcW w:type="dxa" w:w="2351"/>
          </w:tcPr>
          <w:p>
            <w:r/>
            <w:r>
              <w:rPr>
                <w:rFonts w:ascii="Times New Roman" w:hAnsi="Times New Roman"/>
                <w:sz w:val="22"/>
              </w:rPr>
              <w:t>Tests automáticos, auditoría</w:t>
            </w:r>
          </w:p>
        </w:tc>
      </w:tr>
      <w:tr>
        <w:tc>
          <w:tcPr>
            <w:tcW w:type="dxa" w:w="2351"/>
          </w:tcPr>
          <w:p>
            <w:r/>
            <w:r>
              <w:rPr>
                <w:rFonts w:ascii="Times New Roman" w:hAnsi="Times New Roman"/>
                <w:sz w:val="22"/>
              </w:rPr>
              <w:t>Caída prolongada del proveedor cloud</w:t>
            </w:r>
          </w:p>
        </w:tc>
        <w:tc>
          <w:tcPr>
            <w:tcW w:type="dxa" w:w="2351"/>
          </w:tcPr>
          <w:p>
            <w:r/>
            <w:r>
              <w:rPr>
                <w:rFonts w:ascii="Times New Roman" w:hAnsi="Times New Roman"/>
                <w:sz w:val="22"/>
              </w:rPr>
              <w:t>Media</w:t>
            </w:r>
          </w:p>
        </w:tc>
        <w:tc>
          <w:tcPr>
            <w:tcW w:type="dxa" w:w="2351"/>
          </w:tcPr>
          <w:p>
            <w:r/>
            <w:r>
              <w:rPr>
                <w:rFonts w:ascii="Times New Roman" w:hAnsi="Times New Roman"/>
                <w:sz w:val="22"/>
              </w:rPr>
              <w:t>Alto</w:t>
            </w:r>
          </w:p>
        </w:tc>
        <w:tc>
          <w:tcPr>
            <w:tcW w:type="dxa" w:w="2351"/>
          </w:tcPr>
          <w:p>
            <w:r/>
            <w:r>
              <w:rPr>
                <w:rFonts w:ascii="Times New Roman" w:hAnsi="Times New Roman"/>
                <w:sz w:val="22"/>
              </w:rPr>
              <w:t>Backups diarios, plan migración</w:t>
            </w:r>
          </w:p>
        </w:tc>
      </w:tr>
      <w:tr>
        <w:tc>
          <w:tcPr>
            <w:tcW w:type="dxa" w:w="2351"/>
          </w:tcPr>
          <w:p>
            <w:r/>
            <w:r>
              <w:rPr>
                <w:rFonts w:ascii="Times New Roman" w:hAnsi="Times New Roman"/>
                <w:sz w:val="22"/>
              </w:rPr>
              <w:t>Cambio en política de precios de IA</w:t>
            </w:r>
          </w:p>
        </w:tc>
        <w:tc>
          <w:tcPr>
            <w:tcW w:type="dxa" w:w="2351"/>
          </w:tcPr>
          <w:p>
            <w:r/>
            <w:r>
              <w:rPr>
                <w:rFonts w:ascii="Times New Roman" w:hAnsi="Times New Roman"/>
                <w:sz w:val="22"/>
              </w:rPr>
              <w:t>Media</w:t>
            </w:r>
          </w:p>
        </w:tc>
        <w:tc>
          <w:tcPr>
            <w:tcW w:type="dxa" w:w="2351"/>
          </w:tcPr>
          <w:p>
            <w:r/>
            <w:r>
              <w:rPr>
                <w:rFonts w:ascii="Times New Roman" w:hAnsi="Times New Roman"/>
                <w:sz w:val="22"/>
              </w:rPr>
              <w:t>Medio</w:t>
            </w:r>
          </w:p>
        </w:tc>
        <w:tc>
          <w:tcPr>
            <w:tcW w:type="dxa" w:w="2351"/>
          </w:tcPr>
          <w:p>
            <w:r/>
            <w:r>
              <w:rPr>
                <w:rFonts w:ascii="Times New Roman" w:hAnsi="Times New Roman"/>
                <w:sz w:val="22"/>
              </w:rPr>
              <w:t>Capa de abstracción multi-proveedor</w:t>
            </w:r>
          </w:p>
        </w:tc>
      </w:tr>
      <w:tr>
        <w:tc>
          <w:tcPr>
            <w:tcW w:type="dxa" w:w="2351"/>
          </w:tcPr>
          <w:p>
            <w:r/>
            <w:r>
              <w:rPr>
                <w:rFonts w:ascii="Times New Roman" w:hAnsi="Times New Roman"/>
                <w:sz w:val="22"/>
              </w:rPr>
              <w:t>Brecha de seguridad / RGPD</w:t>
            </w:r>
          </w:p>
        </w:tc>
        <w:tc>
          <w:tcPr>
            <w:tcW w:type="dxa" w:w="2351"/>
          </w:tcPr>
          <w:p>
            <w:r/>
            <w:r>
              <w:rPr>
                <w:rFonts w:ascii="Times New Roman" w:hAnsi="Times New Roman"/>
                <w:sz w:val="22"/>
              </w:rPr>
              <w:t>Baja</w:t>
            </w:r>
          </w:p>
        </w:tc>
        <w:tc>
          <w:tcPr>
            <w:tcW w:type="dxa" w:w="2351"/>
          </w:tcPr>
          <w:p>
            <w:r/>
            <w:r>
              <w:rPr>
                <w:rFonts w:ascii="Times New Roman" w:hAnsi="Times New Roman"/>
                <w:sz w:val="22"/>
              </w:rPr>
              <w:t>Muy alto</w:t>
            </w:r>
          </w:p>
        </w:tc>
        <w:tc>
          <w:tcPr>
            <w:tcW w:type="dxa" w:w="2351"/>
          </w:tcPr>
          <w:p>
            <w:r/>
            <w:r>
              <w:rPr>
                <w:rFonts w:ascii="Times New Roman" w:hAnsi="Times New Roman"/>
                <w:sz w:val="22"/>
              </w:rPr>
              <w:t>Cifrado, auditorías, seguro</w:t>
            </w:r>
          </w:p>
        </w:tc>
      </w:tr>
      <w:tr>
        <w:tc>
          <w:tcPr>
            <w:tcW w:type="dxa" w:w="2351"/>
          </w:tcPr>
          <w:p>
            <w:r/>
            <w:r>
              <w:rPr>
                <w:rFonts w:ascii="Times New Roman" w:hAnsi="Times New Roman"/>
                <w:sz w:val="22"/>
              </w:rPr>
              <w:t>Aparición de competidor con más recursos</w:t>
            </w:r>
          </w:p>
        </w:tc>
        <w:tc>
          <w:tcPr>
            <w:tcW w:type="dxa" w:w="2351"/>
          </w:tcPr>
          <w:p>
            <w:r/>
            <w:r>
              <w:rPr>
                <w:rFonts w:ascii="Times New Roman" w:hAnsi="Times New Roman"/>
                <w:sz w:val="22"/>
              </w:rPr>
              <w:t>Alta</w:t>
            </w:r>
          </w:p>
        </w:tc>
        <w:tc>
          <w:tcPr>
            <w:tcW w:type="dxa" w:w="2351"/>
          </w:tcPr>
          <w:p>
            <w:r/>
            <w:r>
              <w:rPr>
                <w:rFonts w:ascii="Times New Roman" w:hAnsi="Times New Roman"/>
                <w:sz w:val="22"/>
              </w:rPr>
              <w:t>Medio</w:t>
            </w:r>
          </w:p>
        </w:tc>
        <w:tc>
          <w:tcPr>
            <w:tcW w:type="dxa" w:w="2351"/>
          </w:tcPr>
          <w:p>
            <w:r/>
            <w:r>
              <w:rPr>
                <w:rFonts w:ascii="Times New Roman" w:hAnsi="Times New Roman"/>
                <w:sz w:val="22"/>
              </w:rPr>
              <w:t>Foco PYME, precio, IA, soporte</w:t>
            </w:r>
          </w:p>
        </w:tc>
      </w:tr>
      <w:tr>
        <w:tc>
          <w:tcPr>
            <w:tcW w:type="dxa" w:w="2351"/>
          </w:tcPr>
          <w:p>
            <w:r/>
            <w:r>
              <w:rPr>
                <w:rFonts w:ascii="Times New Roman" w:hAnsi="Times New Roman"/>
                <w:sz w:val="22"/>
              </w:rPr>
              <w:t>Baja adopción inicial</w:t>
            </w:r>
          </w:p>
        </w:tc>
        <w:tc>
          <w:tcPr>
            <w:tcW w:type="dxa" w:w="2351"/>
          </w:tcPr>
          <w:p>
            <w:r/>
            <w:r>
              <w:rPr>
                <w:rFonts w:ascii="Times New Roman" w:hAnsi="Times New Roman"/>
                <w:sz w:val="22"/>
              </w:rPr>
              <w:t>Media</w:t>
            </w:r>
          </w:p>
        </w:tc>
        <w:tc>
          <w:tcPr>
            <w:tcW w:type="dxa" w:w="2351"/>
          </w:tcPr>
          <w:p>
            <w:r/>
            <w:r>
              <w:rPr>
                <w:rFonts w:ascii="Times New Roman" w:hAnsi="Times New Roman"/>
                <w:sz w:val="22"/>
              </w:rPr>
              <w:t>Alto</w:t>
            </w:r>
          </w:p>
        </w:tc>
        <w:tc>
          <w:tcPr>
            <w:tcW w:type="dxa" w:w="2351"/>
          </w:tcPr>
          <w:p>
            <w:r/>
            <w:r>
              <w:rPr>
                <w:rFonts w:ascii="Times New Roman" w:hAnsi="Times New Roman"/>
                <w:sz w:val="22"/>
              </w:rPr>
              <w:t>Freemium, pilotos gratuitos, marketing</w:t>
            </w:r>
          </w:p>
        </w:tc>
      </w:tr>
    </w:tbl>
    <w:p/>
    <w:p>
      <w:r>
        <w:br w:type="page"/>
      </w:r>
    </w:p>
    <w:p>
      <w:pPr>
        <w:spacing w:before="240" w:after="240"/>
        <w:jc w:val="left"/>
      </w:pPr>
      <w:r>
        <w:rPr>
          <w:rFonts w:ascii="Times New Roman" w:hAnsi="Times New Roman"/>
          <w:b/>
          <w:sz w:val="32"/>
        </w:rPr>
        <w:t>5. PUESTA EN MARCHA</w:t>
      </w:r>
    </w:p>
    <w:p>
      <w:pPr>
        <w:spacing w:before="240" w:after="120"/>
      </w:pPr>
      <w:r>
        <w:rPr>
          <w:rFonts w:ascii="Times New Roman" w:hAnsi="Times New Roman"/>
          <w:b/>
          <w:sz w:val="26"/>
        </w:rPr>
        <w:t>5.1 Forma jurídica y trámites de constitución</w:t>
      </w:r>
    </w:p>
    <w:p>
      <w:pPr>
        <w:jc w:val="both"/>
      </w:pPr>
      <w:r>
        <w:rPr>
          <w:rFonts w:ascii="Times New Roman" w:hAnsi="Times New Roman"/>
          <w:b w:val="0"/>
          <w:i w:val="0"/>
          <w:sz w:val="24"/>
        </w:rPr>
        <w:t>La forma jurídica seleccionada para la explotación comercial de SolveIT es la Sociedad Limitada Unipersonal (SLU). Esta elección se justifica por tres motivos. Primero, limita la responsabilidad del emprendedor al capital aportado, protegiendo el patrimonio personal frente a posibles reclamaciones. Segundo, transmite mayor confianza a clientes B2B que otras formas como autónomo. Tercero, facilita la entrada de socios o inversores en el futuro mediante ampliación de capital.</w:t>
      </w:r>
    </w:p>
    <w:p>
      <w:pPr>
        <w:jc w:val="both"/>
      </w:pPr>
      <w:r>
        <w:rPr>
          <w:rFonts w:ascii="Times New Roman" w:hAnsi="Times New Roman"/>
          <w:b w:val="0"/>
          <w:i w:val="0"/>
          <w:sz w:val="24"/>
        </w:rPr>
        <w:t>Los trámites para la constitución son los siguientes:</w:t>
      </w:r>
    </w:p>
    <w:p>
      <w:pPr>
        <w:pStyle w:val="ListBullet"/>
        <w:spacing w:line="360" w:lineRule="auto"/>
      </w:pPr>
      <w:r>
        <w:rPr>
          <w:rFonts w:ascii="Times New Roman" w:hAnsi="Times New Roman"/>
          <w:sz w:val="24"/>
        </w:rPr>
        <w:t>Solicitud de denominación social en el Registro Mercantil Central. Coste: 16 €.</w:t>
      </w:r>
    </w:p>
    <w:p>
      <w:pPr>
        <w:pStyle w:val="ListBullet"/>
        <w:spacing w:line="360" w:lineRule="auto"/>
      </w:pPr>
      <w:r>
        <w:rPr>
          <w:rFonts w:ascii="Times New Roman" w:hAnsi="Times New Roman"/>
          <w:sz w:val="24"/>
        </w:rPr>
        <w:t>Apertura de cuenta bancaria y depósito del capital social mínimo (3.000 €).</w:t>
      </w:r>
    </w:p>
    <w:p>
      <w:pPr>
        <w:pStyle w:val="ListBullet"/>
        <w:spacing w:line="360" w:lineRule="auto"/>
      </w:pPr>
      <w:r>
        <w:rPr>
          <w:rFonts w:ascii="Times New Roman" w:hAnsi="Times New Roman"/>
          <w:sz w:val="24"/>
        </w:rPr>
        <w:t>Otorgamiento de escritura pública ante notario. Coste estimado: 200 €.</w:t>
      </w:r>
    </w:p>
    <w:p>
      <w:pPr>
        <w:pStyle w:val="ListBullet"/>
        <w:spacing w:line="360" w:lineRule="auto"/>
      </w:pPr>
      <w:r>
        <w:rPr>
          <w:rFonts w:ascii="Times New Roman" w:hAnsi="Times New Roman"/>
          <w:sz w:val="24"/>
        </w:rPr>
        <w:t>Liquidación del Impuesto de Operaciones Societarias (exento desde 2010).</w:t>
      </w:r>
    </w:p>
    <w:p>
      <w:pPr>
        <w:pStyle w:val="ListBullet"/>
        <w:spacing w:line="360" w:lineRule="auto"/>
      </w:pPr>
      <w:r>
        <w:rPr>
          <w:rFonts w:ascii="Times New Roman" w:hAnsi="Times New Roman"/>
          <w:sz w:val="24"/>
        </w:rPr>
        <w:t>Inscripción en el Registro Mercantil. Coste estimado: 100 €.</w:t>
      </w:r>
    </w:p>
    <w:p>
      <w:pPr>
        <w:pStyle w:val="ListBullet"/>
        <w:spacing w:line="360" w:lineRule="auto"/>
      </w:pPr>
      <w:r>
        <w:rPr>
          <w:rFonts w:ascii="Times New Roman" w:hAnsi="Times New Roman"/>
          <w:sz w:val="24"/>
        </w:rPr>
        <w:t>Solicitud del NIF definitivo ante la Agencia Tributaria.</w:t>
      </w:r>
    </w:p>
    <w:p>
      <w:pPr>
        <w:pStyle w:val="ListBullet"/>
        <w:spacing w:line="360" w:lineRule="auto"/>
      </w:pPr>
      <w:r>
        <w:rPr>
          <w:rFonts w:ascii="Times New Roman" w:hAnsi="Times New Roman"/>
          <w:sz w:val="24"/>
        </w:rPr>
        <w:t>Alta en Hacienda mediante el modelo 036 (Censo de Empresarios).</w:t>
      </w:r>
    </w:p>
    <w:p>
      <w:pPr>
        <w:pStyle w:val="ListBullet"/>
        <w:spacing w:line="360" w:lineRule="auto"/>
      </w:pPr>
      <w:r>
        <w:rPr>
          <w:rFonts w:ascii="Times New Roman" w:hAnsi="Times New Roman"/>
          <w:sz w:val="24"/>
        </w:rPr>
        <w:t>Alta en la Seguridad Social (RETA para el administrador).</w:t>
      </w:r>
    </w:p>
    <w:p>
      <w:pPr>
        <w:pStyle w:val="ListBullet"/>
        <w:spacing w:line="360" w:lineRule="auto"/>
      </w:pPr>
      <w:r>
        <w:rPr>
          <w:rFonts w:ascii="Times New Roman" w:hAnsi="Times New Roman"/>
          <w:sz w:val="24"/>
        </w:rPr>
        <w:t>Registro como responsable de tratamiento ante la AEPD (RGPD).</w:t>
      </w:r>
    </w:p>
    <w:p>
      <w:pPr>
        <w:spacing w:before="240" w:after="120"/>
      </w:pPr>
      <w:r>
        <w:rPr>
          <w:rFonts w:ascii="Times New Roman" w:hAnsi="Times New Roman"/>
          <w:b/>
          <w:sz w:val="26"/>
        </w:rPr>
        <w:t>5.2 Recursos humanos</w:t>
      </w:r>
    </w:p>
    <w:p>
      <w:pPr>
        <w:jc w:val="both"/>
      </w:pPr>
      <w:r>
        <w:rPr>
          <w:rFonts w:ascii="Times New Roman" w:hAnsi="Times New Roman"/>
          <w:b w:val="0"/>
          <w:i w:val="0"/>
          <w:sz w:val="24"/>
        </w:rPr>
        <w:t>Durante el primer año la plantilla se compone exclusivamente del promotor en doble rol de administrador y desarrollador. A partir del segundo año, dependiendo de la captación de clientes, se planifica la incorporación de un segundo desarrollador full-stack (junior) y, en el tercer año, de un perfil comercial con conocimientos técnicos.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rFonts w:ascii="Times New Roman" w:hAnsi="Times New Roman"/>
                <w:b/>
                <w:sz w:val="22"/>
              </w:rPr>
              <w:t>Año</w:t>
            </w:r>
          </w:p>
        </w:tc>
        <w:tc>
          <w:tcPr>
            <w:tcW w:type="dxa" w:w="4703"/>
          </w:tcPr>
          <w:p>
            <w:r/>
            <w:r>
              <w:rPr>
                <w:rFonts w:ascii="Times New Roman" w:hAnsi="Times New Roman"/>
                <w:b/>
                <w:sz w:val="22"/>
              </w:rPr>
              <w:t>Plantilla</w:t>
            </w:r>
          </w:p>
        </w:tc>
      </w:tr>
      <w:tr>
        <w:tc>
          <w:tcPr>
            <w:tcW w:type="dxa" w:w="4703"/>
          </w:tcPr>
          <w:p>
            <w:r/>
            <w:r>
              <w:rPr>
                <w:rFonts w:ascii="Times New Roman" w:hAnsi="Times New Roman"/>
                <w:sz w:val="22"/>
              </w:rPr>
              <w:t>1</w:t>
            </w:r>
          </w:p>
        </w:tc>
        <w:tc>
          <w:tcPr>
            <w:tcW w:type="dxa" w:w="4703"/>
          </w:tcPr>
          <w:p>
            <w:r/>
            <w:r>
              <w:rPr>
                <w:rFonts w:ascii="Times New Roman" w:hAnsi="Times New Roman"/>
                <w:sz w:val="22"/>
              </w:rPr>
              <w:t>1 desarrollador full-stack (promotor)</w:t>
            </w:r>
          </w:p>
        </w:tc>
      </w:tr>
      <w:tr>
        <w:tc>
          <w:tcPr>
            <w:tcW w:type="dxa" w:w="4703"/>
          </w:tcPr>
          <w:p>
            <w:r/>
            <w:r>
              <w:rPr>
                <w:rFonts w:ascii="Times New Roman" w:hAnsi="Times New Roman"/>
                <w:sz w:val="22"/>
              </w:rPr>
              <w:t>2</w:t>
            </w:r>
          </w:p>
        </w:tc>
        <w:tc>
          <w:tcPr>
            <w:tcW w:type="dxa" w:w="4703"/>
          </w:tcPr>
          <w:p>
            <w:r/>
            <w:r>
              <w:rPr>
                <w:rFonts w:ascii="Times New Roman" w:hAnsi="Times New Roman"/>
                <w:sz w:val="22"/>
              </w:rPr>
              <w:t>2 desarrolladores</w:t>
            </w:r>
          </w:p>
        </w:tc>
      </w:tr>
      <w:tr>
        <w:tc>
          <w:tcPr>
            <w:tcW w:type="dxa" w:w="4703"/>
          </w:tcPr>
          <w:p>
            <w:r/>
            <w:r>
              <w:rPr>
                <w:rFonts w:ascii="Times New Roman" w:hAnsi="Times New Roman"/>
                <w:sz w:val="22"/>
              </w:rPr>
              <w:t>3</w:t>
            </w:r>
          </w:p>
        </w:tc>
        <w:tc>
          <w:tcPr>
            <w:tcW w:type="dxa" w:w="4703"/>
          </w:tcPr>
          <w:p>
            <w:r/>
            <w:r>
              <w:rPr>
                <w:rFonts w:ascii="Times New Roman" w:hAnsi="Times New Roman"/>
                <w:sz w:val="22"/>
              </w:rPr>
              <w:t>2 desarrolladores + 1 comercial</w:t>
            </w:r>
          </w:p>
        </w:tc>
      </w:tr>
    </w:tbl>
    <w:p/>
    <w:p>
      <w:pPr>
        <w:jc w:val="both"/>
      </w:pPr>
      <w:r>
        <w:rPr>
          <w:rFonts w:ascii="Times New Roman" w:hAnsi="Times New Roman"/>
          <w:b w:val="0"/>
          <w:i w:val="0"/>
          <w:sz w:val="24"/>
        </w:rPr>
        <w:t>La organización se diseña para ser plana, con reuniones semanales, uso intensivo de herramientas de colaboración asíncrona (GitHub, Notion, Slack) y posibilidad de teletrabajo total para reducir costes inmobiliarios y atraer talento más allá de la zona geográfica del promotor.</w:t>
      </w:r>
    </w:p>
    <w:p>
      <w:pPr>
        <w:spacing w:before="240" w:after="120"/>
      </w:pPr>
      <w:r>
        <w:rPr>
          <w:rFonts w:ascii="Times New Roman" w:hAnsi="Times New Roman"/>
          <w:b/>
          <w:sz w:val="26"/>
        </w:rPr>
        <w:t>5.3 Prevención de riesgos laborales</w:t>
      </w:r>
    </w:p>
    <w:p>
      <w:pPr>
        <w:jc w:val="both"/>
      </w:pPr>
      <w:r>
        <w:rPr>
          <w:rFonts w:ascii="Times New Roman" w:hAnsi="Times New Roman"/>
          <w:b w:val="0"/>
          <w:i w:val="0"/>
          <w:sz w:val="24"/>
        </w:rPr>
        <w:t>Aunque inicialmente la actividad se desarrolle en régimen de autónomo desde domicilio o espacios de coworking, la incorporación futura de personal asalariado obliga al cumplimiento de la Ley 31/1995 de Prevención de Riesgos Laborales. Los principales riesgos identificados en una empresa de desarrollo software son:</w:t>
      </w:r>
    </w:p>
    <w:p>
      <w:pPr>
        <w:pStyle w:val="ListBullet"/>
        <w:spacing w:line="360" w:lineRule="auto"/>
      </w:pPr>
      <w:r>
        <w:rPr>
          <w:rFonts w:ascii="Times New Roman" w:hAnsi="Times New Roman"/>
          <w:sz w:val="24"/>
        </w:rPr>
        <w:t>Riesgos ergonómicos derivados del trabajo prolongado con pantallas (síndrome del túnel carpiano, dolor lumbar, fatiga visual).</w:t>
      </w:r>
    </w:p>
    <w:p>
      <w:pPr>
        <w:pStyle w:val="ListBullet"/>
        <w:spacing w:line="360" w:lineRule="auto"/>
      </w:pPr>
      <w:r>
        <w:rPr>
          <w:rFonts w:ascii="Times New Roman" w:hAnsi="Times New Roman"/>
          <w:sz w:val="24"/>
        </w:rPr>
        <w:t>Riesgo psicosocial por carga mental, plazos ajustados y trabajo aislado en remoto.</w:t>
      </w:r>
    </w:p>
    <w:p>
      <w:pPr>
        <w:pStyle w:val="ListBullet"/>
        <w:spacing w:line="360" w:lineRule="auto"/>
      </w:pPr>
      <w:r>
        <w:rPr>
          <w:rFonts w:ascii="Times New Roman" w:hAnsi="Times New Roman"/>
          <w:sz w:val="24"/>
        </w:rPr>
        <w:t>Riesgos eléctricos en puestos de trabajo.</w:t>
      </w:r>
    </w:p>
    <w:p>
      <w:pPr>
        <w:jc w:val="both"/>
      </w:pPr>
      <w:r>
        <w:rPr>
          <w:rFonts w:ascii="Times New Roman" w:hAnsi="Times New Roman"/>
          <w:b w:val="0"/>
          <w:i w:val="0"/>
          <w:sz w:val="24"/>
        </w:rPr>
        <w:t>Las medidas previstas incluyen la contratación de un Servicio de Prevención Ajeno que realice la evaluación inicial de riesgos, la formación obligatoria al personal en uso seguro de pantallas (Real Decreto 488/1997), la dotación de mobiliario ergonómico y la planificación de pausas activas. En entorno de teletrabajo se aplicará la Ley 10/2021 de trabajo a distancia, formalizando un acuerdo individual con cada trabajador.</w:t>
      </w:r>
    </w:p>
    <w:p>
      <w:pPr>
        <w:spacing w:before="240" w:after="120"/>
      </w:pPr>
      <w:r>
        <w:rPr>
          <w:rFonts w:ascii="Times New Roman" w:hAnsi="Times New Roman"/>
          <w:b/>
          <w:sz w:val="26"/>
        </w:rPr>
        <w:t>5.4 Análisis medioambiental</w:t>
      </w:r>
    </w:p>
    <w:p>
      <w:pPr>
        <w:jc w:val="both"/>
      </w:pPr>
      <w:r>
        <w:rPr>
          <w:rFonts w:ascii="Times New Roman" w:hAnsi="Times New Roman"/>
          <w:b w:val="0"/>
          <w:i w:val="0"/>
          <w:sz w:val="24"/>
        </w:rPr>
        <w:t>Aunque la actividad de desarrollo de software tiene un impacto medioambiental directo limitado, sí existen consideraciones relevantes en el ciclo de vida de los servicios cloud y en los hábitos de trabajo. Se adoptan las siguientes medidas:</w:t>
      </w:r>
    </w:p>
    <w:p>
      <w:pPr>
        <w:pStyle w:val="ListBullet"/>
        <w:spacing w:line="360" w:lineRule="auto"/>
      </w:pPr>
      <w:r>
        <w:rPr>
          <w:rFonts w:ascii="Times New Roman" w:hAnsi="Times New Roman"/>
          <w:sz w:val="24"/>
        </w:rPr>
        <w:t>Selección de proveedores cloud con compromiso de neutralidad de carbono.</w:t>
      </w:r>
    </w:p>
    <w:p>
      <w:pPr>
        <w:pStyle w:val="ListBullet"/>
        <w:spacing w:line="360" w:lineRule="auto"/>
      </w:pPr>
      <w:r>
        <w:rPr>
          <w:rFonts w:ascii="Times New Roman" w:hAnsi="Times New Roman"/>
          <w:sz w:val="24"/>
        </w:rPr>
        <w:t>Optimización del consumo de recursos para reducir el consumo energético del backend.</w:t>
      </w:r>
    </w:p>
    <w:p>
      <w:pPr>
        <w:pStyle w:val="ListBullet"/>
        <w:spacing w:line="360" w:lineRule="auto"/>
      </w:pPr>
      <w:r>
        <w:rPr>
          <w:rFonts w:ascii="Times New Roman" w:hAnsi="Times New Roman"/>
          <w:sz w:val="24"/>
        </w:rPr>
        <w:t>Política de cero papel: documentación y facturación digitales.</w:t>
      </w:r>
    </w:p>
    <w:p>
      <w:pPr>
        <w:pStyle w:val="ListBullet"/>
        <w:spacing w:line="360" w:lineRule="auto"/>
      </w:pPr>
      <w:r>
        <w:rPr>
          <w:rFonts w:ascii="Times New Roman" w:hAnsi="Times New Roman"/>
          <w:sz w:val="24"/>
        </w:rPr>
        <w:t>Reciclaje del hardware al final de su vida útil.</w:t>
      </w:r>
    </w:p>
    <w:p>
      <w:pPr>
        <w:pStyle w:val="ListBullet"/>
        <w:spacing w:line="360" w:lineRule="auto"/>
      </w:pPr>
      <w:r>
        <w:rPr>
          <w:rFonts w:ascii="Times New Roman" w:hAnsi="Times New Roman"/>
          <w:sz w:val="24"/>
        </w:rPr>
        <w:t>Política de teletrabajo que reduce desplazamientos y emisiones de CO₂.</w:t>
      </w:r>
    </w:p>
    <w:p>
      <w:pPr>
        <w:spacing w:before="240" w:after="120"/>
      </w:pPr>
      <w:r>
        <w:rPr>
          <w:rFonts w:ascii="Times New Roman" w:hAnsi="Times New Roman"/>
          <w:b/>
          <w:sz w:val="26"/>
        </w:rPr>
        <w:t>5.5 Plan de financiación</w:t>
      </w:r>
    </w:p>
    <w:p>
      <w:pPr>
        <w:jc w:val="both"/>
      </w:pPr>
      <w:r>
        <w:rPr>
          <w:rFonts w:ascii="Times New Roman" w:hAnsi="Times New Roman"/>
          <w:b w:val="0"/>
          <w:i w:val="0"/>
          <w:sz w:val="24"/>
        </w:rPr>
        <w:t>La financiación inicial necesaria para superar el periodo de pérdidas (años 1 y 2) se estima en aproximadamente 30.000 €. El plan combina recursos propios y ajenos: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Times New Roman" w:hAnsi="Times New Roman"/>
                <w:b/>
                <w:sz w:val="22"/>
              </w:rPr>
              <w:t>Fuente</w:t>
            </w:r>
          </w:p>
        </w:tc>
        <w:tc>
          <w:tcPr>
            <w:tcW w:type="dxa" w:w="3135"/>
          </w:tcPr>
          <w:p>
            <w:r/>
            <w:r>
              <w:rPr>
                <w:rFonts w:ascii="Times New Roman" w:hAnsi="Times New Roman"/>
                <w:b/>
                <w:sz w:val="22"/>
              </w:rPr>
              <w:t>Importe (€)</w:t>
            </w:r>
          </w:p>
        </w:tc>
        <w:tc>
          <w:tcPr>
            <w:tcW w:type="dxa" w:w="3135"/>
          </w:tcPr>
          <w:p>
            <w:r/>
            <w:r>
              <w:rPr>
                <w:rFonts w:ascii="Times New Roman" w:hAnsi="Times New Roman"/>
                <w:b/>
                <w:sz w:val="22"/>
              </w:rPr>
              <w:t>Tipo</w:t>
            </w:r>
          </w:p>
        </w:tc>
      </w:tr>
      <w:tr>
        <w:tc>
          <w:tcPr>
            <w:tcW w:type="dxa" w:w="3135"/>
          </w:tcPr>
          <w:p>
            <w:r/>
            <w:r>
              <w:rPr>
                <w:rFonts w:ascii="Times New Roman" w:hAnsi="Times New Roman"/>
                <w:sz w:val="22"/>
              </w:rPr>
              <w:t>Capital social aportado por promotor</w:t>
            </w:r>
          </w:p>
        </w:tc>
        <w:tc>
          <w:tcPr>
            <w:tcW w:type="dxa" w:w="3135"/>
          </w:tcPr>
          <w:p>
            <w:r/>
            <w:r>
              <w:rPr>
                <w:rFonts w:ascii="Times New Roman" w:hAnsi="Times New Roman"/>
                <w:sz w:val="22"/>
              </w:rPr>
              <w:t>3.000</w:t>
            </w:r>
          </w:p>
        </w:tc>
        <w:tc>
          <w:tcPr>
            <w:tcW w:type="dxa" w:w="3135"/>
          </w:tcPr>
          <w:p>
            <w:r/>
            <w:r>
              <w:rPr>
                <w:rFonts w:ascii="Times New Roman" w:hAnsi="Times New Roman"/>
                <w:sz w:val="22"/>
              </w:rPr>
              <w:t>Propios</w:t>
            </w:r>
          </w:p>
        </w:tc>
      </w:tr>
      <w:tr>
        <w:tc>
          <w:tcPr>
            <w:tcW w:type="dxa" w:w="3135"/>
          </w:tcPr>
          <w:p>
            <w:r/>
            <w:r>
              <w:rPr>
                <w:rFonts w:ascii="Times New Roman" w:hAnsi="Times New Roman"/>
                <w:sz w:val="22"/>
              </w:rPr>
              <w:t>Ahorros del promotor</w:t>
            </w:r>
          </w:p>
        </w:tc>
        <w:tc>
          <w:tcPr>
            <w:tcW w:type="dxa" w:w="3135"/>
          </w:tcPr>
          <w:p>
            <w:r/>
            <w:r>
              <w:rPr>
                <w:rFonts w:ascii="Times New Roman" w:hAnsi="Times New Roman"/>
                <w:sz w:val="22"/>
              </w:rPr>
              <w:t>5.000</w:t>
            </w:r>
          </w:p>
        </w:tc>
        <w:tc>
          <w:tcPr>
            <w:tcW w:type="dxa" w:w="3135"/>
          </w:tcPr>
          <w:p>
            <w:r/>
            <w:r>
              <w:rPr>
                <w:rFonts w:ascii="Times New Roman" w:hAnsi="Times New Roman"/>
                <w:sz w:val="22"/>
              </w:rPr>
              <w:t>Propios</w:t>
            </w:r>
          </w:p>
        </w:tc>
      </w:tr>
      <w:tr>
        <w:tc>
          <w:tcPr>
            <w:tcW w:type="dxa" w:w="3135"/>
          </w:tcPr>
          <w:p>
            <w:r/>
            <w:r>
              <w:rPr>
                <w:rFonts w:ascii="Times New Roman" w:hAnsi="Times New Roman"/>
                <w:sz w:val="22"/>
              </w:rPr>
              <w:t>Préstamo participativo ENISA Jóvenes Emprendedores</w:t>
            </w:r>
          </w:p>
        </w:tc>
        <w:tc>
          <w:tcPr>
            <w:tcW w:type="dxa" w:w="3135"/>
          </w:tcPr>
          <w:p>
            <w:r/>
            <w:r>
              <w:rPr>
                <w:rFonts w:ascii="Times New Roman" w:hAnsi="Times New Roman"/>
                <w:sz w:val="22"/>
              </w:rPr>
              <w:t>15.000</w:t>
            </w:r>
          </w:p>
        </w:tc>
        <w:tc>
          <w:tcPr>
            <w:tcW w:type="dxa" w:w="3135"/>
          </w:tcPr>
          <w:p>
            <w:r/>
            <w:r>
              <w:rPr>
                <w:rFonts w:ascii="Times New Roman" w:hAnsi="Times New Roman"/>
                <w:sz w:val="22"/>
              </w:rPr>
              <w:t>Ajenos</w:t>
            </w:r>
          </w:p>
        </w:tc>
      </w:tr>
      <w:tr>
        <w:tc>
          <w:tcPr>
            <w:tcW w:type="dxa" w:w="3135"/>
          </w:tcPr>
          <w:p>
            <w:r/>
            <w:r>
              <w:rPr>
                <w:rFonts w:ascii="Times New Roman" w:hAnsi="Times New Roman"/>
                <w:sz w:val="22"/>
              </w:rPr>
              <w:t>Subvención Kit Digital (cliente final)</w:t>
            </w:r>
          </w:p>
        </w:tc>
        <w:tc>
          <w:tcPr>
            <w:tcW w:type="dxa" w:w="3135"/>
          </w:tcPr>
          <w:p>
            <w:r/>
            <w:r>
              <w:rPr>
                <w:rFonts w:ascii="Times New Roman" w:hAnsi="Times New Roman"/>
                <w:sz w:val="22"/>
              </w:rPr>
              <w:t>–</w:t>
            </w:r>
          </w:p>
        </w:tc>
        <w:tc>
          <w:tcPr>
            <w:tcW w:type="dxa" w:w="3135"/>
          </w:tcPr>
          <w:p>
            <w:r/>
            <w:r>
              <w:rPr>
                <w:rFonts w:ascii="Times New Roman" w:hAnsi="Times New Roman"/>
                <w:sz w:val="22"/>
              </w:rPr>
              <w:t>Indirecta</w:t>
            </w:r>
          </w:p>
        </w:tc>
      </w:tr>
      <w:tr>
        <w:tc>
          <w:tcPr>
            <w:tcW w:type="dxa" w:w="3135"/>
          </w:tcPr>
          <w:p>
            <w:r/>
            <w:r>
              <w:rPr>
                <w:rFonts w:ascii="Times New Roman" w:hAnsi="Times New Roman"/>
                <w:sz w:val="22"/>
              </w:rPr>
              <w:t>Ingresos por suscripciones año 1-2</w:t>
            </w:r>
          </w:p>
        </w:tc>
        <w:tc>
          <w:tcPr>
            <w:tcW w:type="dxa" w:w="3135"/>
          </w:tcPr>
          <w:p>
            <w:r/>
            <w:r>
              <w:rPr>
                <w:rFonts w:ascii="Times New Roman" w:hAnsi="Times New Roman"/>
                <w:sz w:val="22"/>
              </w:rPr>
              <w:t>22.500</w:t>
            </w:r>
          </w:p>
        </w:tc>
        <w:tc>
          <w:tcPr>
            <w:tcW w:type="dxa" w:w="3135"/>
          </w:tcPr>
          <w:p>
            <w:r/>
            <w:r>
              <w:rPr>
                <w:rFonts w:ascii="Times New Roman" w:hAnsi="Times New Roman"/>
                <w:sz w:val="22"/>
              </w:rPr>
              <w:t>Operativos</w:t>
            </w:r>
          </w:p>
        </w:tc>
      </w:tr>
      <w:tr>
        <w:tc>
          <w:tcPr>
            <w:tcW w:type="dxa" w:w="3135"/>
          </w:tcPr>
          <w:p>
            <w:r/>
            <w:r>
              <w:rPr>
                <w:rFonts w:ascii="Times New Roman" w:hAnsi="Times New Roman"/>
                <w:sz w:val="22"/>
              </w:rPr>
              <w:t>Total financiación cubierta</w:t>
            </w:r>
          </w:p>
        </w:tc>
        <w:tc>
          <w:tcPr>
            <w:tcW w:type="dxa" w:w="3135"/>
          </w:tcPr>
          <w:p>
            <w:r/>
            <w:r>
              <w:rPr>
                <w:rFonts w:ascii="Times New Roman" w:hAnsi="Times New Roman"/>
                <w:sz w:val="22"/>
              </w:rPr>
              <w:t>45.500</w:t>
            </w:r>
          </w:p>
        </w:tc>
        <w:tc>
          <w:tcPr>
            <w:tcW w:type="dxa" w:w="3135"/>
          </w:tcPr>
          <w:p>
            <w:r/>
            <w:r>
              <w:rPr>
                <w:rFonts w:ascii="Times New Roman" w:hAnsi="Times New Roman"/>
                <w:sz w:val="22"/>
              </w:rPr>
            </w:r>
          </w:p>
        </w:tc>
      </w:tr>
    </w:tbl>
    <w:p/>
    <w:p>
      <w:pPr>
        <w:jc w:val="both"/>
      </w:pPr>
      <w:r>
        <w:rPr>
          <w:rFonts w:ascii="Times New Roman" w:hAnsi="Times New Roman"/>
          <w:b w:val="0"/>
          <w:i w:val="0"/>
          <w:sz w:val="24"/>
        </w:rPr>
        <w:t>Adicionalmente, se valora la solicitud de la Ayuda CDTI Neotec para empresas de base tecnológica de hasta 250.000 € en caso de validación temprana del modelo. Los fondos europeos Next Generation vinculados a la transformación digital también constituyen una vía relevante a explorar a través del programa Kit Digital, que beneficia indirectamente a SolveIT al subvencionar a sus clientes potenciales (PYME) en la adopción de soluciones digitales como la nuestra (Red.es, 2024).</w:t>
      </w:r>
    </w:p>
    <w:p>
      <w:r>
        <w:br w:type="page"/>
      </w:r>
    </w:p>
    <w:p>
      <w:pPr>
        <w:spacing w:before="240" w:after="240"/>
        <w:jc w:val="left"/>
      </w:pPr>
      <w:r>
        <w:rPr>
          <w:rFonts w:ascii="Times New Roman" w:hAnsi="Times New Roman"/>
          <w:b/>
          <w:sz w:val="32"/>
        </w:rPr>
        <w:t>6. EVALUACIÓN FUNCIONAL</w:t>
      </w:r>
    </w:p>
    <w:p>
      <w:pPr>
        <w:jc w:val="both"/>
      </w:pPr>
      <w:r>
        <w:rPr>
          <w:rFonts w:ascii="Times New Roman" w:hAnsi="Times New Roman"/>
          <w:b w:val="0"/>
          <w:i w:val="0"/>
          <w:sz w:val="24"/>
        </w:rPr>
        <w:t>La plataforma SolveIT ha sido desplegada en producción y se ha validado funcionalmente sobre dos empresas piloto: SolveIT Demo (interna, 27 usuarios) y LKS Next (externa, 3 usuarios). El soporte de evaluación es la propia aplicación corriendo sobre infraestructura Railway. Los resultados de la verificación funcional se exponen a continuación.</w:t>
      </w:r>
    </w:p>
    <w:p>
      <w:pPr>
        <w:spacing w:before="160" w:after="80"/>
      </w:pPr>
      <w:r>
        <w:rPr>
          <w:rFonts w:ascii="Times New Roman" w:hAnsi="Times New Roman"/>
          <w:b/>
          <w:i/>
          <w:sz w:val="24"/>
        </w:rPr>
        <w:t>Funcionalidades verificadas</w:t>
      </w:r>
    </w:p>
    <w:p>
      <w:pPr>
        <w:jc w:val="both"/>
      </w:pPr>
      <w:r>
        <w:rPr>
          <w:rFonts w:ascii="Times New Roman" w:hAnsi="Times New Roman"/>
          <w:b w:val="0"/>
          <w:i w:val="0"/>
          <w:sz w:val="24"/>
        </w:rPr>
        <w:t>Autenticación y gestión de usuarios. Se ha verificado el inicio de sesión, el cierre de sesión, la recuperación de contraseña mediante código enviado por correo electrónico (utilizando Resend como proveedor SMTP-API) y el control de acceso por roles (superadmin, admin, technician, user). Los mensajes de error se muestran de forma visible en la pantalla de login.</w:t>
      </w:r>
    </w:p>
    <w:p>
      <w:pPr>
        <w:jc w:val="both"/>
      </w:pPr>
      <w:r>
        <w:rPr>
          <w:rFonts w:ascii="Times New Roman" w:hAnsi="Times New Roman"/>
          <w:b w:val="0"/>
          <w:i w:val="0"/>
          <w:sz w:val="24"/>
        </w:rPr>
        <w:t>Gestión de incidencias. Los usuarios pueden crear incidencias indicando título, descripción, prioridad y categoría. El sistema asigna automáticamente al técnico con menor carga de trabajo activa. Los técnicos cambian el estado de las incidencias entre los valores open, in_progress, resolved y closed, y todos los cambios se registran en el historial.</w:t>
      </w:r>
    </w:p>
    <w:p>
      <w:pPr>
        <w:jc w:val="both"/>
      </w:pPr>
      <w:r>
        <w:rPr>
          <w:rFonts w:ascii="Times New Roman" w:hAnsi="Times New Roman"/>
          <w:b w:val="0"/>
          <w:i w:val="0"/>
          <w:sz w:val="24"/>
        </w:rPr>
        <w:t>Sistema de notificaciones. Cuando se crea una incidencia, el técnico asignado recibe una notificación en la campanita de la aplicación. Cuando el estado cambia, el creador de la incidencia es notificado. La tabla notifications incluye los campos title, body y type para construir notificaciones tipadas y enriquecidas.</w:t>
      </w:r>
    </w:p>
    <w:p>
      <w:pPr>
        <w:jc w:val="both"/>
      </w:pPr>
      <w:r>
        <w:rPr>
          <w:rFonts w:ascii="Times New Roman" w:hAnsi="Times New Roman"/>
          <w:b w:val="0"/>
          <w:i w:val="0"/>
          <w:sz w:val="24"/>
        </w:rPr>
        <w:t>Base de conocimiento. Los administradores pueden crear, editar y eliminar artículos. Los usuarios pueden valorar los artículos con una puntuación de 1 a 5 estrellas y dejar reseñas. Los artículos están vinculados a categorías y soportan imágenes de portada.</w:t>
      </w:r>
    </w:p>
    <w:p>
      <w:pPr>
        <w:jc w:val="both"/>
      </w:pPr>
      <w:r>
        <w:rPr>
          <w:rFonts w:ascii="Times New Roman" w:hAnsi="Times New Roman"/>
          <w:b w:val="0"/>
          <w:i w:val="0"/>
          <w:sz w:val="24"/>
        </w:rPr>
        <w:t>Foro interno. Permite a los empleados publicar mensajes, comentar y reaccionar con emojis. Es un canal de comunicación interno alternativo al correo electrónico para temas no estrictamente vinculados a una incidencia.</w:t>
      </w:r>
    </w:p>
    <w:p>
      <w:pPr>
        <w:jc w:val="both"/>
      </w:pPr>
      <w:r>
        <w:rPr>
          <w:rFonts w:ascii="Times New Roman" w:hAnsi="Times New Roman"/>
          <w:b w:val="0"/>
          <w:i w:val="0"/>
          <w:sz w:val="24"/>
        </w:rPr>
        <w:t>Asistente de inteligencia artificial. Se ha integrado el modelo Gemma 3 12B mediante la API gratuita de Google Generative Language. El asistente recibe la pregunta del usuario y, opcionalmente, contexto de la base de conocimiento, y devuelve una respuesta detallada en español. El acceso al asistente se realiza mediante un botón flotante (FAB) presente en todas las pantallas principales.</w:t>
      </w:r>
    </w:p>
    <w:p>
      <w:pPr>
        <w:jc w:val="both"/>
      </w:pPr>
      <w:r>
        <w:rPr>
          <w:rFonts w:ascii="Times New Roman" w:hAnsi="Times New Roman"/>
          <w:b w:val="0"/>
          <w:i w:val="0"/>
          <w:sz w:val="24"/>
        </w:rPr>
        <w:t>Arquitectura multi-tenant. Cada fila de las tablas incidents, users, knowledge_base, forum_posts y notifications incluye un campo company_id que se filtra automáticamente en cada consulta a través del middleware tenant.js. Se ha verificado que un administrador de la empresa A no puede ver datos de la empresa B aunque manipule el token JWT.</w:t>
      </w:r>
    </w:p>
    <w:p>
      <w:pPr>
        <w:jc w:val="both"/>
      </w:pPr>
      <w:r>
        <w:rPr>
          <w:rFonts w:ascii="Times New Roman" w:hAnsi="Times New Roman"/>
          <w:b w:val="0"/>
          <w:i w:val="0"/>
          <w:sz w:val="24"/>
        </w:rPr>
        <w:t>Panel de SuperAdmin. Permite al desarrollador (rol superadmin) crear nuevas empresas cliente, asignar el plan contratado (Basic, Pro o Enterprise), activar o desactivar empresas y crear el usuario administrador inicial.</w:t>
      </w:r>
    </w:p>
    <w:p>
      <w:pPr>
        <w:spacing w:before="160" w:after="80"/>
      </w:pPr>
      <w:r>
        <w:rPr>
          <w:rFonts w:ascii="Times New Roman" w:hAnsi="Times New Roman"/>
          <w:b/>
          <w:i/>
          <w:sz w:val="24"/>
        </w:rPr>
        <w:t>Métricas y herramientas de validación</w:t>
      </w:r>
    </w:p>
    <w:p>
      <w:pPr>
        <w:pStyle w:val="ListBullet"/>
        <w:spacing w:line="360" w:lineRule="auto"/>
      </w:pPr>
      <w:r>
        <w:rPr>
          <w:rFonts w:ascii="Times New Roman" w:hAnsi="Times New Roman"/>
          <w:sz w:val="24"/>
        </w:rPr>
        <w:t>Pruebas manuales sobre dispositivos Android reales (Xiaomi y Samsung) y sobre Expo Web en navegador Chrome.</w:t>
      </w:r>
    </w:p>
    <w:p>
      <w:pPr>
        <w:pStyle w:val="ListBullet"/>
        <w:spacing w:line="360" w:lineRule="auto"/>
      </w:pPr>
      <w:r>
        <w:rPr>
          <w:rFonts w:ascii="Times New Roman" w:hAnsi="Times New Roman"/>
          <w:sz w:val="24"/>
        </w:rPr>
        <w:t>Logs de Railway para verificar el comportamiento del backend ante peticiones reales.</w:t>
      </w:r>
    </w:p>
    <w:p>
      <w:pPr>
        <w:pStyle w:val="ListBullet"/>
        <w:spacing w:line="360" w:lineRule="auto"/>
      </w:pPr>
      <w:r>
        <w:rPr>
          <w:rFonts w:ascii="Times New Roman" w:hAnsi="Times New Roman"/>
          <w:sz w:val="24"/>
        </w:rPr>
        <w:t>Network tab del navegador para verificar tiempos de respuesta y códigos HTTP.</w:t>
      </w:r>
    </w:p>
    <w:p>
      <w:pPr>
        <w:pStyle w:val="ListBullet"/>
        <w:spacing w:line="360" w:lineRule="auto"/>
      </w:pPr>
      <w:r>
        <w:rPr>
          <w:rFonts w:ascii="Times New Roman" w:hAnsi="Times New Roman"/>
          <w:sz w:val="24"/>
        </w:rPr>
        <w:t>Validación de aislamiento multi-tenant mediante usuarios de prueba en distintas empresas.</w:t>
      </w:r>
    </w:p>
    <w:p>
      <w:pPr>
        <w:pStyle w:val="ListBullet"/>
        <w:spacing w:line="360" w:lineRule="auto"/>
      </w:pPr>
      <w:r>
        <w:rPr>
          <w:rFonts w:ascii="Times New Roman" w:hAnsi="Times New Roman"/>
          <w:sz w:val="24"/>
        </w:rPr>
        <w:t>Inspección de la base de datos vía cliente PostgreSQL para confirmar persistencia con company_id correcto.</w:t>
      </w:r>
    </w:p>
    <w:p>
      <w:pPr>
        <w:spacing w:before="160" w:after="80"/>
      </w:pPr>
      <w:r>
        <w:rPr>
          <w:rFonts w:ascii="Times New Roman" w:hAnsi="Times New Roman"/>
          <w:b/>
          <w:i/>
          <w:sz w:val="24"/>
        </w:rPr>
        <w:t>Consecución de objetivos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rFonts w:ascii="Times New Roman" w:hAnsi="Times New Roman"/>
                <w:b/>
                <w:sz w:val="22"/>
              </w:rPr>
              <w:t>Objetivo planteado</w:t>
            </w:r>
          </w:p>
        </w:tc>
        <w:tc>
          <w:tcPr>
            <w:tcW w:type="dxa" w:w="4703"/>
          </w:tcPr>
          <w:p>
            <w:r/>
            <w:r>
              <w:rPr>
                <w:rFonts w:ascii="Times New Roman" w:hAnsi="Times New Roman"/>
                <w:b/>
                <w:sz w:val="22"/>
              </w:rPr>
              <w:t>Resultado</w:t>
            </w:r>
          </w:p>
        </w:tc>
      </w:tr>
      <w:tr>
        <w:tc>
          <w:tcPr>
            <w:tcW w:type="dxa" w:w="4703"/>
          </w:tcPr>
          <w:p>
            <w:r/>
            <w:r>
              <w:rPr>
                <w:rFonts w:ascii="Times New Roman" w:hAnsi="Times New Roman"/>
                <w:sz w:val="22"/>
              </w:rPr>
              <w:t>Aplicación móvil funcional en Android</w:t>
            </w:r>
          </w:p>
        </w:tc>
        <w:tc>
          <w:tcPr>
            <w:tcW w:type="dxa" w:w="4703"/>
          </w:tcPr>
          <w:p>
            <w:r/>
            <w:r>
              <w:rPr>
                <w:rFonts w:ascii="Times New Roman" w:hAnsi="Times New Roman"/>
                <w:sz w:val="22"/>
              </w:rPr>
              <w:t>✓ APK generado y probado</w:t>
            </w:r>
          </w:p>
        </w:tc>
      </w:tr>
      <w:tr>
        <w:tc>
          <w:tcPr>
            <w:tcW w:type="dxa" w:w="4703"/>
          </w:tcPr>
          <w:p>
            <w:r/>
            <w:r>
              <w:rPr>
                <w:rFonts w:ascii="Times New Roman" w:hAnsi="Times New Roman"/>
                <w:sz w:val="22"/>
              </w:rPr>
              <w:t>Aplicación web responsive</w:t>
            </w:r>
          </w:p>
        </w:tc>
        <w:tc>
          <w:tcPr>
            <w:tcW w:type="dxa" w:w="4703"/>
          </w:tcPr>
          <w:p>
            <w:r/>
            <w:r>
              <w:rPr>
                <w:rFonts w:ascii="Times New Roman" w:hAnsi="Times New Roman"/>
                <w:sz w:val="22"/>
              </w:rPr>
              <w:t>✓ Desplegada en Railway</w:t>
            </w:r>
          </w:p>
        </w:tc>
      </w:tr>
      <w:tr>
        <w:tc>
          <w:tcPr>
            <w:tcW w:type="dxa" w:w="4703"/>
          </w:tcPr>
          <w:p>
            <w:r/>
            <w:r>
              <w:rPr>
                <w:rFonts w:ascii="Times New Roman" w:hAnsi="Times New Roman"/>
                <w:sz w:val="22"/>
              </w:rPr>
              <w:t>Backend API REST</w:t>
            </w:r>
          </w:p>
        </w:tc>
        <w:tc>
          <w:tcPr>
            <w:tcW w:type="dxa" w:w="4703"/>
          </w:tcPr>
          <w:p>
            <w:r/>
            <w:r>
              <w:rPr>
                <w:rFonts w:ascii="Times New Roman" w:hAnsi="Times New Roman"/>
                <w:sz w:val="22"/>
              </w:rPr>
              <w:t>✓ 11 grupos de rutas operativos</w:t>
            </w:r>
          </w:p>
        </w:tc>
      </w:tr>
      <w:tr>
        <w:tc>
          <w:tcPr>
            <w:tcW w:type="dxa" w:w="4703"/>
          </w:tcPr>
          <w:p>
            <w:r/>
            <w:r>
              <w:rPr>
                <w:rFonts w:ascii="Times New Roman" w:hAnsi="Times New Roman"/>
                <w:sz w:val="22"/>
              </w:rPr>
              <w:t>Multi-tenant con aislamiento real</w:t>
            </w:r>
          </w:p>
        </w:tc>
        <w:tc>
          <w:tcPr>
            <w:tcW w:type="dxa" w:w="4703"/>
          </w:tcPr>
          <w:p>
            <w:r/>
            <w:r>
              <w:rPr>
                <w:rFonts w:ascii="Times New Roman" w:hAnsi="Times New Roman"/>
                <w:sz w:val="22"/>
              </w:rPr>
              <w:t>✓ Verificado con dos empresas</w:t>
            </w:r>
          </w:p>
        </w:tc>
      </w:tr>
      <w:tr>
        <w:tc>
          <w:tcPr>
            <w:tcW w:type="dxa" w:w="4703"/>
          </w:tcPr>
          <w:p>
            <w:r/>
            <w:r>
              <w:rPr>
                <w:rFonts w:ascii="Times New Roman" w:hAnsi="Times New Roman"/>
                <w:sz w:val="22"/>
              </w:rPr>
              <w:t>Asistente IA integrado</w:t>
            </w:r>
          </w:p>
        </w:tc>
        <w:tc>
          <w:tcPr>
            <w:tcW w:type="dxa" w:w="4703"/>
          </w:tcPr>
          <w:p>
            <w:r/>
            <w:r>
              <w:rPr>
                <w:rFonts w:ascii="Times New Roman" w:hAnsi="Times New Roman"/>
                <w:sz w:val="22"/>
              </w:rPr>
              <w:t>✓ Gemma 3 12B funcionando</w:t>
            </w:r>
          </w:p>
        </w:tc>
      </w:tr>
      <w:tr>
        <w:tc>
          <w:tcPr>
            <w:tcW w:type="dxa" w:w="4703"/>
          </w:tcPr>
          <w:p>
            <w:r/>
            <w:r>
              <w:rPr>
                <w:rFonts w:ascii="Times New Roman" w:hAnsi="Times New Roman"/>
                <w:sz w:val="22"/>
              </w:rPr>
              <w:t>Recuperación de contraseña</w:t>
            </w:r>
          </w:p>
        </w:tc>
        <w:tc>
          <w:tcPr>
            <w:tcW w:type="dxa" w:w="4703"/>
          </w:tcPr>
          <w:p>
            <w:r/>
            <w:r>
              <w:rPr>
                <w:rFonts w:ascii="Times New Roman" w:hAnsi="Times New Roman"/>
                <w:sz w:val="22"/>
              </w:rPr>
              <w:t>✓ Resend operativo</w:t>
            </w:r>
          </w:p>
        </w:tc>
      </w:tr>
      <w:tr>
        <w:tc>
          <w:tcPr>
            <w:tcW w:type="dxa" w:w="4703"/>
          </w:tcPr>
          <w:p>
            <w:r/>
            <w:r>
              <w:rPr>
                <w:rFonts w:ascii="Times New Roman" w:hAnsi="Times New Roman"/>
                <w:sz w:val="22"/>
              </w:rPr>
              <w:t>Sistema de notificaciones</w:t>
            </w:r>
          </w:p>
        </w:tc>
        <w:tc>
          <w:tcPr>
            <w:tcW w:type="dxa" w:w="4703"/>
          </w:tcPr>
          <w:p>
            <w:r/>
            <w:r>
              <w:rPr>
                <w:rFonts w:ascii="Times New Roman" w:hAnsi="Times New Roman"/>
                <w:sz w:val="22"/>
              </w:rPr>
              <w:t>✓ Funcionando en tiempo real</w:t>
            </w:r>
          </w:p>
        </w:tc>
      </w:tr>
      <w:tr>
        <w:tc>
          <w:tcPr>
            <w:tcW w:type="dxa" w:w="4703"/>
          </w:tcPr>
          <w:p>
            <w:r/>
            <w:r>
              <w:rPr>
                <w:rFonts w:ascii="Times New Roman" w:hAnsi="Times New Roman"/>
                <w:sz w:val="22"/>
              </w:rPr>
              <w:t>Documentación visual de soporte</w:t>
            </w:r>
          </w:p>
        </w:tc>
        <w:tc>
          <w:tcPr>
            <w:tcW w:type="dxa" w:w="4703"/>
          </w:tcPr>
          <w:p>
            <w:r/>
            <w:r>
              <w:rPr>
                <w:rFonts w:ascii="Times New Roman" w:hAnsi="Times New Roman"/>
                <w:sz w:val="22"/>
              </w:rPr>
              <w:t>✓ Capturas y vídeo demostrativo</w:t>
            </w:r>
          </w:p>
        </w:tc>
      </w:tr>
    </w:tbl>
    <w:p/>
    <w:p>
      <w:pPr>
        <w:jc w:val="both"/>
      </w:pPr>
      <w:r>
        <w:rPr>
          <w:rFonts w:ascii="Times New Roman" w:hAnsi="Times New Roman"/>
          <w:b w:val="0"/>
          <w:i w:val="0"/>
          <w:sz w:val="24"/>
        </w:rPr>
        <w:t>Todos los objetivos planteados al inicio del proyecto se han alcanzado satisfactoriamente, lo que permite afirmar que la plataforma es funcionalmente válida para su comercialización a clientes piloto.</w:t>
      </w:r>
    </w:p>
    <w:p>
      <w:r>
        <w:br w:type="page"/>
      </w:r>
    </w:p>
    <w:p>
      <w:pPr>
        <w:spacing w:before="240" w:after="240"/>
        <w:jc w:val="left"/>
      </w:pPr>
      <w:r>
        <w:rPr>
          <w:rFonts w:ascii="Times New Roman" w:hAnsi="Times New Roman"/>
          <w:b/>
          <w:sz w:val="32"/>
        </w:rPr>
        <w:t>7. CONCLUSIÓN</w:t>
      </w:r>
    </w:p>
    <w:p>
      <w:pPr>
        <w:jc w:val="both"/>
      </w:pPr>
      <w:r>
        <w:rPr>
          <w:rFonts w:ascii="Times New Roman" w:hAnsi="Times New Roman"/>
          <w:b w:val="0"/>
          <w:i w:val="0"/>
          <w:sz w:val="24"/>
        </w:rPr>
        <w:t>El presente trabajo ha consistido en el diseño, desarrollo, despliegue y validación de SolveIT, una plataforma SaaS multi-tenant para la gestión de incidencias informáticas en pequeñas y medianas empresas. A lo largo del proyecto se ha cubierto el ciclo completo de un producto software, desde la identificación de la necesidad de mercado hasta la puesta en producción real con clientes piloto.</w:t>
      </w:r>
    </w:p>
    <w:p>
      <w:pPr>
        <w:jc w:val="both"/>
      </w:pPr>
      <w:r>
        <w:rPr>
          <w:rFonts w:ascii="Times New Roman" w:hAnsi="Times New Roman"/>
          <w:b w:val="0"/>
          <w:i w:val="0"/>
          <w:sz w:val="24"/>
        </w:rPr>
        <w:t>Las principales aportaciones del trabajo son tres. En primer lugar, se demuestra que es viable construir un producto SaaS completo y profesional con un stack mayoritariamente abierto y servicios cloud gratuitos o de bajo coste, abriendo la puerta a que otros emprendedores con recursos limitados aborden proyectos de complejidad similar. En segundo lugar, se valida que la integración de inteligencia artificial generativa en productos B2B no es solo un reclamo de marketing sino una funcionalidad que aporta valor real reduciendo la carga del equipo de soporte. En tercer lugar, se confirma que el modelo multi-tenant basado en discriminador por columna es suficiente para los volúmenes esperados en el segmento PYME, sin necesidad de bases de datos separadas por cliente.</w:t>
      </w:r>
    </w:p>
    <w:p>
      <w:pPr>
        <w:jc w:val="both"/>
      </w:pPr>
      <w:r>
        <w:rPr>
          <w:rFonts w:ascii="Times New Roman" w:hAnsi="Times New Roman"/>
          <w:b w:val="0"/>
          <w:i w:val="0"/>
          <w:sz w:val="24"/>
        </w:rPr>
        <w:t>A nivel personal y profesional, el trabajo ha permitido consolidar las competencias adquiridas durante el ciclo formativo, especialmente en programación de servicios y procesos, acceso a datos, programación multimedia y dispositivos móviles. La integración end-to-end de tecnologías heterogéneas (backend, frontend web, móvil, IA, cloud) refleja el perfil profesional demandado actualmente en el mercado laboral.</w:t>
      </w:r>
    </w:p>
    <w:p>
      <w:pPr>
        <w:jc w:val="both"/>
      </w:pPr>
      <w:r>
        <w:rPr>
          <w:rFonts w:ascii="Times New Roman" w:hAnsi="Times New Roman"/>
          <w:b w:val="0"/>
          <w:i w:val="0"/>
          <w:sz w:val="24"/>
        </w:rPr>
        <w:t>El proyecto está alineado con la Agenda 2030 y los Objetivos de Desarrollo Sostenible, especialmente el ODS 8, el ODS 9 y el ODS 12, al contribuir a la digitalización del tejido empresarial español, mejorar la productividad de los trabajadores y democratizar el acceso a herramientas IT que tradicionalmente solo estaban al alcance de grandes corporaciones. Se sitúa, asimismo, en el ámbito de las economías transformadoras al ofrecer un producto accesible que reduce la brecha tecnológica entre PYME y grandes empresas.</w:t>
      </w:r>
    </w:p>
    <w:p>
      <w:pPr>
        <w:jc w:val="both"/>
      </w:pPr>
      <w:r>
        <w:rPr>
          <w:rFonts w:ascii="Times New Roman" w:hAnsi="Times New Roman"/>
          <w:b w:val="0"/>
          <w:i w:val="0"/>
          <w:sz w:val="24"/>
        </w:rPr>
        <w:t>Como líneas futuras de trabajo se proponen las siguientes: la incorporación de un módulo de gestión de activos (CMDB) que permita asociar incidencias con dispositivos y software concretos; la integración con Microsoft Teams y Slack para crear y consultar tickets desde el chat corporativo; el desarrollo de una API pública que permita a clientes con necesidades específicas integrar SolveIT con sus sistemas internos; y la incorporación de un módulo de SLA (Service Level Agreement) para empresas que necesiten garantías formales de tiempos de respuesta.</w:t>
      </w:r>
    </w:p>
    <w:p>
      <w:pPr>
        <w:jc w:val="both"/>
      </w:pPr>
      <w:r>
        <w:rPr>
          <w:rFonts w:ascii="Times New Roman" w:hAnsi="Times New Roman"/>
          <w:b w:val="0"/>
          <w:i w:val="0"/>
          <w:sz w:val="24"/>
        </w:rPr>
        <w:t>Para abrir el debate con el tribunal se plantean las siguientes preguntas. ¿Hasta qué punto el uso de modelos de IA gratuitos pero externos compromete la sostenibilidad a largo plazo de un producto SaaS? ¿Es ética la asignación automática de incidencias al técnico con menor carga si esto puede generar desigualdades en la valoración del rendimiento de los empleados? ¿Cómo debe SolveIT evolucionar para cumplir con los requisitos del próximo Reglamento Europeo de Inteligencia Artificial?</w:t>
      </w:r>
    </w:p>
    <w:p>
      <w:r>
        <w:br w:type="page"/>
      </w:r>
    </w:p>
    <w:p>
      <w:pPr>
        <w:spacing w:before="240" w:after="240"/>
        <w:jc w:val="left"/>
      </w:pPr>
      <w:r>
        <w:rPr>
          <w:rFonts w:ascii="Times New Roman" w:hAnsi="Times New Roman"/>
          <w:b/>
          <w:sz w:val="32"/>
        </w:rPr>
        <w:t>8. BIBLIOGRAFÍA</w:t>
      </w:r>
    </w:p>
    <w:p>
      <w:pPr>
        <w:spacing w:after="120"/>
        <w:ind w:left="709" w:hanging="709"/>
        <w:jc w:val="both"/>
      </w:pPr>
      <w:r>
        <w:rPr>
          <w:rFonts w:ascii="Times New Roman" w:hAnsi="Times New Roman"/>
          <w:sz w:val="24"/>
        </w:rPr>
        <w:t>Atlassian. (2024). Jira Service Management documentation. Atlassian Documentation. https://www.atlassian.com/software/jira/service-management</w:t>
      </w:r>
    </w:p>
    <w:p>
      <w:pPr>
        <w:spacing w:after="120"/>
        <w:ind w:left="709" w:hanging="709"/>
        <w:jc w:val="both"/>
      </w:pPr>
      <w:r>
        <w:rPr>
          <w:rFonts w:ascii="Times New Roman" w:hAnsi="Times New Roman"/>
          <w:sz w:val="24"/>
        </w:rPr>
        <w:t>Frasco, S. (2023). SaaS metrics 2.0: A guide to measuring and improving what matters. For Entrepreneurs. https://www.forentrepreneurs.com/saas-metrics-2/</w:t>
      </w:r>
    </w:p>
    <w:p>
      <w:pPr>
        <w:spacing w:after="120"/>
        <w:ind w:left="709" w:hanging="709"/>
        <w:jc w:val="both"/>
      </w:pPr>
      <w:r>
        <w:rPr>
          <w:rFonts w:ascii="Times New Roman" w:hAnsi="Times New Roman"/>
          <w:sz w:val="24"/>
        </w:rPr>
        <w:t>Gartner. (2024). Magic Quadrant for IT Service Management Platforms. Gartner Research.</w:t>
      </w:r>
    </w:p>
    <w:p>
      <w:pPr>
        <w:spacing w:after="120"/>
        <w:ind w:left="709" w:hanging="709"/>
        <w:jc w:val="both"/>
      </w:pPr>
      <w:r>
        <w:rPr>
          <w:rFonts w:ascii="Times New Roman" w:hAnsi="Times New Roman"/>
          <w:sz w:val="24"/>
        </w:rPr>
        <w:t>Google. (2024). Gemma: Open models from Google. Google for Developers. https://ai.google.dev/gemma</w:t>
      </w:r>
    </w:p>
    <w:p>
      <w:pPr>
        <w:spacing w:after="120"/>
        <w:ind w:left="709" w:hanging="709"/>
        <w:jc w:val="both"/>
      </w:pPr>
      <w:r>
        <w:rPr>
          <w:rFonts w:ascii="Times New Roman" w:hAnsi="Times New Roman"/>
          <w:sz w:val="24"/>
        </w:rPr>
        <w:t>Instituto Nacional de Estadística. (2024). Encuesta sobre el uso de Tecnologías de la Información y las Comunicaciones (TIC) y del comercio electrónico en las empresas 2023-2024. INE. https://www.ine.es/</w:t>
      </w:r>
    </w:p>
    <w:p>
      <w:pPr>
        <w:spacing w:after="120"/>
        <w:ind w:left="709" w:hanging="709"/>
        <w:jc w:val="both"/>
      </w:pPr>
      <w:r>
        <w:rPr>
          <w:rFonts w:ascii="Times New Roman" w:hAnsi="Times New Roman"/>
          <w:sz w:val="24"/>
        </w:rPr>
        <w:t>Ley 10/2021, de 9 de julio, de trabajo a distancia. Boletín Oficial del Estado, 164, de 10 de julio de 2021.</w:t>
      </w:r>
    </w:p>
    <w:p>
      <w:pPr>
        <w:spacing w:after="120"/>
        <w:ind w:left="709" w:hanging="709"/>
        <w:jc w:val="both"/>
      </w:pPr>
      <w:r>
        <w:rPr>
          <w:rFonts w:ascii="Times New Roman" w:hAnsi="Times New Roman"/>
          <w:sz w:val="24"/>
        </w:rPr>
        <w:t>Ley 31/1995, de 8 de noviembre, de Prevención de Riesgos Laborales. Boletín Oficial del Estado, 269, de 10 de noviembre de 1995.</w:t>
      </w:r>
    </w:p>
    <w:p>
      <w:pPr>
        <w:spacing w:after="120"/>
        <w:ind w:left="709" w:hanging="709"/>
        <w:jc w:val="both"/>
      </w:pPr>
      <w:r>
        <w:rPr>
          <w:rFonts w:ascii="Times New Roman" w:hAnsi="Times New Roman"/>
          <w:sz w:val="24"/>
        </w:rPr>
        <w:t>Ley Orgánica 3/2018, de 5 de diciembre, de Protección de Datos Personales y garantía de los derechos digitales. Boletín Oficial del Estado, 294, de 6 de diciembre de 2018.</w:t>
      </w:r>
    </w:p>
    <w:p>
      <w:pPr>
        <w:spacing w:after="120"/>
        <w:ind w:left="709" w:hanging="709"/>
        <w:jc w:val="both"/>
      </w:pPr>
      <w:r>
        <w:rPr>
          <w:rFonts w:ascii="Times New Roman" w:hAnsi="Times New Roman"/>
          <w:sz w:val="24"/>
        </w:rPr>
        <w:t>Ministerio de Industria, Comercio y Turismo. (2024). Cifras PYME: datos enero 2024. Dirección General de Industria y de la Pequeña y Mediana Empresa. https://industria.gob.es/</w:t>
      </w:r>
    </w:p>
    <w:p>
      <w:pPr>
        <w:spacing w:after="120"/>
        <w:ind w:left="709" w:hanging="709"/>
        <w:jc w:val="both"/>
      </w:pPr>
      <w:r>
        <w:rPr>
          <w:rFonts w:ascii="Times New Roman" w:hAnsi="Times New Roman"/>
          <w:sz w:val="24"/>
        </w:rPr>
        <w:t>Naciones Unidas. (2015). Transformar nuestro mundo: la Agenda 2030 para el Desarrollo Sostenible. Resolución A/RES/70/1.</w:t>
      </w:r>
    </w:p>
    <w:p>
      <w:pPr>
        <w:spacing w:after="120"/>
        <w:ind w:left="709" w:hanging="709"/>
        <w:jc w:val="both"/>
      </w:pPr>
      <w:r>
        <w:rPr>
          <w:rFonts w:ascii="Times New Roman" w:hAnsi="Times New Roman"/>
          <w:sz w:val="24"/>
        </w:rPr>
        <w:t>Real Decreto 488/1997, de 14 de abril, sobre disposiciones mínimas de seguridad y salud relativas al trabajo con equipos que incluyen pantallas de visualización. Boletín Oficial del Estado, 97, de 23 de abril de 1997.</w:t>
      </w:r>
    </w:p>
    <w:p>
      <w:pPr>
        <w:spacing w:after="120"/>
        <w:ind w:left="709" w:hanging="709"/>
        <w:jc w:val="both"/>
      </w:pPr>
      <w:r>
        <w:rPr>
          <w:rFonts w:ascii="Times New Roman" w:hAnsi="Times New Roman"/>
          <w:sz w:val="24"/>
        </w:rPr>
        <w:t>Reglamento (UE) 2016/679 del Parlamento Europeo y del Consejo, de 27 de abril de 2016, relativo a la protección de las personas físicas en lo que respecta al tratamiento de datos personales (RGPD). Diario Oficial de la Unión Europea, L 119, de 4 de mayo de 2016.</w:t>
      </w:r>
    </w:p>
    <w:p>
      <w:pPr>
        <w:spacing w:after="120"/>
        <w:ind w:left="709" w:hanging="709"/>
        <w:jc w:val="both"/>
      </w:pPr>
      <w:r>
        <w:rPr>
          <w:rFonts w:ascii="Times New Roman" w:hAnsi="Times New Roman"/>
          <w:sz w:val="24"/>
        </w:rPr>
        <w:t>Red.es. (2024). Programa Kit Digital: bases reguladoras y convocatorias. Ministerio para la Transformación Digital. https://www.acelerapyme.gob.es/kit-digital</w:t>
      </w:r>
    </w:p>
    <w:p>
      <w:pPr>
        <w:spacing w:after="120"/>
        <w:ind w:left="709" w:hanging="709"/>
        <w:jc w:val="both"/>
      </w:pPr>
      <w:r>
        <w:rPr>
          <w:rFonts w:ascii="Times New Roman" w:hAnsi="Times New Roman"/>
          <w:sz w:val="24"/>
        </w:rPr>
        <w:t>ServiceNow. (2024). ServiceNow IT Service Management. ServiceNow. https://www.servicenow.com/products/itsm.html</w:t>
      </w:r>
    </w:p>
    <w:p>
      <w:r>
        <w:br w:type="page"/>
      </w:r>
    </w:p>
    <w:p>
      <w:pPr>
        <w:spacing w:before="240" w:after="240"/>
        <w:jc w:val="left"/>
      </w:pPr>
      <w:r>
        <w:rPr>
          <w:rFonts w:ascii="Times New Roman" w:hAnsi="Times New Roman"/>
          <w:b/>
          <w:sz w:val="32"/>
        </w:rPr>
        <w:t>9. ANEXOS</w:t>
      </w:r>
    </w:p>
    <w:p>
      <w:pPr>
        <w:spacing w:before="240" w:after="120"/>
      </w:pPr>
      <w:r>
        <w:rPr>
          <w:rFonts w:ascii="Times New Roman" w:hAnsi="Times New Roman"/>
          <w:b/>
          <w:sz w:val="26"/>
        </w:rPr>
        <w:t>Anexo I. Capturas de pantalla de la aplicación</w:t>
      </w:r>
    </w:p>
    <w:p>
      <w:pPr>
        <w:jc w:val="both"/>
      </w:pPr>
      <w:r>
        <w:rPr>
          <w:rFonts w:ascii="Times New Roman" w:hAnsi="Times New Roman"/>
          <w:b w:val="0"/>
          <w:i/>
          <w:sz w:val="24"/>
        </w:rPr>
        <w:t>[INSERTAR AQUÍ las capturas de las pantallas principales: login, lista de incidencias, detalle de incidencia, base de conocimiento, foro, asistente IA, panel SuperAdmin]</w:t>
      </w:r>
    </w:p>
    <w:p>
      <w:pPr>
        <w:spacing w:before="240" w:after="120"/>
      </w:pPr>
      <w:r>
        <w:rPr>
          <w:rFonts w:ascii="Times New Roman" w:hAnsi="Times New Roman"/>
          <w:b/>
          <w:sz w:val="26"/>
        </w:rPr>
        <w:t>Anexo II. Diagrama de la arquitectura</w:t>
      </w:r>
    </w:p>
    <w:p>
      <w:pPr>
        <w:jc w:val="both"/>
      </w:pPr>
      <w:r>
        <w:rPr>
          <w:rFonts w:ascii="Times New Roman" w:hAnsi="Times New Roman"/>
          <w:b w:val="0"/>
          <w:i/>
          <w:sz w:val="24"/>
        </w:rPr>
        <w:t>[INSERTAR AQUÍ el diagrama mostrando: app móvil → API REST (Railway) → PostgreSQL, con conexiones externas a Resend (email) y Google Gemini (IA)]</w:t>
      </w:r>
    </w:p>
    <w:p>
      <w:pPr>
        <w:spacing w:before="240" w:after="120"/>
      </w:pPr>
      <w:r>
        <w:rPr>
          <w:rFonts w:ascii="Times New Roman" w:hAnsi="Times New Roman"/>
          <w:b/>
          <w:sz w:val="26"/>
        </w:rPr>
        <w:t>Anexo III. Modelo entidad-relación de la base de datos</w:t>
      </w:r>
    </w:p>
    <w:p>
      <w:pPr>
        <w:jc w:val="both"/>
      </w:pPr>
      <w:r>
        <w:rPr>
          <w:rFonts w:ascii="Times New Roman" w:hAnsi="Times New Roman"/>
          <w:b w:val="0"/>
          <w:i/>
          <w:sz w:val="24"/>
        </w:rPr>
        <w:t>[INSERTAR AQUÍ el diagrama ER con las tablas: companies, users, incidents, comments, incident_history, notifications, knowledge_base, knowledge_ratings, forum_posts, forum_comments, forum_reactions, password_resets, ai_conversations]</w:t>
      </w:r>
    </w:p>
    <w:p>
      <w:pPr>
        <w:spacing w:before="240" w:after="120"/>
      </w:pPr>
      <w:r>
        <w:rPr>
          <w:rFonts w:ascii="Times New Roman" w:hAnsi="Times New Roman"/>
          <w:b/>
          <w:sz w:val="26"/>
        </w:rPr>
        <w:t>Anexo IV. Repositorio del código fuente</w:t>
      </w:r>
    </w:p>
    <w:p>
      <w:pPr>
        <w:jc w:val="both"/>
      </w:pPr>
      <w:r>
        <w:rPr>
          <w:rFonts w:ascii="Times New Roman" w:hAnsi="Times New Roman"/>
          <w:b w:val="0"/>
          <w:i w:val="0"/>
          <w:sz w:val="24"/>
        </w:rPr>
        <w:t>https://github.com/r-aguado/solveit-app</w:t>
      </w:r>
    </w:p>
    <w:p>
      <w:pPr>
        <w:spacing w:before="240" w:after="120"/>
      </w:pPr>
      <w:r>
        <w:rPr>
          <w:rFonts w:ascii="Times New Roman" w:hAnsi="Times New Roman"/>
          <w:b/>
          <w:sz w:val="26"/>
        </w:rPr>
        <w:t>Anexo V. URL de la aplicación en producción</w:t>
      </w:r>
    </w:p>
    <w:p>
      <w:pPr>
        <w:pStyle w:val="ListBullet"/>
        <w:spacing w:line="360" w:lineRule="auto"/>
      </w:pPr>
      <w:r>
        <w:rPr>
          <w:rFonts w:ascii="Times New Roman" w:hAnsi="Times New Roman"/>
          <w:sz w:val="24"/>
        </w:rPr>
        <w:t>API backend: https://solveit-app-production.up.railway.app</w:t>
      </w:r>
    </w:p>
    <w:p>
      <w:pPr>
        <w:pStyle w:val="ListBullet"/>
        <w:spacing w:line="360" w:lineRule="auto"/>
      </w:pPr>
      <w:r>
        <w:rPr>
          <w:rFonts w:ascii="Times New Roman" w:hAnsi="Times New Roman"/>
          <w:sz w:val="24"/>
        </w:rPr>
        <w:t>Aplicación web: [URL de despliegue de Next.js]</w:t>
      </w:r>
    </w:p>
    <w:p>
      <w:pPr>
        <w:pStyle w:val="ListBullet"/>
        <w:spacing w:line="360" w:lineRule="auto"/>
      </w:pPr>
      <w:r>
        <w:rPr>
          <w:rFonts w:ascii="Times New Roman" w:hAnsi="Times New Roman"/>
          <w:sz w:val="24"/>
        </w:rPr>
        <w:t>APK Android: enlace generado por EAS Build de Expo</w:t>
      </w:r>
    </w:p>
    <w:p>
      <w:pPr>
        <w:spacing w:before="240" w:after="120"/>
      </w:pPr>
      <w:r>
        <w:rPr>
          <w:rFonts w:ascii="Times New Roman" w:hAnsi="Times New Roman"/>
          <w:b/>
          <w:sz w:val="26"/>
        </w:rPr>
        <w:t>Anexo VI. Credenciales de prueba</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Times New Roman" w:hAnsi="Times New Roman"/>
                <w:b/>
                <w:sz w:val="22"/>
              </w:rPr>
              <w:t>Rol</w:t>
            </w:r>
          </w:p>
        </w:tc>
        <w:tc>
          <w:tcPr>
            <w:tcW w:type="dxa" w:w="3135"/>
          </w:tcPr>
          <w:p>
            <w:r/>
            <w:r>
              <w:rPr>
                <w:rFonts w:ascii="Times New Roman" w:hAnsi="Times New Roman"/>
                <w:b/>
                <w:sz w:val="22"/>
              </w:rPr>
              <w:t>Email</w:t>
            </w:r>
          </w:p>
        </w:tc>
        <w:tc>
          <w:tcPr>
            <w:tcW w:type="dxa" w:w="3135"/>
          </w:tcPr>
          <w:p>
            <w:r/>
            <w:r>
              <w:rPr>
                <w:rFonts w:ascii="Times New Roman" w:hAnsi="Times New Roman"/>
                <w:b/>
                <w:sz w:val="22"/>
              </w:rPr>
              <w:t>Contraseña</w:t>
            </w:r>
          </w:p>
        </w:tc>
      </w:tr>
      <w:tr>
        <w:tc>
          <w:tcPr>
            <w:tcW w:type="dxa" w:w="3135"/>
          </w:tcPr>
          <w:p>
            <w:r/>
            <w:r>
              <w:rPr>
                <w:rFonts w:ascii="Times New Roman" w:hAnsi="Times New Roman"/>
                <w:sz w:val="22"/>
              </w:rPr>
              <w:t>SuperAdmin</w:t>
            </w:r>
          </w:p>
        </w:tc>
        <w:tc>
          <w:tcPr>
            <w:tcW w:type="dxa" w:w="3135"/>
          </w:tcPr>
          <w:p>
            <w:r/>
            <w:r>
              <w:rPr>
                <w:rFonts w:ascii="Times New Roman" w:hAnsi="Times New Roman"/>
                <w:sz w:val="22"/>
              </w:rPr>
              <w:t>superadmin@solveit.com</w:t>
            </w:r>
          </w:p>
        </w:tc>
        <w:tc>
          <w:tcPr>
            <w:tcW w:type="dxa" w:w="3135"/>
          </w:tcPr>
          <w:p>
            <w:r/>
            <w:r>
              <w:rPr>
                <w:rFonts w:ascii="Times New Roman" w:hAnsi="Times New Roman"/>
                <w:sz w:val="22"/>
              </w:rPr>
              <w:t>superadmin1234</w:t>
            </w:r>
          </w:p>
        </w:tc>
      </w:tr>
      <w:tr>
        <w:tc>
          <w:tcPr>
            <w:tcW w:type="dxa" w:w="3135"/>
          </w:tcPr>
          <w:p>
            <w:r/>
            <w:r>
              <w:rPr>
                <w:rFonts w:ascii="Times New Roman" w:hAnsi="Times New Roman"/>
                <w:sz w:val="22"/>
              </w:rPr>
              <w:t>Admin (Demo)</w:t>
            </w:r>
          </w:p>
        </w:tc>
        <w:tc>
          <w:tcPr>
            <w:tcW w:type="dxa" w:w="3135"/>
          </w:tcPr>
          <w:p>
            <w:r/>
            <w:r>
              <w:rPr>
                <w:rFonts w:ascii="Times New Roman" w:hAnsi="Times New Roman"/>
                <w:sz w:val="22"/>
              </w:rPr>
              <w:t>admin@solveit.com</w:t>
            </w:r>
          </w:p>
        </w:tc>
        <w:tc>
          <w:tcPr>
            <w:tcW w:type="dxa" w:w="3135"/>
          </w:tcPr>
          <w:p>
            <w:r/>
            <w:r>
              <w:rPr>
                <w:rFonts w:ascii="Times New Roman" w:hAnsi="Times New Roman"/>
                <w:sz w:val="22"/>
              </w:rPr>
              <w:t>admin1234</w:t>
            </w:r>
          </w:p>
        </w:tc>
      </w:tr>
      <w:tr>
        <w:tc>
          <w:tcPr>
            <w:tcW w:type="dxa" w:w="3135"/>
          </w:tcPr>
          <w:p>
            <w:r/>
            <w:r>
              <w:rPr>
                <w:rFonts w:ascii="Times New Roman" w:hAnsi="Times New Roman"/>
                <w:sz w:val="22"/>
              </w:rPr>
              <w:t>Usuarios sembrados</w:t>
            </w:r>
          </w:p>
        </w:tc>
        <w:tc>
          <w:tcPr>
            <w:tcW w:type="dxa" w:w="3135"/>
          </w:tcPr>
          <w:p>
            <w:r/>
            <w:r>
              <w:rPr>
                <w:rFonts w:ascii="Times New Roman" w:hAnsi="Times New Roman"/>
                <w:sz w:val="22"/>
              </w:rPr>
              <w:t>*@solveit.com</w:t>
            </w:r>
          </w:p>
        </w:tc>
        <w:tc>
          <w:tcPr>
            <w:tcW w:type="dxa" w:w="3135"/>
          </w:tcPr>
          <w:p>
            <w:r/>
            <w:r>
              <w:rPr>
                <w:rFonts w:ascii="Times New Roman" w:hAnsi="Times New Roman"/>
                <w:sz w:val="22"/>
              </w:rPr>
              <w:t>password</w:t>
            </w:r>
          </w:p>
        </w:tc>
      </w:tr>
    </w:tbl>
    <w:p/>
    <w:sectPr w:rsidR="00FC693F" w:rsidRPr="0006063C" w:rsidSect="00034616">
      <w:headerReference w:type="default" r:id="rId9"/>
      <w:footerReference w:type="default" r:id="rId10"/>
      <w:pgSz w:w="12240" w:h="15840"/>
      <w:pgMar w:top="1134" w:right="1417" w:bottom="1134"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jc w:val="left"/>
          </w:pPr>
          <w:r>
            <w:drawing>
              <wp:inline xmlns:a="http://schemas.openxmlformats.org/drawingml/2006/main" xmlns:pic="http://schemas.openxmlformats.org/drawingml/2006/picture">
                <wp:extent cx="720000" cy="720000"/>
                <wp:docPr id="1" name="Picture 1"/>
                <wp:cNvGraphicFramePr>
                  <a:graphicFrameLocks noChangeAspect="1"/>
                </wp:cNvGraphicFramePr>
                <a:graphic>
                  <a:graphicData uri="http://schemas.openxmlformats.org/drawingml/2006/picture">
                    <pic:pic>
                      <pic:nvPicPr>
                        <pic:cNvPr id="0" name="logo_corner.png"/>
                        <pic:cNvPicPr/>
                      </pic:nvPicPr>
                      <pic:blipFill>
                        <a:blip r:embed="rId1"/>
                        <a:stretch>
                          <a:fillRect/>
                        </a:stretch>
                      </pic:blipFill>
                      <pic:spPr>
                        <a:xfrm>
                          <a:off x="0" y="0"/>
                          <a:ext cx="720000" cy="720000"/>
                        </a:xfrm>
                        <a:prstGeom prst="rect"/>
                      </pic:spPr>
                    </pic:pic>
                  </a:graphicData>
                </a:graphic>
              </wp:inline>
            </w:drawing>
          </w:r>
        </w:p>
      </w:tc>
      <w:tc>
        <w:tcPr>
          <w:tcW w:type="dxa" w:w="4535"/>
        </w:tcPr>
        <w:p>
          <w:pPr>
            <w:jc w:val="right"/>
          </w:pPr>
          <w:r>
            <w:drawing>
              <wp:inline xmlns:a="http://schemas.openxmlformats.org/drawingml/2006/main" xmlns:pic="http://schemas.openxmlformats.org/drawingml/2006/picture">
                <wp:extent cx="1260000" cy="630000"/>
                <wp:docPr id="2" name="Picture 2"/>
                <wp:cNvGraphicFramePr>
                  <a:graphicFrameLocks noChangeAspect="1"/>
                </wp:cNvGraphicFramePr>
                <a:graphic>
                  <a:graphicData uri="http://schemas.openxmlformats.org/drawingml/2006/picture">
                    <pic:pic>
                      <pic:nvPicPr>
                        <pic:cNvPr id="0" name="logo_header.png"/>
                        <pic:cNvPicPr/>
                      </pic:nvPicPr>
                      <pic:blipFill>
                        <a:blip r:embed="rId2"/>
                        <a:stretch>
                          <a:fillRect/>
                        </a:stretch>
                      </pic:blipFill>
                      <pic:spPr>
                        <a:xfrm>
                          <a:off x="0" y="0"/>
                          <a:ext cx="1260000" cy="63000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