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B854C">
      <w:pPr>
        <w:spacing w:before="0" w:after="200"/>
        <w:jc w:val="center"/>
      </w:pPr>
      <w:r>
        <w:rPr>
          <w:rFonts w:ascii="Arial" w:hAnsi="Arial" w:eastAsia="Arial" w:cs="Arial"/>
          <w:b/>
          <w:bCs/>
          <w:color w:val="1F4E79"/>
          <w:sz w:val="36"/>
          <w:szCs w:val="36"/>
        </w:rPr>
        <w:t>DT-Guard: A Two-Stage Hybrid Framework for Encrypted Network Traffic Classification with Anomaly Detection</w:t>
      </w:r>
    </w:p>
    <w:p w14:paraId="6E650E22">
      <w:pPr>
        <w:spacing w:before="100" w:after="60"/>
        <w:jc w:val="center"/>
        <w:rPr>
          <w:rFonts w:hint="default" w:cs="Arial"/>
          <w:lang w:bidi="ar-SA"/>
        </w:rPr>
      </w:pPr>
      <w:r>
        <w:rPr>
          <w:rFonts w:ascii="Arial" w:hAnsi="Arial" w:eastAsia="Arial" w:cs="Arial"/>
          <w:b/>
          <w:bCs/>
          <w:sz w:val="24"/>
          <w:szCs w:val="24"/>
        </w:rPr>
        <w:t xml:space="preserve">Rawan </w:t>
      </w:r>
      <w:r>
        <w:rPr>
          <w:rFonts w:hint="default" w:ascii="Arial" w:hAnsi="Arial" w:eastAsia="Arial" w:cs="Arial"/>
          <w:b/>
          <w:bCs/>
          <w:sz w:val="24"/>
          <w:szCs w:val="24"/>
        </w:rPr>
        <w:t>Al Shweiki</w:t>
      </w:r>
    </w:p>
    <w:p w14:paraId="064E03E4">
      <w:pPr>
        <w:spacing w:before="0" w:after="200"/>
        <w:jc w:val="center"/>
        <w:rPr>
          <w:rFonts w:ascii="Times New Roman" w:hAnsi="Times New Roman" w:eastAsia="Times New Roman" w:cs="Times New Roman"/>
          <w:i/>
          <w:iCs/>
          <w:sz w:val="22"/>
          <w:szCs w:val="22"/>
        </w:rPr>
      </w:pPr>
      <w:r>
        <w:rPr>
          <w:rFonts w:hint="default" w:cs="Times New Roman"/>
          <w:i/>
          <w:iCs/>
          <w:sz w:val="22"/>
          <w:szCs w:val="22"/>
        </w:rPr>
        <w:t xml:space="preserve">Modern </w:t>
      </w:r>
      <w:r>
        <w:rPr>
          <w:rFonts w:ascii="Times New Roman" w:hAnsi="Times New Roman" w:eastAsia="Times New Roman" w:cs="Times New Roman"/>
          <w:i/>
          <w:iCs/>
          <w:sz w:val="22"/>
          <w:szCs w:val="22"/>
        </w:rPr>
        <w:t>University</w:t>
      </w:r>
      <w:r>
        <w:rPr>
          <w:rFonts w:hint="default" w:cs="Times New Roman"/>
          <w:i/>
          <w:iCs/>
          <w:sz w:val="22"/>
          <w:szCs w:val="22"/>
        </w:rPr>
        <w:t xml:space="preserve"> College </w:t>
      </w:r>
      <w:r>
        <w:rPr>
          <w:rFonts w:ascii="Times New Roman" w:hAnsi="Times New Roman" w:eastAsia="Times New Roman" w:cs="Times New Roman"/>
          <w:i/>
          <w:iCs/>
          <w:sz w:val="22"/>
          <w:szCs w:val="22"/>
        </w:rPr>
        <w:t>, Palestine</w:t>
      </w:r>
    </w:p>
    <w:p w14:paraId="1044D537">
      <w:pPr>
        <w:spacing w:before="0" w:after="200"/>
        <w:jc w:val="center"/>
        <w:rPr>
          <w:rFonts w:ascii="Times New Roman" w:hAnsi="Times New Roman" w:eastAsia="Times New Roman" w:cs="Times New Roman"/>
          <w:i/>
          <w:iCs/>
          <w:sz w:val="22"/>
          <w:szCs w:val="22"/>
        </w:rPr>
      </w:pPr>
    </w:p>
    <w:p w14:paraId="632A10EB">
      <w:pPr>
        <w:spacing w:before="0" w:after="200"/>
        <w:jc w:val="center"/>
        <w:rPr>
          <w:rFonts w:ascii="Times New Roman" w:hAnsi="Times New Roman" w:eastAsia="Times New Roman" w:cs="Times New Roman"/>
          <w:i/>
          <w:iCs/>
          <w:sz w:val="22"/>
          <w:szCs w:val="22"/>
        </w:rPr>
      </w:pPr>
      <w:r>
        <w:rPr>
          <w:sz w:val="20"/>
        </w:rPr>
        <w:drawing>
          <wp:inline distT="0" distB="0" distL="0" distR="0">
            <wp:extent cx="2187575" cy="2198370"/>
            <wp:effectExtent l="0" t="0" r="3175" b="11430"/>
            <wp:docPr id="1" name="Image 3" descr="الوصف: C:\Users\Nawaf\Desktop\download.png"/>
            <wp:cNvGraphicFramePr/>
            <a:graphic xmlns:a="http://schemas.openxmlformats.org/drawingml/2006/main">
              <a:graphicData uri="http://schemas.openxmlformats.org/drawingml/2006/picture">
                <pic:pic xmlns:pic="http://schemas.openxmlformats.org/drawingml/2006/picture">
                  <pic:nvPicPr>
                    <pic:cNvPr id="1" name="Image 3" descr="الوصف: C:\Users\Nawaf\Desktop\download.png"/>
                    <pic:cNvPicPr/>
                  </pic:nvPicPr>
                  <pic:blipFill>
                    <a:blip r:embed="rId4" cstate="print"/>
                    <a:stretch>
                      <a:fillRect/>
                    </a:stretch>
                  </pic:blipFill>
                  <pic:spPr>
                    <a:xfrm>
                      <a:off x="0" y="0"/>
                      <a:ext cx="2187606" cy="2198941"/>
                    </a:xfrm>
                    <a:prstGeom prst="rect">
                      <a:avLst/>
                    </a:prstGeom>
                  </pic:spPr>
                </pic:pic>
              </a:graphicData>
            </a:graphic>
          </wp:inline>
        </w:drawing>
      </w:r>
    </w:p>
    <w:p w14:paraId="2D12538E">
      <w:pPr>
        <w:spacing w:before="0" w:after="200"/>
        <w:jc w:val="both"/>
        <w:rPr>
          <w:rFonts w:ascii="Times New Roman" w:hAnsi="Times New Roman" w:eastAsia="Times New Roman" w:cs="Times New Roman"/>
          <w:i/>
          <w:iCs/>
          <w:sz w:val="22"/>
          <w:szCs w:val="22"/>
        </w:rPr>
      </w:pPr>
    </w:p>
    <w:p w14:paraId="3AE4B8FC">
      <w:pPr>
        <w:spacing w:before="160" w:after="80"/>
        <w:jc w:val="center"/>
      </w:pPr>
      <w:r>
        <w:rPr>
          <w:rFonts w:ascii="Arial" w:hAnsi="Arial" w:eastAsia="Arial" w:cs="Arial"/>
          <w:b/>
          <w:bCs/>
          <w:color w:val="1F4E79"/>
          <w:sz w:val="26"/>
          <w:szCs w:val="26"/>
        </w:rPr>
        <w:t>Abstract</w:t>
      </w:r>
    </w:p>
    <w:p w14:paraId="011A229B">
      <w:pPr>
        <w:spacing w:before="80" w:after="80" w:line="276" w:lineRule="auto"/>
        <w:ind w:left="720" w:right="720"/>
        <w:jc w:val="both"/>
      </w:pPr>
      <w:r>
        <w:rPr>
          <w:rFonts w:ascii="Times New Roman" w:hAnsi="Times New Roman" w:eastAsia="Times New Roman" w:cs="Times New Roman"/>
          <w:sz w:val="22"/>
          <w:szCs w:val="22"/>
        </w:rPr>
        <w:t>This study presents DT-Guard, a two-stage hybrid framework for encrypted network traffic classification. Unlike previous approaches that treat classification and anomaly detection as separate tasks, DT-Guard integrates both into a unified pipeline. The first stage employs an Autoencoder trained exclusively on benign traffic to detect anomalies through reconstruction error thresholding, supported by a K-Nearest Neighbors (KNN) classifier for gray-zone resolution. The second stage applies a Decision Tree (DT) as the core classifier, enriched by meta-features from Random Forest (RF) and XGBoost. The framework was trained on the ISCX VPN-nonVPN dataset (59,706 flows mapped to five classes) with CICIDS2017 BENIGN traffic (97,718 flows) used exclusively for Autoencoder training. Evaluation on the test set yielded a Cross-Validation accuracy of 96.07% (±0.21%) with an F1-score of 91.92%. Generalization testing on UNSW-NB15 (175,341 flows) demonstrated a detection rate of 51.2% and precision of 93.0% after threshold adaptation, revealing the importance of domain-specific threshold calibration as a future research direction.</w:t>
      </w:r>
    </w:p>
    <w:p w14:paraId="141050C9">
      <w:pPr>
        <w:spacing w:before="80" w:after="80"/>
      </w:pPr>
    </w:p>
    <w:p w14:paraId="5EEAADA8">
      <w:pPr>
        <w:spacing w:before="40" w:after="160"/>
        <w:ind w:left="720" w:right="720"/>
        <w:jc w:val="both"/>
      </w:pPr>
      <w:r>
        <w:rPr>
          <w:rFonts w:ascii="Times New Roman" w:hAnsi="Times New Roman" w:eastAsia="Times New Roman" w:cs="Times New Roman"/>
          <w:b/>
          <w:bCs/>
          <w:sz w:val="22"/>
          <w:szCs w:val="22"/>
        </w:rPr>
        <w:t xml:space="preserve">Keywords: </w:t>
      </w:r>
      <w:r>
        <w:rPr>
          <w:rFonts w:ascii="Times New Roman" w:hAnsi="Times New Roman" w:eastAsia="Times New Roman" w:cs="Times New Roman"/>
          <w:i/>
          <w:iCs/>
          <w:sz w:val="22"/>
          <w:szCs w:val="22"/>
        </w:rPr>
        <w:t>Network Traffic Classification, Anomaly Detection, Decision Tree, Ensemble Learning, Autoencoder, Encrypted Traffic, ISCX VPN, Two-Stage Framework</w:t>
      </w:r>
    </w:p>
    <w:p w14:paraId="6BBD6AF1">
      <w:pPr>
        <w:pStyle w:val="2"/>
        <w:spacing w:before="240" w:after="120"/>
        <w:rPr>
          <w:rFonts w:ascii="Arial" w:hAnsi="Arial" w:eastAsia="Arial" w:cs="Arial"/>
          <w:b/>
          <w:bCs/>
          <w:color w:val="1F4E79"/>
          <w:sz w:val="32"/>
          <w:szCs w:val="32"/>
        </w:rPr>
      </w:pPr>
    </w:p>
    <w:p w14:paraId="3D5CF54A">
      <w:pPr>
        <w:pStyle w:val="2"/>
        <w:spacing w:before="240" w:after="120"/>
      </w:pPr>
      <w:r>
        <w:rPr>
          <w:rFonts w:ascii="Arial" w:hAnsi="Arial" w:eastAsia="Arial" w:cs="Arial"/>
          <w:b/>
          <w:bCs/>
          <w:color w:val="1F4E79"/>
          <w:sz w:val="32"/>
          <w:szCs w:val="32"/>
        </w:rPr>
        <w:t>I. Introduction</w:t>
      </w:r>
    </w:p>
    <w:p w14:paraId="33F677E7">
      <w:pPr>
        <w:spacing w:before="80" w:after="80" w:line="276" w:lineRule="auto"/>
        <w:jc w:val="both"/>
      </w:pPr>
      <w:r>
        <w:rPr>
          <w:rFonts w:ascii="Times New Roman" w:hAnsi="Times New Roman" w:eastAsia="Times New Roman" w:cs="Times New Roman"/>
          <w:b w:val="0"/>
          <w:bCs w:val="0"/>
          <w:i w:val="0"/>
          <w:iCs w:val="0"/>
          <w:color w:val="000000"/>
          <w:sz w:val="22"/>
          <w:szCs w:val="22"/>
        </w:rPr>
        <w:t>The rapid expansion of encrypted internet traffic has rendered traditional traffic classification methods increasingly ineffective. Port-based inspection and deep packet inspection (DPI) techniques fail against modern encryption protocols such as TLS and QUIC. Consequently, machine learning approaches have emerged as the dominant paradigm for classifying network flows based on statistical behavioral features rather than payload content.</w:t>
      </w:r>
    </w:p>
    <w:p w14:paraId="1D177EE0">
      <w:pPr>
        <w:spacing w:before="80" w:after="80"/>
      </w:pPr>
    </w:p>
    <w:p w14:paraId="1DCB6625">
      <w:pPr>
        <w:spacing w:before="80" w:after="80" w:line="276" w:lineRule="auto"/>
        <w:jc w:val="both"/>
      </w:pPr>
      <w:r>
        <w:rPr>
          <w:rFonts w:ascii="Times New Roman" w:hAnsi="Times New Roman" w:eastAsia="Times New Roman" w:cs="Times New Roman"/>
          <w:b w:val="0"/>
          <w:bCs w:val="0"/>
          <w:i w:val="0"/>
          <w:iCs w:val="0"/>
          <w:color w:val="000000"/>
          <w:sz w:val="22"/>
          <w:szCs w:val="22"/>
        </w:rPr>
        <w:t>Prior work, including the foundational study by Antari et al. (2024), evaluated multiple classifiers including Decision Trees, Random Forests, XGBoost, Deep Neural Networks (DNN), and Transformer-based models on a custom AED dataset. While Transformers achieved the highest accuracy (98.95%), they offer limited interpretability and require substantial computational resources. Decision Trees achieved 95.00% accuracy but were deployed as standalone models without ensemble support.</w:t>
      </w:r>
    </w:p>
    <w:p w14:paraId="7CBAB2FE">
      <w:pPr>
        <w:spacing w:before="80" w:after="80"/>
      </w:pPr>
    </w:p>
    <w:p w14:paraId="3170F16B">
      <w:pPr>
        <w:spacing w:before="80" w:after="80" w:line="276" w:lineRule="auto"/>
        <w:jc w:val="both"/>
      </w:pPr>
      <w:r>
        <w:rPr>
          <w:rFonts w:ascii="Times New Roman" w:hAnsi="Times New Roman" w:eastAsia="Times New Roman" w:cs="Times New Roman"/>
          <w:b w:val="0"/>
          <w:bCs w:val="0"/>
          <w:i w:val="0"/>
          <w:iCs w:val="0"/>
          <w:color w:val="000000"/>
          <w:sz w:val="22"/>
          <w:szCs w:val="22"/>
        </w:rPr>
        <w:t>This paper introduces DT-Guard, which addresses three key limitations of prior work: (1) the absence of anomaly detection as a pre-classification gate, (2) the underutilization of Decision Trees as a core interpretable classifier, and (3) the lack of cross-dataset generalization evaluation. DT-Guard proposes a two-stage pipeline where anomalous traffic is filtered before classification, enabling the Decision Tree to operate on higher-quality, pre-validated inputs.</w:t>
      </w:r>
    </w:p>
    <w:p w14:paraId="71B9AA57">
      <w:pPr>
        <w:pStyle w:val="2"/>
        <w:spacing w:before="240" w:after="120"/>
      </w:pPr>
      <w:r>
        <w:rPr>
          <w:rFonts w:ascii="Arial" w:hAnsi="Arial" w:eastAsia="Arial" w:cs="Arial"/>
          <w:b/>
          <w:bCs/>
          <w:color w:val="1F4E79"/>
          <w:sz w:val="32"/>
          <w:szCs w:val="32"/>
        </w:rPr>
        <w:t>II. Related Work</w:t>
      </w:r>
    </w:p>
    <w:p w14:paraId="1D15CFB6">
      <w:pPr>
        <w:spacing w:before="80" w:after="80" w:line="276" w:lineRule="auto"/>
        <w:jc w:val="both"/>
      </w:pPr>
      <w:r>
        <w:rPr>
          <w:rFonts w:ascii="Times New Roman" w:hAnsi="Times New Roman" w:eastAsia="Times New Roman" w:cs="Times New Roman"/>
          <w:b w:val="0"/>
          <w:bCs w:val="0"/>
          <w:i w:val="0"/>
          <w:iCs w:val="0"/>
          <w:color w:val="000000"/>
          <w:sz w:val="22"/>
          <w:szCs w:val="22"/>
        </w:rPr>
        <w:t>Network traffic classification has evolved significantly from port-based methods to sophisticated machine learning pipelines. Lotfollahi et al. (2020) demonstrated deep learning applicability to encrypted traffic classification. Sarhan et al. (2020) evaluated NetFlow-based features across multiple benchmark NIDS datasets. Nguyen and Armitage (2008) conducted a comprehensive survey showing that Decision Trees and SVMs provide competitive accuracy in traffic classification tasks.</w:t>
      </w:r>
    </w:p>
    <w:p w14:paraId="5C9200D1">
      <w:pPr>
        <w:spacing w:before="80" w:after="80"/>
      </w:pPr>
    </w:p>
    <w:p w14:paraId="5BF3E55F">
      <w:pPr>
        <w:spacing w:before="80" w:after="80" w:line="276" w:lineRule="auto"/>
        <w:jc w:val="both"/>
      </w:pPr>
      <w:r>
        <w:rPr>
          <w:rFonts w:ascii="Times New Roman" w:hAnsi="Times New Roman" w:eastAsia="Times New Roman" w:cs="Times New Roman"/>
          <w:b w:val="0"/>
          <w:bCs w:val="0"/>
          <w:i w:val="0"/>
          <w:iCs w:val="0"/>
          <w:color w:val="000000"/>
          <w:sz w:val="22"/>
          <w:szCs w:val="22"/>
        </w:rPr>
        <w:t>Anomaly detection in network traffic has been studied separately, with Autoencoder-based approaches gaining traction due to their ability to model normal behavior without labeled attack data. The combination of anomaly detection and traffic classification into a unified framework remains an open research problem, which DT-Guard addresses.</w:t>
      </w:r>
    </w:p>
    <w:p w14:paraId="48F2949D">
      <w:pPr>
        <w:spacing w:before="80" w:after="80"/>
      </w:pPr>
    </w:p>
    <w:p w14:paraId="32F23ADE">
      <w:pPr>
        <w:spacing w:before="80" w:after="80" w:line="276" w:lineRule="auto"/>
        <w:jc w:val="both"/>
      </w:pPr>
      <w:r>
        <w:rPr>
          <w:rFonts w:ascii="Times New Roman" w:hAnsi="Times New Roman" w:eastAsia="Times New Roman" w:cs="Times New Roman"/>
          <w:b w:val="0"/>
          <w:bCs w:val="0"/>
          <w:i w:val="0"/>
          <w:iCs w:val="0"/>
          <w:color w:val="000000"/>
          <w:sz w:val="22"/>
          <w:szCs w:val="22"/>
        </w:rPr>
        <w:t>The Antari et al. (2024) study provides the direct baseline for this work, having evaluated eight model families on a custom organizational dataset (AED) with five traffic classes: Web, Browsing, IPSec, Backup, and Email. DT-Guard extends this work by introducing anomaly pre-filtering, ensemble-supported Decision Tree classification, and multi-dataset evaluation.</w:t>
      </w:r>
    </w:p>
    <w:p w14:paraId="2F52E5A2">
      <w:pPr>
        <w:pStyle w:val="2"/>
        <w:spacing w:before="240" w:after="120"/>
        <w:rPr>
          <w:rFonts w:ascii="Arial" w:hAnsi="Arial" w:eastAsia="Arial" w:cs="Arial"/>
          <w:b/>
          <w:bCs/>
          <w:color w:val="1F4E79"/>
          <w:sz w:val="32"/>
          <w:szCs w:val="32"/>
        </w:rPr>
      </w:pPr>
    </w:p>
    <w:p w14:paraId="529A82FC">
      <w:pPr>
        <w:pStyle w:val="2"/>
        <w:spacing w:before="240" w:after="120"/>
        <w:rPr>
          <w:rFonts w:ascii="Arial" w:hAnsi="Arial" w:eastAsia="Arial" w:cs="Arial"/>
          <w:b/>
          <w:bCs/>
          <w:color w:val="1F4E79"/>
          <w:sz w:val="32"/>
          <w:szCs w:val="32"/>
        </w:rPr>
      </w:pPr>
    </w:p>
    <w:p w14:paraId="07E15CC6">
      <w:pPr>
        <w:pStyle w:val="2"/>
        <w:spacing w:before="240" w:after="120"/>
        <w:rPr>
          <w:rFonts w:ascii="Arial" w:hAnsi="Arial" w:eastAsia="Arial" w:cs="Arial"/>
          <w:b/>
          <w:bCs/>
          <w:color w:val="1F4E79"/>
          <w:sz w:val="32"/>
          <w:szCs w:val="32"/>
        </w:rPr>
      </w:pPr>
    </w:p>
    <w:p w14:paraId="2B34E910">
      <w:pPr>
        <w:pStyle w:val="2"/>
        <w:spacing w:before="240" w:after="120"/>
      </w:pPr>
      <w:r>
        <w:rPr>
          <w:rFonts w:ascii="Arial" w:hAnsi="Arial" w:eastAsia="Arial" w:cs="Arial"/>
          <w:b/>
          <w:bCs/>
          <w:color w:val="1F4E79"/>
          <w:sz w:val="32"/>
          <w:szCs w:val="32"/>
        </w:rPr>
        <w:t>III. Methodology</w:t>
      </w:r>
    </w:p>
    <w:p w14:paraId="58400276">
      <w:pPr>
        <w:pStyle w:val="3"/>
        <w:spacing w:before="240" w:after="120"/>
      </w:pPr>
      <w:r>
        <w:rPr>
          <w:rFonts w:ascii="Arial" w:hAnsi="Arial" w:eastAsia="Arial" w:cs="Arial"/>
          <w:b/>
          <w:bCs/>
          <w:color w:val="1F4E79"/>
          <w:sz w:val="26"/>
          <w:szCs w:val="26"/>
        </w:rPr>
        <w:t>A. Datasets</w:t>
      </w:r>
    </w:p>
    <w:p w14:paraId="22563FAB">
      <w:pPr>
        <w:spacing w:before="80" w:after="80" w:line="276" w:lineRule="auto"/>
        <w:jc w:val="both"/>
      </w:pPr>
      <w:r>
        <w:rPr>
          <w:rFonts w:ascii="Times New Roman" w:hAnsi="Times New Roman" w:eastAsia="Times New Roman" w:cs="Times New Roman"/>
          <w:b w:val="0"/>
          <w:bCs w:val="0"/>
          <w:i w:val="0"/>
          <w:iCs w:val="0"/>
          <w:color w:val="000000"/>
          <w:sz w:val="22"/>
          <w:szCs w:val="22"/>
        </w:rPr>
        <w:t>Three datasets were utilized, each serving a distinct role in the DT-Guard pipeline:</w:t>
      </w:r>
    </w:p>
    <w:p w14:paraId="1F132A40">
      <w:pPr>
        <w:spacing w:before="80" w:after="80"/>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600"/>
        <w:gridCol w:w="1800"/>
        <w:gridCol w:w="1960"/>
      </w:tblGrid>
      <w:tr w14:paraId="4EA5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5E7BC3E">
            <w:pPr>
              <w:jc w:val="center"/>
            </w:pPr>
            <w:r>
              <w:rPr>
                <w:rFonts w:ascii="Arial" w:hAnsi="Arial" w:eastAsia="Arial" w:cs="Arial"/>
                <w:b/>
                <w:bCs/>
                <w:color w:val="FFFFFF"/>
                <w:sz w:val="20"/>
                <w:szCs w:val="20"/>
              </w:rPr>
              <w:t>Dataset</w:t>
            </w:r>
          </w:p>
        </w:tc>
        <w:tc>
          <w:tcPr>
            <w:tcW w:w="26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7CF3355D">
            <w:pPr>
              <w:jc w:val="center"/>
            </w:pPr>
            <w:r>
              <w:rPr>
                <w:rFonts w:ascii="Arial" w:hAnsi="Arial" w:eastAsia="Arial" w:cs="Arial"/>
                <w:b/>
                <w:bCs/>
                <w:color w:val="FFFFFF"/>
                <w:sz w:val="20"/>
                <w:szCs w:val="20"/>
              </w:rPr>
              <w:t>Role</w:t>
            </w:r>
          </w:p>
        </w:tc>
        <w:tc>
          <w:tcPr>
            <w:tcW w:w="1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22D78B7D">
            <w:pPr>
              <w:jc w:val="center"/>
            </w:pPr>
            <w:r>
              <w:rPr>
                <w:rFonts w:ascii="Arial" w:hAnsi="Arial" w:eastAsia="Arial" w:cs="Arial"/>
                <w:b/>
                <w:bCs/>
                <w:color w:val="FFFFFF"/>
                <w:sz w:val="20"/>
                <w:szCs w:val="20"/>
              </w:rPr>
              <w:t>Records</w:t>
            </w:r>
          </w:p>
        </w:tc>
        <w:tc>
          <w:tcPr>
            <w:tcW w:w="196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9A0803E">
            <w:pPr>
              <w:jc w:val="center"/>
            </w:pPr>
            <w:r>
              <w:rPr>
                <w:rFonts w:ascii="Arial" w:hAnsi="Arial" w:eastAsia="Arial" w:cs="Arial"/>
                <w:b/>
                <w:bCs/>
                <w:color w:val="FFFFFF"/>
                <w:sz w:val="20"/>
                <w:szCs w:val="20"/>
              </w:rPr>
              <w:t>Classes</w:t>
            </w:r>
          </w:p>
        </w:tc>
      </w:tr>
      <w:tr w14:paraId="4366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F2DE0AB">
            <w:pPr>
              <w:jc w:val="center"/>
            </w:pPr>
            <w:r>
              <w:rPr>
                <w:rFonts w:ascii="Times New Roman" w:hAnsi="Times New Roman" w:eastAsia="Times New Roman" w:cs="Times New Roman"/>
                <w:b/>
                <w:bCs/>
                <w:sz w:val="20"/>
                <w:szCs w:val="20"/>
              </w:rPr>
              <w:t>ISCX VPN-nonVPN</w:t>
            </w:r>
          </w:p>
        </w:tc>
        <w:tc>
          <w:tcPr>
            <w:tcW w:w="26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B96503E">
            <w:pPr>
              <w:jc w:val="center"/>
            </w:pPr>
            <w:r>
              <w:rPr>
                <w:rFonts w:ascii="Times New Roman" w:hAnsi="Times New Roman" w:eastAsia="Times New Roman" w:cs="Times New Roman"/>
                <w:b w:val="0"/>
                <w:bCs w:val="0"/>
                <w:sz w:val="20"/>
                <w:szCs w:val="20"/>
              </w:rPr>
              <w:t>Training &amp; Classification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01611A49">
            <w:pPr>
              <w:jc w:val="center"/>
            </w:pPr>
            <w:r>
              <w:rPr>
                <w:rFonts w:ascii="Times New Roman" w:hAnsi="Times New Roman" w:eastAsia="Times New Roman" w:cs="Times New Roman"/>
                <w:b w:val="0"/>
                <w:bCs w:val="0"/>
                <w:sz w:val="20"/>
                <w:szCs w:val="20"/>
              </w:rPr>
              <w:t>59,706</w:t>
            </w:r>
          </w:p>
        </w:tc>
        <w:tc>
          <w:tcPr>
            <w:tcW w:w="19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D4231F8">
            <w:pPr>
              <w:jc w:val="center"/>
            </w:pPr>
            <w:r>
              <w:rPr>
                <w:rFonts w:ascii="Times New Roman" w:hAnsi="Times New Roman" w:eastAsia="Times New Roman" w:cs="Times New Roman"/>
                <w:b w:val="0"/>
                <w:bCs w:val="0"/>
                <w:sz w:val="20"/>
                <w:szCs w:val="20"/>
              </w:rPr>
              <w:t>14 → 5 mapped</w:t>
            </w:r>
          </w:p>
        </w:tc>
      </w:tr>
      <w:tr w14:paraId="02EA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691018">
            <w:pPr>
              <w:jc w:val="center"/>
            </w:pPr>
            <w:r>
              <w:rPr>
                <w:rFonts w:ascii="Times New Roman" w:hAnsi="Times New Roman" w:eastAsia="Times New Roman" w:cs="Times New Roman"/>
                <w:b/>
                <w:bCs/>
                <w:sz w:val="20"/>
                <w:szCs w:val="20"/>
              </w:rPr>
              <w:t>CICIDS2017 (BENIGN only)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87B2FF">
            <w:pPr>
              <w:jc w:val="center"/>
            </w:pPr>
            <w:r>
              <w:rPr>
                <w:rFonts w:ascii="Times New Roman" w:hAnsi="Times New Roman" w:eastAsia="Times New Roman" w:cs="Times New Roman"/>
                <w:b w:val="0"/>
                <w:bCs w:val="0"/>
                <w:sz w:val="20"/>
                <w:szCs w:val="20"/>
              </w:rPr>
              <w:t>Autoencoder Training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72DB52">
            <w:pPr>
              <w:jc w:val="center"/>
            </w:pPr>
            <w:r>
              <w:rPr>
                <w:rFonts w:ascii="Times New Roman" w:hAnsi="Times New Roman" w:eastAsia="Times New Roman" w:cs="Times New Roman"/>
                <w:b w:val="0"/>
                <w:bCs w:val="0"/>
                <w:sz w:val="20"/>
                <w:szCs w:val="20"/>
              </w:rPr>
              <w:t>97,718</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0A4ED6">
            <w:pPr>
              <w:jc w:val="center"/>
            </w:pPr>
            <w:r>
              <w:rPr>
                <w:rFonts w:ascii="Times New Roman" w:hAnsi="Times New Roman" w:eastAsia="Times New Roman" w:cs="Times New Roman"/>
                <w:b w:val="0"/>
                <w:bCs w:val="0"/>
                <w:sz w:val="20"/>
                <w:szCs w:val="20"/>
              </w:rPr>
              <w:t>Normal Traffic</w:t>
            </w:r>
          </w:p>
        </w:tc>
      </w:tr>
      <w:tr w14:paraId="4D8A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5D36014">
            <w:pPr>
              <w:jc w:val="center"/>
            </w:pPr>
            <w:r>
              <w:rPr>
                <w:rFonts w:ascii="Times New Roman" w:hAnsi="Times New Roman" w:eastAsia="Times New Roman" w:cs="Times New Roman"/>
                <w:b/>
                <w:bCs/>
                <w:sz w:val="20"/>
                <w:szCs w:val="20"/>
              </w:rPr>
              <w:t>UNSW-NB15</w:t>
            </w:r>
          </w:p>
        </w:tc>
        <w:tc>
          <w:tcPr>
            <w:tcW w:w="26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8573828">
            <w:pPr>
              <w:jc w:val="center"/>
            </w:pPr>
            <w:r>
              <w:rPr>
                <w:rFonts w:ascii="Times New Roman" w:hAnsi="Times New Roman" w:eastAsia="Times New Roman" w:cs="Times New Roman"/>
                <w:b w:val="0"/>
                <w:bCs w:val="0"/>
                <w:sz w:val="20"/>
                <w:szCs w:val="20"/>
              </w:rPr>
              <w:t>Generalization Testing</w:t>
            </w:r>
          </w:p>
        </w:tc>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6106BE4">
            <w:pPr>
              <w:jc w:val="center"/>
            </w:pPr>
            <w:r>
              <w:rPr>
                <w:rFonts w:ascii="Times New Roman" w:hAnsi="Times New Roman" w:eastAsia="Times New Roman" w:cs="Times New Roman"/>
                <w:b w:val="0"/>
                <w:bCs w:val="0"/>
                <w:sz w:val="20"/>
                <w:szCs w:val="20"/>
              </w:rPr>
              <w:t>175,341</w:t>
            </w:r>
          </w:p>
        </w:tc>
        <w:tc>
          <w:tcPr>
            <w:tcW w:w="19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3BC9E63">
            <w:pPr>
              <w:jc w:val="center"/>
            </w:pPr>
            <w:r>
              <w:rPr>
                <w:rFonts w:ascii="Times New Roman" w:hAnsi="Times New Roman" w:eastAsia="Times New Roman" w:cs="Times New Roman"/>
                <w:b w:val="0"/>
                <w:bCs w:val="0"/>
                <w:sz w:val="20"/>
                <w:szCs w:val="20"/>
              </w:rPr>
              <w:t>Binary (Attack/Normal)</w:t>
            </w:r>
          </w:p>
        </w:tc>
      </w:tr>
    </w:tbl>
    <w:p w14:paraId="70342EF4">
      <w:pPr>
        <w:spacing w:before="80" w:after="80"/>
      </w:pPr>
    </w:p>
    <w:p w14:paraId="3D9C7BE5">
      <w:pPr>
        <w:spacing w:before="80" w:after="80" w:line="276" w:lineRule="auto"/>
        <w:jc w:val="both"/>
        <w:rPr>
          <w:rFonts w:ascii="Times New Roman" w:hAnsi="Times New Roman" w:eastAsia="Times New Roman" w:cs="Times New Roman"/>
          <w:b w:val="0"/>
          <w:bCs w:val="0"/>
          <w:i w:val="0"/>
          <w:iCs w:val="0"/>
          <w:color w:val="000000"/>
          <w:sz w:val="22"/>
          <w:szCs w:val="22"/>
        </w:rPr>
      </w:pPr>
      <w:r>
        <w:rPr>
          <w:rFonts w:ascii="Times New Roman" w:hAnsi="Times New Roman" w:eastAsia="Times New Roman" w:cs="Times New Roman"/>
          <w:b w:val="0"/>
          <w:bCs w:val="0"/>
          <w:i w:val="0"/>
          <w:iCs w:val="0"/>
          <w:color w:val="000000"/>
          <w:sz w:val="22"/>
          <w:szCs w:val="22"/>
        </w:rPr>
        <w:t>The ISCX VPN-nonVPN dataset contains 14 traffic categories that were remapped to five classes aligned with the Antari et al. [1] taxonomy: Browsing (BROWSING, VPN-BROWSING), Email (MAIL, VPN-MAIL, CHAT, VPN-CHAT), Web (VOIP, VPN-VOIP, STREAMING, VPN-STREAMING), Backup (P2P, FT), and IPSec (VPN-FT, VPN-P2P).</w:t>
      </w:r>
    </w:p>
    <w:p w14:paraId="3A381CA5">
      <w:pPr>
        <w:pStyle w:val="3"/>
        <w:spacing w:before="240" w:after="120"/>
      </w:pPr>
      <w:r>
        <w:rPr>
          <w:rFonts w:ascii="Arial" w:hAnsi="Arial" w:eastAsia="Arial" w:cs="Arial"/>
          <w:b/>
          <w:bCs/>
          <w:color w:val="1F4E79"/>
          <w:sz w:val="26"/>
          <w:szCs w:val="26"/>
        </w:rPr>
        <w:t>B. Feature Engineering</w:t>
      </w:r>
    </w:p>
    <w:p w14:paraId="207379C3">
      <w:pPr>
        <w:spacing w:before="80" w:after="80" w:line="276" w:lineRule="auto"/>
        <w:jc w:val="both"/>
      </w:pPr>
      <w:r>
        <w:rPr>
          <w:rFonts w:ascii="Times New Roman" w:hAnsi="Times New Roman" w:eastAsia="Times New Roman" w:cs="Times New Roman"/>
          <w:b w:val="0"/>
          <w:bCs w:val="0"/>
          <w:i w:val="0"/>
          <w:iCs w:val="0"/>
          <w:color w:val="000000"/>
          <w:sz w:val="22"/>
          <w:szCs w:val="22"/>
        </w:rPr>
        <w:t>Nine statistical flow features common across all three datasets were selected as unified input features:</w:t>
      </w:r>
    </w:p>
    <w:p w14:paraId="63BCEA00">
      <w:pPr>
        <w:spacing w:before="80" w:after="80"/>
      </w:pPr>
    </w:p>
    <w:tbl>
      <w:tblPr>
        <w:tblStyle w:val="9"/>
        <w:tblW w:w="7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2560"/>
      </w:tblGrid>
      <w:tr w14:paraId="2ED0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203A0F66">
            <w:pPr>
              <w:jc w:val="center"/>
            </w:pPr>
            <w:r>
              <w:rPr>
                <w:rFonts w:ascii="Arial" w:hAnsi="Arial" w:eastAsia="Arial" w:cs="Arial"/>
                <w:b/>
                <w:bCs/>
                <w:color w:val="FFFFFF"/>
                <w:sz w:val="20"/>
                <w:szCs w:val="20"/>
              </w:rPr>
              <w:t>Feature</w:t>
            </w:r>
          </w:p>
        </w:tc>
        <w:tc>
          <w:tcPr>
            <w:tcW w:w="2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8F2F4AA">
            <w:pPr>
              <w:jc w:val="center"/>
            </w:pPr>
            <w:r>
              <w:rPr>
                <w:rFonts w:ascii="Arial" w:hAnsi="Arial" w:eastAsia="Arial" w:cs="Arial"/>
                <w:b/>
                <w:bCs/>
                <w:color w:val="FFFFFF"/>
                <w:sz w:val="20"/>
                <w:szCs w:val="20"/>
              </w:rPr>
              <w:t>Description</w:t>
            </w:r>
          </w:p>
        </w:tc>
        <w:tc>
          <w:tcPr>
            <w:tcW w:w="256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CA2B736">
            <w:pPr>
              <w:jc w:val="center"/>
            </w:pPr>
            <w:r>
              <w:rPr>
                <w:rFonts w:ascii="Arial" w:hAnsi="Arial" w:eastAsia="Arial" w:cs="Arial"/>
                <w:b/>
                <w:bCs/>
                <w:color w:val="FFFFFF"/>
                <w:sz w:val="20"/>
                <w:szCs w:val="20"/>
              </w:rPr>
              <w:t>Source Column (ISCX)</w:t>
            </w:r>
          </w:p>
        </w:tc>
      </w:tr>
      <w:tr w14:paraId="651A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18A4415C">
            <w:pPr>
              <w:jc w:val="center"/>
            </w:pPr>
            <w:r>
              <w:rPr>
                <w:rFonts w:ascii="Times New Roman" w:hAnsi="Times New Roman" w:eastAsia="Times New Roman" w:cs="Times New Roman"/>
                <w:b/>
                <w:bCs/>
                <w:sz w:val="20"/>
                <w:szCs w:val="20"/>
              </w:rPr>
              <w:t>duration</w:t>
            </w:r>
          </w:p>
        </w:tc>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7CBB60D">
            <w:pPr>
              <w:jc w:val="center"/>
            </w:pPr>
            <w:r>
              <w:rPr>
                <w:rFonts w:ascii="Times New Roman" w:hAnsi="Times New Roman" w:eastAsia="Times New Roman" w:cs="Times New Roman"/>
                <w:b w:val="0"/>
                <w:bCs w:val="0"/>
                <w:sz w:val="20"/>
                <w:szCs w:val="20"/>
              </w:rPr>
              <w:t>Flow duration in seconds</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03B6071">
            <w:pPr>
              <w:jc w:val="center"/>
            </w:pPr>
            <w:r>
              <w:rPr>
                <w:rFonts w:ascii="Times New Roman" w:hAnsi="Times New Roman" w:eastAsia="Times New Roman" w:cs="Times New Roman"/>
                <w:b w:val="0"/>
                <w:bCs w:val="0"/>
                <w:sz w:val="20"/>
                <w:szCs w:val="20"/>
              </w:rPr>
              <w:t>duration</w:t>
            </w:r>
          </w:p>
        </w:tc>
      </w:tr>
      <w:tr w14:paraId="0047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916DDB">
            <w:pPr>
              <w:jc w:val="center"/>
            </w:pPr>
            <w:r>
              <w:rPr>
                <w:rFonts w:ascii="Times New Roman" w:hAnsi="Times New Roman" w:eastAsia="Times New Roman" w:cs="Times New Roman"/>
                <w:b/>
                <w:bCs/>
                <w:sz w:val="20"/>
                <w:szCs w:val="20"/>
              </w:rPr>
              <w:t>mean_fiat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E458C4">
            <w:pPr>
              <w:jc w:val="center"/>
            </w:pPr>
            <w:r>
              <w:rPr>
                <w:rFonts w:ascii="Times New Roman" w:hAnsi="Times New Roman" w:eastAsia="Times New Roman" w:cs="Times New Roman"/>
                <w:b w:val="0"/>
                <w:bCs w:val="0"/>
                <w:sz w:val="20"/>
                <w:szCs w:val="20"/>
              </w:rPr>
              <w:t>Mean forward inter-arrival time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143C03">
            <w:pPr>
              <w:jc w:val="center"/>
            </w:pPr>
            <w:r>
              <w:rPr>
                <w:rFonts w:ascii="Times New Roman" w:hAnsi="Times New Roman" w:eastAsia="Times New Roman" w:cs="Times New Roman"/>
                <w:b w:val="0"/>
                <w:bCs w:val="0"/>
                <w:sz w:val="20"/>
                <w:szCs w:val="20"/>
              </w:rPr>
              <w:t>mean_fiat</w:t>
            </w:r>
          </w:p>
        </w:tc>
      </w:tr>
      <w:tr w14:paraId="34E9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E96156B">
            <w:pPr>
              <w:jc w:val="center"/>
            </w:pPr>
            <w:r>
              <w:rPr>
                <w:rFonts w:ascii="Times New Roman" w:hAnsi="Times New Roman" w:eastAsia="Times New Roman" w:cs="Times New Roman"/>
                <w:b/>
                <w:bCs/>
                <w:sz w:val="20"/>
                <w:szCs w:val="20"/>
              </w:rPr>
              <w:t>mean_biat</w:t>
            </w:r>
          </w:p>
        </w:tc>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26F8399">
            <w:pPr>
              <w:jc w:val="center"/>
            </w:pPr>
            <w:r>
              <w:rPr>
                <w:rFonts w:ascii="Times New Roman" w:hAnsi="Times New Roman" w:eastAsia="Times New Roman" w:cs="Times New Roman"/>
                <w:b w:val="0"/>
                <w:bCs w:val="0"/>
                <w:sz w:val="20"/>
                <w:szCs w:val="20"/>
              </w:rPr>
              <w:t>Mean backward inter-arrival time</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D1D14AF">
            <w:pPr>
              <w:jc w:val="center"/>
            </w:pPr>
            <w:r>
              <w:rPr>
                <w:rFonts w:ascii="Times New Roman" w:hAnsi="Times New Roman" w:eastAsia="Times New Roman" w:cs="Times New Roman"/>
                <w:b w:val="0"/>
                <w:bCs w:val="0"/>
                <w:sz w:val="20"/>
                <w:szCs w:val="20"/>
              </w:rPr>
              <w:t>mean_biat</w:t>
            </w:r>
          </w:p>
        </w:tc>
      </w:tr>
      <w:tr w14:paraId="003F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7A9407">
            <w:pPr>
              <w:jc w:val="center"/>
            </w:pPr>
            <w:r>
              <w:rPr>
                <w:rFonts w:ascii="Times New Roman" w:hAnsi="Times New Roman" w:eastAsia="Times New Roman" w:cs="Times New Roman"/>
                <w:b/>
                <w:bCs/>
                <w:sz w:val="20"/>
                <w:szCs w:val="20"/>
              </w:rPr>
              <w:t>pkts_per_sec</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0B9D8E">
            <w:pPr>
              <w:jc w:val="center"/>
            </w:pPr>
            <w:r>
              <w:rPr>
                <w:rFonts w:ascii="Times New Roman" w:hAnsi="Times New Roman" w:eastAsia="Times New Roman" w:cs="Times New Roman"/>
                <w:b w:val="0"/>
                <w:bCs w:val="0"/>
                <w:sz w:val="20"/>
                <w:szCs w:val="20"/>
              </w:rPr>
              <w:t>Packets per second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B1A8E7">
            <w:pPr>
              <w:jc w:val="center"/>
            </w:pPr>
            <w:r>
              <w:rPr>
                <w:rFonts w:ascii="Times New Roman" w:hAnsi="Times New Roman" w:eastAsia="Times New Roman" w:cs="Times New Roman"/>
                <w:b w:val="0"/>
                <w:bCs w:val="0"/>
                <w:sz w:val="20"/>
                <w:szCs w:val="20"/>
              </w:rPr>
              <w:t>flowPktsPerSecond</w:t>
            </w:r>
          </w:p>
        </w:tc>
      </w:tr>
      <w:tr w14:paraId="3F17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8C4F6A7">
            <w:pPr>
              <w:jc w:val="center"/>
            </w:pPr>
            <w:r>
              <w:rPr>
                <w:rFonts w:ascii="Times New Roman" w:hAnsi="Times New Roman" w:eastAsia="Times New Roman" w:cs="Times New Roman"/>
                <w:b/>
                <w:bCs/>
                <w:sz w:val="20"/>
                <w:szCs w:val="20"/>
              </w:rPr>
              <w:t>bytes_per_sec</w:t>
            </w:r>
          </w:p>
        </w:tc>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8377FE7">
            <w:pPr>
              <w:jc w:val="center"/>
            </w:pPr>
            <w:r>
              <w:rPr>
                <w:rFonts w:ascii="Times New Roman" w:hAnsi="Times New Roman" w:eastAsia="Times New Roman" w:cs="Times New Roman"/>
                <w:b w:val="0"/>
                <w:bCs w:val="0"/>
                <w:sz w:val="20"/>
                <w:szCs w:val="20"/>
              </w:rPr>
              <w:t>Bytes per second</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2BE8F2D">
            <w:pPr>
              <w:jc w:val="center"/>
            </w:pPr>
            <w:r>
              <w:rPr>
                <w:rFonts w:ascii="Times New Roman" w:hAnsi="Times New Roman" w:eastAsia="Times New Roman" w:cs="Times New Roman"/>
                <w:b w:val="0"/>
                <w:bCs w:val="0"/>
                <w:sz w:val="20"/>
                <w:szCs w:val="20"/>
              </w:rPr>
              <w:t>flowBytesPerSecond</w:t>
            </w:r>
          </w:p>
        </w:tc>
      </w:tr>
      <w:tr w14:paraId="79A6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678733">
            <w:pPr>
              <w:jc w:val="center"/>
            </w:pPr>
            <w:r>
              <w:rPr>
                <w:rFonts w:ascii="Times New Roman" w:hAnsi="Times New Roman" w:eastAsia="Times New Roman" w:cs="Times New Roman"/>
                <w:b/>
                <w:bCs/>
                <w:sz w:val="20"/>
                <w:szCs w:val="20"/>
              </w:rPr>
              <w:t>mean_flowiat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527F22">
            <w:pPr>
              <w:jc w:val="center"/>
            </w:pPr>
            <w:r>
              <w:rPr>
                <w:rFonts w:ascii="Times New Roman" w:hAnsi="Times New Roman" w:eastAsia="Times New Roman" w:cs="Times New Roman"/>
                <w:b w:val="0"/>
                <w:bCs w:val="0"/>
                <w:sz w:val="20"/>
                <w:szCs w:val="20"/>
              </w:rPr>
              <w:t>Mean flow inter-arrival time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8D59D7">
            <w:pPr>
              <w:jc w:val="center"/>
            </w:pPr>
            <w:r>
              <w:rPr>
                <w:rFonts w:ascii="Times New Roman" w:hAnsi="Times New Roman" w:eastAsia="Times New Roman" w:cs="Times New Roman"/>
                <w:b w:val="0"/>
                <w:bCs w:val="0"/>
                <w:sz w:val="20"/>
                <w:szCs w:val="20"/>
              </w:rPr>
              <w:t>mean_flowiat</w:t>
            </w:r>
          </w:p>
        </w:tc>
      </w:tr>
      <w:tr w14:paraId="596F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734D862">
            <w:pPr>
              <w:jc w:val="center"/>
            </w:pPr>
            <w:r>
              <w:rPr>
                <w:rFonts w:ascii="Times New Roman" w:hAnsi="Times New Roman" w:eastAsia="Times New Roman" w:cs="Times New Roman"/>
                <w:b/>
                <w:bCs/>
                <w:sz w:val="20"/>
                <w:szCs w:val="20"/>
              </w:rPr>
              <w:t>std_flowiat</w:t>
            </w:r>
          </w:p>
        </w:tc>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1417D9B6">
            <w:pPr>
              <w:jc w:val="center"/>
            </w:pPr>
            <w:r>
              <w:rPr>
                <w:rFonts w:ascii="Times New Roman" w:hAnsi="Times New Roman" w:eastAsia="Times New Roman" w:cs="Times New Roman"/>
                <w:b w:val="0"/>
                <w:bCs w:val="0"/>
                <w:sz w:val="20"/>
                <w:szCs w:val="20"/>
              </w:rPr>
              <w:t>Std deviation of flow IAT</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0323485">
            <w:pPr>
              <w:jc w:val="center"/>
            </w:pPr>
            <w:r>
              <w:rPr>
                <w:rFonts w:ascii="Times New Roman" w:hAnsi="Times New Roman" w:eastAsia="Times New Roman" w:cs="Times New Roman"/>
                <w:b w:val="0"/>
                <w:bCs w:val="0"/>
                <w:sz w:val="20"/>
                <w:szCs w:val="20"/>
              </w:rPr>
              <w:t>std_flowiat</w:t>
            </w:r>
          </w:p>
        </w:tc>
      </w:tr>
      <w:tr w14:paraId="7AD6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233211">
            <w:pPr>
              <w:jc w:val="center"/>
            </w:pPr>
            <w:r>
              <w:rPr>
                <w:rFonts w:ascii="Times New Roman" w:hAnsi="Times New Roman" w:eastAsia="Times New Roman" w:cs="Times New Roman"/>
                <w:b/>
                <w:bCs/>
                <w:sz w:val="20"/>
                <w:szCs w:val="20"/>
              </w:rPr>
              <w:t>mean_active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0EB60D">
            <w:pPr>
              <w:jc w:val="center"/>
            </w:pPr>
            <w:r>
              <w:rPr>
                <w:rFonts w:ascii="Times New Roman" w:hAnsi="Times New Roman" w:eastAsia="Times New Roman" w:cs="Times New Roman"/>
                <w:b w:val="0"/>
                <w:bCs w:val="0"/>
                <w:sz w:val="20"/>
                <w:szCs w:val="20"/>
              </w:rPr>
              <w:t>Mean active time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E5F55D">
            <w:pPr>
              <w:jc w:val="center"/>
            </w:pPr>
            <w:r>
              <w:rPr>
                <w:rFonts w:ascii="Times New Roman" w:hAnsi="Times New Roman" w:eastAsia="Times New Roman" w:cs="Times New Roman"/>
                <w:b w:val="0"/>
                <w:bCs w:val="0"/>
                <w:sz w:val="20"/>
                <w:szCs w:val="20"/>
              </w:rPr>
              <w:t>mean_active</w:t>
            </w:r>
          </w:p>
        </w:tc>
      </w:tr>
      <w:tr w14:paraId="603D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DAE571F">
            <w:pPr>
              <w:jc w:val="center"/>
            </w:pPr>
            <w:r>
              <w:rPr>
                <w:rFonts w:ascii="Times New Roman" w:hAnsi="Times New Roman" w:eastAsia="Times New Roman" w:cs="Times New Roman"/>
                <w:b/>
                <w:bCs/>
                <w:sz w:val="20"/>
                <w:szCs w:val="20"/>
              </w:rPr>
              <w:t>mean_idle</w:t>
            </w:r>
          </w:p>
        </w:tc>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0E0509E1">
            <w:pPr>
              <w:jc w:val="center"/>
            </w:pPr>
            <w:r>
              <w:rPr>
                <w:rFonts w:ascii="Times New Roman" w:hAnsi="Times New Roman" w:eastAsia="Times New Roman" w:cs="Times New Roman"/>
                <w:b w:val="0"/>
                <w:bCs w:val="0"/>
                <w:sz w:val="20"/>
                <w:szCs w:val="20"/>
              </w:rPr>
              <w:t>Mean idle time</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0F32C891">
            <w:pPr>
              <w:jc w:val="center"/>
            </w:pPr>
            <w:r>
              <w:rPr>
                <w:rFonts w:ascii="Times New Roman" w:hAnsi="Times New Roman" w:eastAsia="Times New Roman" w:cs="Times New Roman"/>
                <w:b w:val="0"/>
                <w:bCs w:val="0"/>
                <w:sz w:val="20"/>
                <w:szCs w:val="20"/>
              </w:rPr>
              <w:t>mean_idle</w:t>
            </w:r>
          </w:p>
        </w:tc>
      </w:tr>
    </w:tbl>
    <w:p w14:paraId="2F6D4C94">
      <w:pPr>
        <w:spacing w:before="80" w:after="80"/>
      </w:pPr>
    </w:p>
    <w:p w14:paraId="46FEB637">
      <w:pPr>
        <w:spacing w:before="80" w:after="80" w:line="276" w:lineRule="auto"/>
        <w:jc w:val="both"/>
      </w:pPr>
      <w:r>
        <w:rPr>
          <w:rFonts w:ascii="Times New Roman" w:hAnsi="Times New Roman" w:eastAsia="Times New Roman" w:cs="Times New Roman"/>
          <w:b w:val="0"/>
          <w:bCs w:val="0"/>
          <w:i w:val="0"/>
          <w:iCs w:val="0"/>
          <w:color w:val="000000"/>
          <w:sz w:val="22"/>
          <w:szCs w:val="22"/>
        </w:rPr>
        <w:t>Features containing infinite or missing values were replaced with column medians. Each dataset was independently normalized using StandardScaler to prevent domain shift contamination. Class imbalance in ISCX was addressed using SMOTE, producing 20,000 samples per class (100,000 total), subsequently split 80/20 for training and testing.</w:t>
      </w:r>
    </w:p>
    <w:p w14:paraId="6E355E46">
      <w:pPr>
        <w:pStyle w:val="3"/>
        <w:spacing w:before="240" w:after="120"/>
        <w:rPr>
          <w:rFonts w:ascii="Arial" w:hAnsi="Arial" w:eastAsia="Arial" w:cs="Arial"/>
          <w:b/>
          <w:bCs/>
          <w:color w:val="1F4E79"/>
          <w:sz w:val="26"/>
          <w:szCs w:val="26"/>
        </w:rPr>
      </w:pPr>
    </w:p>
    <w:p w14:paraId="0DF10F72">
      <w:pPr>
        <w:pStyle w:val="3"/>
        <w:spacing w:before="240" w:after="120"/>
      </w:pPr>
      <w:r>
        <w:rPr>
          <w:rFonts w:ascii="Arial" w:hAnsi="Arial" w:eastAsia="Arial" w:cs="Arial"/>
          <w:b/>
          <w:bCs/>
          <w:color w:val="1F4E79"/>
          <w:sz w:val="26"/>
          <w:szCs w:val="26"/>
        </w:rPr>
        <w:t>C. Stage 1: Anomaly Detection Gate</w:t>
      </w:r>
    </w:p>
    <w:p w14:paraId="5F01D3C9">
      <w:pPr>
        <w:spacing w:before="80" w:after="80" w:line="276" w:lineRule="auto"/>
        <w:jc w:val="both"/>
      </w:pPr>
      <w:r>
        <w:rPr>
          <w:rFonts w:ascii="Times New Roman" w:hAnsi="Times New Roman" w:eastAsia="Times New Roman" w:cs="Times New Roman"/>
          <w:b w:val="0"/>
          <w:bCs w:val="0"/>
          <w:i w:val="0"/>
          <w:iCs w:val="0"/>
          <w:color w:val="000000"/>
          <w:sz w:val="22"/>
          <w:szCs w:val="22"/>
        </w:rPr>
        <w:t>The first stage employs an Autoencoder trained exclusively on CICIDS2017 BENIGN traffic (97,718 flows). The Autoencoder architecture follows a symmetric encoder-decoder design: Input(9) → Dense(64) → Dense(32) → Dense(16) → Dense(32) → Dense(64) → Output(9), trained with MSE loss using the Adam optimizer and Early Stopping (patience=5).</w:t>
      </w:r>
    </w:p>
    <w:p w14:paraId="204375DA">
      <w:pPr>
        <w:spacing w:before="80" w:after="80"/>
      </w:pPr>
    </w:p>
    <w:p w14:paraId="4901AE6C">
      <w:pPr>
        <w:spacing w:before="80" w:after="80" w:line="276" w:lineRule="auto"/>
        <w:jc w:val="both"/>
      </w:pPr>
      <w:r>
        <w:rPr>
          <w:rFonts w:ascii="Times New Roman" w:hAnsi="Times New Roman" w:eastAsia="Times New Roman" w:cs="Times New Roman"/>
          <w:b w:val="0"/>
          <w:bCs w:val="0"/>
          <w:i w:val="0"/>
          <w:iCs w:val="0"/>
          <w:color w:val="000000"/>
          <w:sz w:val="22"/>
          <w:szCs w:val="22"/>
        </w:rPr>
        <w:t>Reconstruction error (MSE) for each incoming flow is computed and compared against two thresholds derived from the 95th percentile of training errors: Threshold (0.0236) for the gray zone boundary and Threshold-High (0.0353, 1.5x Threshold) for confirmed anomalies. Flows exceeding Threshold-High are flagged as anomalies. Flows in the gray zone (between thresholds) are further evaluated by a KNN classifier (k=5, Euclidean distance) based on confidence score; flows with KNN confidence below 70% are flagged as suspicious.</w:t>
      </w:r>
    </w:p>
    <w:p w14:paraId="445C91C2">
      <w:pPr>
        <w:pStyle w:val="3"/>
        <w:spacing w:before="240" w:after="120"/>
      </w:pPr>
      <w:r>
        <w:rPr>
          <w:rFonts w:ascii="Arial" w:hAnsi="Arial" w:eastAsia="Arial" w:cs="Arial"/>
          <w:b/>
          <w:bCs/>
          <w:color w:val="1F4E79"/>
          <w:sz w:val="26"/>
          <w:szCs w:val="26"/>
        </w:rPr>
        <w:t>D. Stage 2: Decision Tree-Centered Classification</w:t>
      </w:r>
    </w:p>
    <w:p w14:paraId="62C413FB">
      <w:pPr>
        <w:spacing w:before="80" w:after="80" w:line="276" w:lineRule="auto"/>
        <w:jc w:val="both"/>
      </w:pPr>
      <w:r>
        <w:rPr>
          <w:rFonts w:ascii="Times New Roman" w:hAnsi="Times New Roman" w:eastAsia="Times New Roman" w:cs="Times New Roman"/>
          <w:b w:val="0"/>
          <w:bCs w:val="0"/>
          <w:i w:val="0"/>
          <w:iCs w:val="0"/>
          <w:color w:val="000000"/>
          <w:sz w:val="22"/>
          <w:szCs w:val="22"/>
        </w:rPr>
        <w:t>Flows passing Stage 1 proceed to the classification engine. Random Forest (200 trees) and XGBoost (200 estimators, learning rate=0.05) generate class probability vectors, which are concatenated with the original 9 features to form 24-dimensional meta-feature vectors. A Decision Tree (max_depth=20, min_samples_split=5, min_samples_leaf=2) trained on these meta-features serves as the final interpretable classifier.</w:t>
      </w:r>
    </w:p>
    <w:p w14:paraId="2A62BEA5">
      <w:pPr>
        <w:spacing w:before="80" w:after="80"/>
      </w:pPr>
    </w:p>
    <w:p w14:paraId="76B64237">
      <w:pPr>
        <w:spacing w:before="80" w:after="80" w:line="276" w:lineRule="auto"/>
        <w:jc w:val="both"/>
        <w:rPr>
          <w:rFonts w:ascii="Times New Roman" w:hAnsi="Times New Roman" w:eastAsia="Times New Roman" w:cs="Times New Roman"/>
          <w:b w:val="0"/>
          <w:bCs w:val="0"/>
          <w:i w:val="0"/>
          <w:iCs w:val="0"/>
          <w:color w:val="000000"/>
          <w:sz w:val="22"/>
          <w:szCs w:val="22"/>
        </w:rPr>
      </w:pPr>
      <w:r>
        <w:rPr>
          <w:rFonts w:ascii="Times New Roman" w:hAnsi="Times New Roman" w:eastAsia="Times New Roman" w:cs="Times New Roman"/>
          <w:b w:val="0"/>
          <w:bCs w:val="0"/>
          <w:i w:val="0"/>
          <w:iCs w:val="0"/>
          <w:color w:val="000000"/>
          <w:sz w:val="22"/>
          <w:szCs w:val="22"/>
        </w:rPr>
        <w:t>This stacking approach leverages the ensemble models' superior feature learning while maintaining the Decision Tree's transparency and rule-extractability, a critical requirement for network security auditing.</w:t>
      </w:r>
    </w:p>
    <w:p w14:paraId="01A0944E">
      <w:pPr>
        <w:spacing w:before="80" w:after="80" w:line="276" w:lineRule="auto"/>
        <w:jc w:val="both"/>
        <w:rPr>
          <w:rFonts w:ascii="Times New Roman" w:hAnsi="Times New Roman" w:eastAsia="Times New Roman" w:cs="Times New Roman"/>
          <w:b w:val="0"/>
          <w:bCs w:val="0"/>
          <w:i w:val="0"/>
          <w:iCs w:val="0"/>
          <w:color w:val="000000"/>
          <w:sz w:val="22"/>
          <w:szCs w:val="22"/>
        </w:rPr>
      </w:pPr>
    </w:p>
    <w:p w14:paraId="281BFDC7">
      <w:pPr>
        <w:spacing w:before="80" w:after="80" w:line="276" w:lineRule="auto"/>
        <w:jc w:val="both"/>
        <w:rPr>
          <w:rFonts w:ascii="Times New Roman" w:hAnsi="Times New Roman" w:eastAsia="Times New Roman" w:cs="Times New Roman"/>
          <w:b w:val="0"/>
          <w:bCs w:val="0"/>
          <w:i w:val="0"/>
          <w:iCs w:val="0"/>
          <w:color w:val="000000"/>
          <w:sz w:val="22"/>
          <w:szCs w:val="22"/>
        </w:rPr>
      </w:pPr>
    </w:p>
    <w:p w14:paraId="4FABB3B4">
      <w:pPr>
        <w:spacing w:before="80" w:after="80" w:line="276" w:lineRule="auto"/>
        <w:jc w:val="both"/>
        <w:rPr>
          <w:rFonts w:ascii="Times New Roman" w:hAnsi="Times New Roman" w:eastAsia="Times New Roman" w:cs="Times New Roman"/>
          <w:b w:val="0"/>
          <w:bCs w:val="0"/>
          <w:i w:val="0"/>
          <w:iCs w:val="0"/>
          <w:color w:val="000000"/>
          <w:sz w:val="22"/>
          <w:szCs w:val="22"/>
        </w:rPr>
      </w:pPr>
    </w:p>
    <w:p w14:paraId="41DC515E">
      <w:pPr>
        <w:rPr>
          <w:rFonts w:ascii="Arial" w:hAnsi="Arial" w:eastAsia="Arial" w:cs="Arial"/>
          <w:b/>
          <w:bCs/>
          <w:color w:val="1F4E79"/>
          <w:sz w:val="32"/>
          <w:szCs w:val="32"/>
        </w:rPr>
        <w:sectPr>
          <w:pgSz w:w="12240" w:h="15840"/>
          <w:pgMar w:top="1440" w:right="1440" w:bottom="1440" w:left="1440" w:header="708" w:footer="708" w:gutter="0"/>
          <w:cols w:space="720" w:num="1"/>
          <w:docGrid w:linePitch="360" w:charSpace="0"/>
        </w:sectPr>
      </w:pPr>
      <w:r>
        <w:rPr>
          <w:rFonts w:hint="default" w:ascii="Arial" w:hAnsi="Arial" w:eastAsia="Arial" w:cs="Arial"/>
          <w:b/>
          <w:bCs/>
          <w:color w:val="1F4E79"/>
          <w:sz w:val="32"/>
          <w:szCs w:val="32"/>
        </w:rPr>
        <w:drawing>
          <wp:inline distT="0" distB="0" distL="114300" distR="114300">
            <wp:extent cx="6570345" cy="6814820"/>
            <wp:effectExtent l="0" t="0" r="1905" b="5080"/>
            <wp:docPr id="3" name="Picture 3" descr="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ng3"/>
                    <pic:cNvPicPr>
                      <a:picLocks noChangeAspect="1"/>
                    </pic:cNvPicPr>
                  </pic:nvPicPr>
                  <pic:blipFill>
                    <a:blip r:embed="rId5"/>
                    <a:stretch>
                      <a:fillRect/>
                    </a:stretch>
                  </pic:blipFill>
                  <pic:spPr>
                    <a:xfrm>
                      <a:off x="0" y="0"/>
                      <a:ext cx="6570345" cy="6814820"/>
                    </a:xfrm>
                    <a:prstGeom prst="rect">
                      <a:avLst/>
                    </a:prstGeom>
                  </pic:spPr>
                </pic:pic>
              </a:graphicData>
            </a:graphic>
          </wp:inline>
        </w:drawing>
      </w:r>
    </w:p>
    <w:p w14:paraId="788A7672">
      <w:pPr>
        <w:pStyle w:val="2"/>
        <w:spacing w:before="240" w:after="120"/>
      </w:pPr>
      <w:r>
        <w:rPr>
          <w:rFonts w:ascii="Arial" w:hAnsi="Arial" w:eastAsia="Arial" w:cs="Arial"/>
          <w:b/>
          <w:bCs/>
          <w:color w:val="1F4E79"/>
          <w:sz w:val="32"/>
          <w:szCs w:val="32"/>
        </w:rPr>
        <w:t>IV. Results and Discussion</w:t>
      </w:r>
    </w:p>
    <w:p w14:paraId="4F459354">
      <w:pPr>
        <w:pStyle w:val="3"/>
        <w:spacing w:before="240" w:after="120"/>
      </w:pPr>
      <w:r>
        <w:rPr>
          <w:rFonts w:ascii="Arial" w:hAnsi="Arial" w:eastAsia="Arial" w:cs="Arial"/>
          <w:b/>
          <w:bCs/>
          <w:color w:val="1F4E79"/>
          <w:sz w:val="26"/>
          <w:szCs w:val="26"/>
        </w:rPr>
        <w:t>A. Stage 1 Performance on ISCX Test Set</w:t>
      </w:r>
    </w:p>
    <w:tbl>
      <w:tblPr>
        <w:tblStyle w:val="9"/>
        <w:tblW w:w="8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1440"/>
        <w:gridCol w:w="3120"/>
      </w:tblGrid>
      <w:tr w14:paraId="117C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9E9807E">
            <w:pPr>
              <w:jc w:val="center"/>
            </w:pPr>
            <w:r>
              <w:rPr>
                <w:rFonts w:ascii="Arial" w:hAnsi="Arial" w:eastAsia="Arial" w:cs="Arial"/>
                <w:b/>
                <w:bCs/>
                <w:color w:val="FFFFFF"/>
                <w:sz w:val="20"/>
                <w:szCs w:val="20"/>
              </w:rPr>
              <w:t>Category</w:t>
            </w:r>
          </w:p>
        </w:tc>
        <w:tc>
          <w:tcPr>
            <w:tcW w:w="12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7E41CDE7">
            <w:pPr>
              <w:jc w:val="center"/>
            </w:pPr>
            <w:r>
              <w:rPr>
                <w:rFonts w:ascii="Arial" w:hAnsi="Arial" w:eastAsia="Arial" w:cs="Arial"/>
                <w:b/>
                <w:bCs/>
                <w:color w:val="FFFFFF"/>
                <w:sz w:val="20"/>
                <w:szCs w:val="20"/>
              </w:rPr>
              <w:t>Count</w:t>
            </w:r>
          </w:p>
        </w:tc>
        <w:tc>
          <w:tcPr>
            <w:tcW w:w="144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889A2C5">
            <w:pPr>
              <w:jc w:val="center"/>
            </w:pPr>
            <w:r>
              <w:rPr>
                <w:rFonts w:ascii="Arial" w:hAnsi="Arial" w:eastAsia="Arial" w:cs="Arial"/>
                <w:b/>
                <w:bCs/>
                <w:color w:val="FFFFFF"/>
                <w:sz w:val="20"/>
                <w:szCs w:val="20"/>
              </w:rPr>
              <w:t>Percentage</w:t>
            </w:r>
          </w:p>
        </w:tc>
        <w:tc>
          <w:tcPr>
            <w:tcW w:w="312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D848652">
            <w:pPr>
              <w:jc w:val="center"/>
            </w:pPr>
            <w:r>
              <w:rPr>
                <w:rFonts w:ascii="Arial" w:hAnsi="Arial" w:eastAsia="Arial" w:cs="Arial"/>
                <w:b/>
                <w:bCs/>
                <w:color w:val="FFFFFF"/>
                <w:sz w:val="20"/>
                <w:szCs w:val="20"/>
              </w:rPr>
              <w:t>Action</w:t>
            </w:r>
          </w:p>
        </w:tc>
      </w:tr>
      <w:tr w14:paraId="1291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EDB34A7">
            <w:pPr>
              <w:jc w:val="center"/>
            </w:pPr>
            <w:r>
              <w:rPr>
                <w:rFonts w:ascii="Times New Roman" w:hAnsi="Times New Roman" w:eastAsia="Times New Roman" w:cs="Times New Roman"/>
                <w:b/>
                <w:bCs/>
                <w:sz w:val="20"/>
                <w:szCs w:val="20"/>
              </w:rPr>
              <w:t>Confirmed Anomaly</w:t>
            </w:r>
          </w:p>
        </w:tc>
        <w:tc>
          <w:tcPr>
            <w:tcW w:w="12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CEB21E7">
            <w:pPr>
              <w:jc w:val="center"/>
            </w:pPr>
            <w:r>
              <w:rPr>
                <w:rFonts w:ascii="Times New Roman" w:hAnsi="Times New Roman" w:eastAsia="Times New Roman" w:cs="Times New Roman"/>
                <w:b w:val="0"/>
                <w:bCs w:val="0"/>
                <w:sz w:val="20"/>
                <w:szCs w:val="20"/>
              </w:rPr>
              <w:t>903</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403A220">
            <w:pPr>
              <w:jc w:val="center"/>
            </w:pPr>
            <w:r>
              <w:rPr>
                <w:rFonts w:ascii="Times New Roman" w:hAnsi="Times New Roman" w:eastAsia="Times New Roman" w:cs="Times New Roman"/>
                <w:b w:val="0"/>
                <w:bCs w:val="0"/>
                <w:sz w:val="20"/>
                <w:szCs w:val="20"/>
              </w:rPr>
              <w:t>4.5%</w:t>
            </w:r>
          </w:p>
        </w:tc>
        <w:tc>
          <w:tcPr>
            <w:tcW w:w="312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5739194">
            <w:pPr>
              <w:jc w:val="center"/>
            </w:pPr>
            <w:r>
              <w:rPr>
                <w:rFonts w:ascii="Times New Roman" w:hAnsi="Times New Roman" w:eastAsia="Times New Roman" w:cs="Times New Roman"/>
                <w:b w:val="0"/>
                <w:bCs w:val="0"/>
                <w:sz w:val="20"/>
                <w:szCs w:val="20"/>
              </w:rPr>
              <w:t>Blocked — Security Alert</w:t>
            </w:r>
          </w:p>
        </w:tc>
      </w:tr>
      <w:tr w14:paraId="70F4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FFA7FA">
            <w:pPr>
              <w:jc w:val="center"/>
            </w:pPr>
            <w:r>
              <w:rPr>
                <w:rFonts w:ascii="Times New Roman" w:hAnsi="Times New Roman" w:eastAsia="Times New Roman" w:cs="Times New Roman"/>
                <w:b/>
                <w:bCs/>
                <w:sz w:val="20"/>
                <w:szCs w:val="20"/>
              </w:rPr>
              <w:t>Gray Zone (KNN → Suspicious)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9A9A24">
            <w:pPr>
              <w:jc w:val="center"/>
            </w:pPr>
            <w:r>
              <w:rPr>
                <w:rFonts w:ascii="Times New Roman" w:hAnsi="Times New Roman" w:eastAsia="Times New Roman" w:cs="Times New Roman"/>
                <w:b w:val="0"/>
                <w:bCs w:val="0"/>
                <w:sz w:val="20"/>
                <w:szCs w:val="20"/>
              </w:rPr>
              <w:t>13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9867C9">
            <w:pPr>
              <w:jc w:val="center"/>
            </w:pPr>
            <w:r>
              <w:rPr>
                <w:rFonts w:ascii="Times New Roman" w:hAnsi="Times New Roman" w:eastAsia="Times New Roman" w:cs="Times New Roman"/>
                <w:b w:val="0"/>
                <w:bCs w:val="0"/>
                <w:sz w:val="20"/>
                <w:szCs w:val="20"/>
              </w:rPr>
              <w:t>0.1%</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A035E9">
            <w:pPr>
              <w:jc w:val="center"/>
            </w:pPr>
            <w:r>
              <w:rPr>
                <w:rFonts w:ascii="Times New Roman" w:hAnsi="Times New Roman" w:eastAsia="Times New Roman" w:cs="Times New Roman"/>
                <w:b w:val="0"/>
                <w:bCs w:val="0"/>
                <w:sz w:val="20"/>
                <w:szCs w:val="20"/>
              </w:rPr>
              <w:t>Blocked — KNN Decision</w:t>
            </w:r>
          </w:p>
        </w:tc>
      </w:tr>
      <w:tr w14:paraId="627A2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7F9FACD">
            <w:pPr>
              <w:jc w:val="center"/>
            </w:pPr>
            <w:r>
              <w:rPr>
                <w:rFonts w:ascii="Times New Roman" w:hAnsi="Times New Roman" w:eastAsia="Times New Roman" w:cs="Times New Roman"/>
                <w:b/>
                <w:bCs/>
                <w:sz w:val="20"/>
                <w:szCs w:val="20"/>
              </w:rPr>
              <w:t>Gray Zone (KNN → Normal)</w:t>
            </w:r>
          </w:p>
        </w:tc>
        <w:tc>
          <w:tcPr>
            <w:tcW w:w="12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3E9D265">
            <w:pPr>
              <w:jc w:val="center"/>
            </w:pPr>
            <w:r>
              <w:rPr>
                <w:rFonts w:ascii="Times New Roman" w:hAnsi="Times New Roman" w:eastAsia="Times New Roman" w:cs="Times New Roman"/>
                <w:b w:val="0"/>
                <w:bCs w:val="0"/>
                <w:sz w:val="20"/>
                <w:szCs w:val="20"/>
              </w:rPr>
              <w:t>131</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C0EFEF5">
            <w:pPr>
              <w:jc w:val="center"/>
            </w:pPr>
            <w:r>
              <w:rPr>
                <w:rFonts w:ascii="Times New Roman" w:hAnsi="Times New Roman" w:eastAsia="Times New Roman" w:cs="Times New Roman"/>
                <w:b w:val="0"/>
                <w:bCs w:val="0"/>
                <w:sz w:val="20"/>
                <w:szCs w:val="20"/>
              </w:rPr>
              <w:t>0.6%</w:t>
            </w:r>
          </w:p>
        </w:tc>
        <w:tc>
          <w:tcPr>
            <w:tcW w:w="312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561BF40">
            <w:pPr>
              <w:jc w:val="center"/>
            </w:pPr>
            <w:r>
              <w:rPr>
                <w:rFonts w:ascii="Times New Roman" w:hAnsi="Times New Roman" w:eastAsia="Times New Roman" w:cs="Times New Roman"/>
                <w:b w:val="0"/>
                <w:bCs w:val="0"/>
                <w:sz w:val="20"/>
                <w:szCs w:val="20"/>
              </w:rPr>
              <w:t>Forwarded to Stage 2</w:t>
            </w:r>
          </w:p>
        </w:tc>
      </w:tr>
      <w:tr w14:paraId="2272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573979">
            <w:pPr>
              <w:jc w:val="center"/>
            </w:pPr>
            <w:r>
              <w:rPr>
                <w:rFonts w:ascii="Times New Roman" w:hAnsi="Times New Roman" w:eastAsia="Times New Roman" w:cs="Times New Roman"/>
                <w:b/>
                <w:bCs/>
                <w:sz w:val="20"/>
                <w:szCs w:val="20"/>
              </w:rPr>
              <w:t>Normal Traffic</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8BAC9F">
            <w:pPr>
              <w:jc w:val="center"/>
            </w:pPr>
            <w:r>
              <w:rPr>
                <w:rFonts w:ascii="Times New Roman" w:hAnsi="Times New Roman" w:eastAsia="Times New Roman" w:cs="Times New Roman"/>
                <w:b w:val="0"/>
                <w:bCs w:val="0"/>
                <w:sz w:val="20"/>
                <w:szCs w:val="20"/>
              </w:rPr>
              <w:t>18,953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2B4966">
            <w:pPr>
              <w:jc w:val="center"/>
            </w:pPr>
            <w:r>
              <w:rPr>
                <w:rFonts w:ascii="Times New Roman" w:hAnsi="Times New Roman" w:eastAsia="Times New Roman" w:cs="Times New Roman"/>
                <w:b w:val="0"/>
                <w:bCs w:val="0"/>
                <w:sz w:val="20"/>
                <w:szCs w:val="20"/>
              </w:rPr>
              <w:t>94.8%</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5AD941">
            <w:pPr>
              <w:jc w:val="center"/>
            </w:pPr>
            <w:r>
              <w:rPr>
                <w:rFonts w:ascii="Times New Roman" w:hAnsi="Times New Roman" w:eastAsia="Times New Roman" w:cs="Times New Roman"/>
                <w:b w:val="0"/>
                <w:bCs w:val="0"/>
                <w:sz w:val="20"/>
                <w:szCs w:val="20"/>
              </w:rPr>
              <w:t>Forwarded to Stage 2</w:t>
            </w:r>
          </w:p>
        </w:tc>
      </w:tr>
    </w:tbl>
    <w:p w14:paraId="7B0253E4">
      <w:pPr>
        <w:pStyle w:val="3"/>
        <w:spacing w:before="240" w:after="120"/>
      </w:pPr>
      <w:r>
        <w:rPr>
          <w:rFonts w:ascii="Arial" w:hAnsi="Arial" w:eastAsia="Arial" w:cs="Arial"/>
          <w:b/>
          <w:bCs/>
          <w:color w:val="1F4E79"/>
          <w:sz w:val="26"/>
          <w:szCs w:val="26"/>
        </w:rPr>
        <w:t>B. Stage 2 Classification Results</w:t>
      </w:r>
    </w:p>
    <w:p w14:paraId="18A36BDF">
      <w:pPr>
        <w:spacing w:before="80" w:after="80" w:line="276" w:lineRule="auto"/>
        <w:jc w:val="both"/>
      </w:pPr>
      <w:r>
        <w:rPr>
          <w:rFonts w:ascii="Times New Roman" w:hAnsi="Times New Roman" w:eastAsia="Times New Roman" w:cs="Times New Roman"/>
          <w:b w:val="0"/>
          <w:bCs w:val="0"/>
          <w:i w:val="0"/>
          <w:iCs w:val="0"/>
          <w:color w:val="000000"/>
          <w:sz w:val="22"/>
          <w:szCs w:val="22"/>
        </w:rPr>
        <w:t>The Decision Tree classifier was evaluated on 19,084 flows forwarded from Stage 1, achieving a 5-Fold Cross-Validation accuracy of 96.07% (±0.21%) and a weighted F1-score of 91.92%.</w:t>
      </w:r>
    </w:p>
    <w:p w14:paraId="7DACE2E2">
      <w:pPr>
        <w:spacing w:before="80" w:after="80"/>
      </w:pPr>
    </w:p>
    <w:tbl>
      <w:tblPr>
        <w:tblStyle w:val="9"/>
        <w:tblW w:w="8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40"/>
        <w:gridCol w:w="1440"/>
        <w:gridCol w:w="1440"/>
        <w:gridCol w:w="2040"/>
      </w:tblGrid>
      <w:tr w14:paraId="46A8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516C95D">
            <w:pPr>
              <w:jc w:val="center"/>
            </w:pPr>
            <w:r>
              <w:rPr>
                <w:rFonts w:ascii="Arial" w:hAnsi="Arial" w:eastAsia="Arial" w:cs="Arial"/>
                <w:b/>
                <w:bCs/>
                <w:color w:val="FFFFFF"/>
                <w:sz w:val="20"/>
                <w:szCs w:val="20"/>
              </w:rPr>
              <w:t>Class</w:t>
            </w:r>
          </w:p>
        </w:tc>
        <w:tc>
          <w:tcPr>
            <w:tcW w:w="144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1A3B2B7">
            <w:pPr>
              <w:jc w:val="center"/>
            </w:pPr>
            <w:r>
              <w:rPr>
                <w:rFonts w:ascii="Arial" w:hAnsi="Arial" w:eastAsia="Arial" w:cs="Arial"/>
                <w:b/>
                <w:bCs/>
                <w:color w:val="FFFFFF"/>
                <w:sz w:val="20"/>
                <w:szCs w:val="20"/>
              </w:rPr>
              <w:t>Precision</w:t>
            </w:r>
          </w:p>
        </w:tc>
        <w:tc>
          <w:tcPr>
            <w:tcW w:w="144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BAF5938">
            <w:pPr>
              <w:jc w:val="center"/>
            </w:pPr>
            <w:r>
              <w:rPr>
                <w:rFonts w:ascii="Arial" w:hAnsi="Arial" w:eastAsia="Arial" w:cs="Arial"/>
                <w:b/>
                <w:bCs/>
                <w:color w:val="FFFFFF"/>
                <w:sz w:val="20"/>
                <w:szCs w:val="20"/>
              </w:rPr>
              <w:t>Recall</w:t>
            </w:r>
          </w:p>
        </w:tc>
        <w:tc>
          <w:tcPr>
            <w:tcW w:w="144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FEBFAF1">
            <w:pPr>
              <w:jc w:val="center"/>
            </w:pPr>
            <w:r>
              <w:rPr>
                <w:rFonts w:ascii="Arial" w:hAnsi="Arial" w:eastAsia="Arial" w:cs="Arial"/>
                <w:b/>
                <w:bCs/>
                <w:color w:val="FFFFFF"/>
                <w:sz w:val="20"/>
                <w:szCs w:val="20"/>
              </w:rPr>
              <w:t>F1-Score</w:t>
            </w:r>
          </w:p>
        </w:tc>
        <w:tc>
          <w:tcPr>
            <w:tcW w:w="204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7195B11">
            <w:pPr>
              <w:jc w:val="center"/>
            </w:pPr>
            <w:r>
              <w:rPr>
                <w:rFonts w:ascii="Arial" w:hAnsi="Arial" w:eastAsia="Arial" w:cs="Arial"/>
                <w:b/>
                <w:bCs/>
                <w:color w:val="FFFFFF"/>
                <w:sz w:val="20"/>
                <w:szCs w:val="20"/>
              </w:rPr>
              <w:t>Support</w:t>
            </w:r>
          </w:p>
        </w:tc>
      </w:tr>
      <w:tr w14:paraId="34D8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DD142C5">
            <w:pPr>
              <w:jc w:val="center"/>
            </w:pPr>
            <w:r>
              <w:rPr>
                <w:rFonts w:ascii="Times New Roman" w:hAnsi="Times New Roman" w:eastAsia="Times New Roman" w:cs="Times New Roman"/>
                <w:b/>
                <w:bCs/>
                <w:sz w:val="20"/>
                <w:szCs w:val="20"/>
              </w:rPr>
              <w:t>Backup</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BD7E148">
            <w:pPr>
              <w:jc w:val="center"/>
            </w:pPr>
            <w:r>
              <w:rPr>
                <w:rFonts w:ascii="Times New Roman" w:hAnsi="Times New Roman" w:eastAsia="Times New Roman" w:cs="Times New Roman"/>
                <w:b w:val="0"/>
                <w:bCs w:val="0"/>
                <w:sz w:val="20"/>
                <w:szCs w:val="20"/>
              </w:rPr>
              <w:t>0.97</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ABF88BC">
            <w:pPr>
              <w:jc w:val="center"/>
            </w:pPr>
            <w:r>
              <w:rPr>
                <w:rFonts w:ascii="Times New Roman" w:hAnsi="Times New Roman" w:eastAsia="Times New Roman" w:cs="Times New Roman"/>
                <w:b w:val="0"/>
                <w:bCs w:val="0"/>
                <w:sz w:val="20"/>
                <w:szCs w:val="20"/>
              </w:rPr>
              <w:t>0.86</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BE3C8F9">
            <w:pPr>
              <w:jc w:val="center"/>
            </w:pPr>
            <w:r>
              <w:rPr>
                <w:rFonts w:ascii="Times New Roman" w:hAnsi="Times New Roman" w:eastAsia="Times New Roman" w:cs="Times New Roman"/>
                <w:b w:val="0"/>
                <w:bCs w:val="0"/>
                <w:sz w:val="20"/>
                <w:szCs w:val="20"/>
              </w:rPr>
              <w:t>0.91</w:t>
            </w:r>
          </w:p>
        </w:tc>
        <w:tc>
          <w:tcPr>
            <w:tcW w:w="20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B137B72">
            <w:pPr>
              <w:jc w:val="center"/>
            </w:pPr>
            <w:r>
              <w:rPr>
                <w:rFonts w:ascii="Times New Roman" w:hAnsi="Times New Roman" w:eastAsia="Times New Roman" w:cs="Times New Roman"/>
                <w:b w:val="0"/>
                <w:bCs w:val="0"/>
                <w:sz w:val="20"/>
                <w:szCs w:val="20"/>
              </w:rPr>
              <w:t>3,651</w:t>
            </w:r>
          </w:p>
        </w:tc>
      </w:tr>
      <w:tr w14:paraId="2534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80F505">
            <w:pPr>
              <w:jc w:val="center"/>
            </w:pPr>
            <w:r>
              <w:rPr>
                <w:rFonts w:ascii="Times New Roman" w:hAnsi="Times New Roman" w:eastAsia="Times New Roman" w:cs="Times New Roman"/>
                <w:b/>
                <w:bCs/>
                <w:sz w:val="20"/>
                <w:szCs w:val="20"/>
              </w:rPr>
              <w:t>Browsing</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FDE679">
            <w:pPr>
              <w:jc w:val="center"/>
            </w:pPr>
            <w:r>
              <w:rPr>
                <w:rFonts w:ascii="Times New Roman" w:hAnsi="Times New Roman" w:eastAsia="Times New Roman" w:cs="Times New Roman"/>
                <w:b w:val="0"/>
                <w:bCs w:val="0"/>
                <w:sz w:val="20"/>
                <w:szCs w:val="20"/>
              </w:rPr>
              <w:t>0.92</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ED8457">
            <w:pPr>
              <w:jc w:val="center"/>
            </w:pPr>
            <w:r>
              <w:rPr>
                <w:rFonts w:ascii="Times New Roman" w:hAnsi="Times New Roman" w:eastAsia="Times New Roman" w:cs="Times New Roman"/>
                <w:b w:val="0"/>
                <w:bCs w:val="0"/>
                <w:sz w:val="20"/>
                <w:szCs w:val="20"/>
              </w:rPr>
              <w:t>0.93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A9847A">
            <w:pPr>
              <w:jc w:val="center"/>
            </w:pPr>
            <w:r>
              <w:rPr>
                <w:rFonts w:ascii="Times New Roman" w:hAnsi="Times New Roman" w:eastAsia="Times New Roman" w:cs="Times New Roman"/>
                <w:b w:val="0"/>
                <w:bCs w:val="0"/>
                <w:sz w:val="20"/>
                <w:szCs w:val="20"/>
              </w:rPr>
              <w:t>0.92</w:t>
            </w:r>
          </w:p>
        </w:tc>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45BE57">
            <w:pPr>
              <w:jc w:val="center"/>
            </w:pPr>
            <w:r>
              <w:rPr>
                <w:rFonts w:ascii="Times New Roman" w:hAnsi="Times New Roman" w:eastAsia="Times New Roman" w:cs="Times New Roman"/>
                <w:b w:val="0"/>
                <w:bCs w:val="0"/>
                <w:sz w:val="20"/>
                <w:szCs w:val="20"/>
              </w:rPr>
              <w:t>3,660</w:t>
            </w:r>
          </w:p>
        </w:tc>
      </w:tr>
      <w:tr w14:paraId="2051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6B1D0CD">
            <w:pPr>
              <w:jc w:val="center"/>
            </w:pPr>
            <w:r>
              <w:rPr>
                <w:rFonts w:ascii="Times New Roman" w:hAnsi="Times New Roman" w:eastAsia="Times New Roman" w:cs="Times New Roman"/>
                <w:b/>
                <w:bCs/>
                <w:sz w:val="20"/>
                <w:szCs w:val="20"/>
              </w:rPr>
              <w:t>Email</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DE94B79">
            <w:pPr>
              <w:jc w:val="center"/>
            </w:pPr>
            <w:r>
              <w:rPr>
                <w:rFonts w:ascii="Times New Roman" w:hAnsi="Times New Roman" w:eastAsia="Times New Roman" w:cs="Times New Roman"/>
                <w:b w:val="0"/>
                <w:bCs w:val="0"/>
                <w:sz w:val="20"/>
                <w:szCs w:val="20"/>
              </w:rPr>
              <w:t>0.91</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B18FD84">
            <w:pPr>
              <w:jc w:val="center"/>
            </w:pPr>
            <w:r>
              <w:rPr>
                <w:rFonts w:ascii="Times New Roman" w:hAnsi="Times New Roman" w:eastAsia="Times New Roman" w:cs="Times New Roman"/>
                <w:b w:val="0"/>
                <w:bCs w:val="0"/>
                <w:sz w:val="20"/>
                <w:szCs w:val="20"/>
              </w:rPr>
              <w:t>0.90</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4E9FB68">
            <w:pPr>
              <w:jc w:val="center"/>
            </w:pPr>
            <w:r>
              <w:rPr>
                <w:rFonts w:ascii="Times New Roman" w:hAnsi="Times New Roman" w:eastAsia="Times New Roman" w:cs="Times New Roman"/>
                <w:b w:val="0"/>
                <w:bCs w:val="0"/>
                <w:sz w:val="20"/>
                <w:szCs w:val="20"/>
              </w:rPr>
              <w:t>0.91</w:t>
            </w:r>
          </w:p>
        </w:tc>
        <w:tc>
          <w:tcPr>
            <w:tcW w:w="20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016F681">
            <w:pPr>
              <w:jc w:val="center"/>
            </w:pPr>
            <w:r>
              <w:rPr>
                <w:rFonts w:ascii="Times New Roman" w:hAnsi="Times New Roman" w:eastAsia="Times New Roman" w:cs="Times New Roman"/>
                <w:b w:val="0"/>
                <w:bCs w:val="0"/>
                <w:sz w:val="20"/>
                <w:szCs w:val="20"/>
              </w:rPr>
              <w:t>3,898</w:t>
            </w:r>
          </w:p>
        </w:tc>
      </w:tr>
      <w:tr w14:paraId="7014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9E969B">
            <w:pPr>
              <w:jc w:val="center"/>
            </w:pPr>
            <w:r>
              <w:rPr>
                <w:rFonts w:ascii="Times New Roman" w:hAnsi="Times New Roman" w:eastAsia="Times New Roman" w:cs="Times New Roman"/>
                <w:b/>
                <w:bCs/>
                <w:sz w:val="20"/>
                <w:szCs w:val="20"/>
              </w:rPr>
              <w:t>IPSec</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E121BD">
            <w:pPr>
              <w:jc w:val="center"/>
            </w:pPr>
            <w:r>
              <w:rPr>
                <w:rFonts w:ascii="Times New Roman" w:hAnsi="Times New Roman" w:eastAsia="Times New Roman" w:cs="Times New Roman"/>
                <w:b w:val="0"/>
                <w:bCs w:val="0"/>
                <w:sz w:val="20"/>
                <w:szCs w:val="20"/>
              </w:rPr>
              <w:t>0.83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839F5F">
            <w:pPr>
              <w:jc w:val="center"/>
            </w:pPr>
            <w:r>
              <w:rPr>
                <w:rFonts w:ascii="Times New Roman" w:hAnsi="Times New Roman" w:eastAsia="Times New Roman" w:cs="Times New Roman"/>
                <w:b w:val="0"/>
                <w:bCs w:val="0"/>
                <w:sz w:val="20"/>
                <w:szCs w:val="20"/>
              </w:rPr>
              <w:t>0.94</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CCADFF">
            <w:pPr>
              <w:jc w:val="center"/>
            </w:pPr>
            <w:r>
              <w:rPr>
                <w:rFonts w:ascii="Times New Roman" w:hAnsi="Times New Roman" w:eastAsia="Times New Roman" w:cs="Times New Roman"/>
                <w:b w:val="0"/>
                <w:bCs w:val="0"/>
                <w:sz w:val="20"/>
                <w:szCs w:val="20"/>
              </w:rPr>
              <w:t>0.88</w:t>
            </w:r>
          </w:p>
        </w:tc>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039AE3">
            <w:pPr>
              <w:jc w:val="center"/>
            </w:pPr>
            <w:r>
              <w:rPr>
                <w:rFonts w:ascii="Times New Roman" w:hAnsi="Times New Roman" w:eastAsia="Times New Roman" w:cs="Times New Roman"/>
                <w:b w:val="0"/>
                <w:bCs w:val="0"/>
                <w:sz w:val="20"/>
                <w:szCs w:val="20"/>
              </w:rPr>
              <w:t>3,929</w:t>
            </w:r>
          </w:p>
        </w:tc>
      </w:tr>
      <w:tr w14:paraId="2EC9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FC2CD68">
            <w:pPr>
              <w:jc w:val="center"/>
            </w:pPr>
            <w:r>
              <w:rPr>
                <w:rFonts w:ascii="Times New Roman" w:hAnsi="Times New Roman" w:eastAsia="Times New Roman" w:cs="Times New Roman"/>
                <w:b/>
                <w:bCs/>
                <w:sz w:val="20"/>
                <w:szCs w:val="20"/>
              </w:rPr>
              <w:t>Web</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539E5DD">
            <w:pPr>
              <w:jc w:val="center"/>
            </w:pPr>
            <w:r>
              <w:rPr>
                <w:rFonts w:ascii="Times New Roman" w:hAnsi="Times New Roman" w:eastAsia="Times New Roman" w:cs="Times New Roman"/>
                <w:b w:val="0"/>
                <w:bCs w:val="0"/>
                <w:sz w:val="20"/>
                <w:szCs w:val="20"/>
              </w:rPr>
              <w:t>0.98</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CBF4EF9">
            <w:pPr>
              <w:jc w:val="center"/>
            </w:pPr>
            <w:r>
              <w:rPr>
                <w:rFonts w:ascii="Times New Roman" w:hAnsi="Times New Roman" w:eastAsia="Times New Roman" w:cs="Times New Roman"/>
                <w:b w:val="0"/>
                <w:bCs w:val="0"/>
                <w:sz w:val="20"/>
                <w:szCs w:val="20"/>
              </w:rPr>
              <w:t>0.96</w:t>
            </w:r>
          </w:p>
        </w:tc>
        <w:tc>
          <w:tcPr>
            <w:tcW w:w="14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07248AB6">
            <w:pPr>
              <w:jc w:val="center"/>
            </w:pPr>
            <w:r>
              <w:rPr>
                <w:rFonts w:ascii="Times New Roman" w:hAnsi="Times New Roman" w:eastAsia="Times New Roman" w:cs="Times New Roman"/>
                <w:b w:val="0"/>
                <w:bCs w:val="0"/>
                <w:sz w:val="20"/>
                <w:szCs w:val="20"/>
              </w:rPr>
              <w:t>0.97</w:t>
            </w:r>
          </w:p>
        </w:tc>
        <w:tc>
          <w:tcPr>
            <w:tcW w:w="204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198DEF3">
            <w:pPr>
              <w:jc w:val="center"/>
            </w:pPr>
            <w:r>
              <w:rPr>
                <w:rFonts w:ascii="Times New Roman" w:hAnsi="Times New Roman" w:eastAsia="Times New Roman" w:cs="Times New Roman"/>
                <w:b w:val="0"/>
                <w:bCs w:val="0"/>
                <w:sz w:val="20"/>
                <w:szCs w:val="20"/>
              </w:rPr>
              <w:t>3,961</w:t>
            </w:r>
          </w:p>
        </w:tc>
      </w:tr>
      <w:tr w14:paraId="030E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94CC9F">
            <w:pPr>
              <w:jc w:val="center"/>
            </w:pPr>
            <w:r>
              <w:rPr>
                <w:rFonts w:ascii="Times New Roman" w:hAnsi="Times New Roman" w:eastAsia="Times New Roman" w:cs="Times New Roman"/>
                <w:b/>
                <w:bCs/>
                <w:sz w:val="20"/>
                <w:szCs w:val="20"/>
              </w:rPr>
              <w:t>Weighted Avg</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0C4BEA">
            <w:pPr>
              <w:jc w:val="center"/>
            </w:pPr>
            <w:r>
              <w:rPr>
                <w:rFonts w:ascii="Times New Roman" w:hAnsi="Times New Roman" w:eastAsia="Times New Roman" w:cs="Times New Roman"/>
                <w:b w:val="0"/>
                <w:bCs w:val="0"/>
                <w:sz w:val="20"/>
                <w:szCs w:val="20"/>
              </w:rPr>
              <w:t>0.93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174176">
            <w:pPr>
              <w:jc w:val="center"/>
            </w:pPr>
            <w:r>
              <w:rPr>
                <w:rFonts w:ascii="Times New Roman" w:hAnsi="Times New Roman" w:eastAsia="Times New Roman" w:cs="Times New Roman"/>
                <w:b w:val="0"/>
                <w:bCs w:val="0"/>
                <w:sz w:val="20"/>
                <w:szCs w:val="20"/>
              </w:rPr>
              <w:t>0.92</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B03DAB">
            <w:pPr>
              <w:jc w:val="center"/>
            </w:pPr>
            <w:r>
              <w:rPr>
                <w:rFonts w:ascii="Times New Roman" w:hAnsi="Times New Roman" w:eastAsia="Times New Roman" w:cs="Times New Roman"/>
                <w:b w:val="0"/>
                <w:bCs w:val="0"/>
                <w:sz w:val="20"/>
                <w:szCs w:val="20"/>
              </w:rPr>
              <w:t>0.92</w:t>
            </w:r>
          </w:p>
        </w:tc>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B37724">
            <w:pPr>
              <w:jc w:val="center"/>
            </w:pPr>
            <w:r>
              <w:rPr>
                <w:rFonts w:ascii="Times New Roman" w:hAnsi="Times New Roman" w:eastAsia="Times New Roman" w:cs="Times New Roman"/>
                <w:b w:val="0"/>
                <w:bCs w:val="0"/>
                <w:sz w:val="20"/>
                <w:szCs w:val="20"/>
              </w:rPr>
              <w:t>19,084</w:t>
            </w:r>
          </w:p>
        </w:tc>
      </w:tr>
    </w:tbl>
    <w:p w14:paraId="34007F4F">
      <w:pPr>
        <w:spacing w:before="80" w:after="80"/>
      </w:pPr>
    </w:p>
    <w:p w14:paraId="74A5DE6D">
      <w:pPr>
        <w:spacing w:before="80" w:after="80" w:line="276" w:lineRule="auto"/>
        <w:jc w:val="both"/>
      </w:pPr>
      <w:r>
        <w:rPr>
          <w:rFonts w:ascii="Times New Roman" w:hAnsi="Times New Roman" w:eastAsia="Times New Roman" w:cs="Times New Roman"/>
          <w:b w:val="0"/>
          <w:bCs w:val="0"/>
          <w:i w:val="0"/>
          <w:iCs w:val="0"/>
          <w:color w:val="000000"/>
          <w:sz w:val="22"/>
          <w:szCs w:val="22"/>
        </w:rPr>
        <w:t>IPSec demonstrated the lowest precision (0.83) due to its encrypted nature producing behavioral features similar to other VPN-tunneled traffic. The CV standard deviation of 0.21% confirms model stability across folds.</w:t>
      </w:r>
    </w:p>
    <w:p w14:paraId="6EE1E03A">
      <w:pPr>
        <w:pStyle w:val="3"/>
        <w:spacing w:before="240" w:after="120"/>
        <w:rPr>
          <w:rFonts w:ascii="Arial" w:hAnsi="Arial" w:eastAsia="Arial" w:cs="Arial"/>
          <w:b/>
          <w:bCs/>
          <w:color w:val="1F4E79"/>
          <w:sz w:val="26"/>
          <w:szCs w:val="26"/>
        </w:rPr>
      </w:pPr>
    </w:p>
    <w:p w14:paraId="1739966A">
      <w:pPr>
        <w:pStyle w:val="3"/>
        <w:spacing w:before="240" w:after="120"/>
        <w:rPr>
          <w:rFonts w:ascii="Arial" w:hAnsi="Arial" w:eastAsia="Arial" w:cs="Arial"/>
          <w:b/>
          <w:bCs/>
          <w:color w:val="1F4E79"/>
          <w:sz w:val="26"/>
          <w:szCs w:val="26"/>
        </w:rPr>
      </w:pPr>
    </w:p>
    <w:p w14:paraId="3C546194">
      <w:pPr>
        <w:pStyle w:val="3"/>
        <w:spacing w:before="240" w:after="120"/>
        <w:rPr>
          <w:rFonts w:ascii="Arial" w:hAnsi="Arial" w:eastAsia="Arial" w:cs="Arial"/>
          <w:b/>
          <w:bCs/>
          <w:color w:val="1F4E79"/>
          <w:sz w:val="26"/>
          <w:szCs w:val="26"/>
        </w:rPr>
      </w:pPr>
    </w:p>
    <w:p w14:paraId="341F1F4C">
      <w:pPr>
        <w:pStyle w:val="3"/>
        <w:spacing w:before="240" w:after="120"/>
        <w:rPr>
          <w:rFonts w:ascii="Arial" w:hAnsi="Arial" w:eastAsia="Arial" w:cs="Arial"/>
          <w:b/>
          <w:bCs/>
          <w:color w:val="1F4E79"/>
          <w:sz w:val="26"/>
          <w:szCs w:val="26"/>
        </w:rPr>
      </w:pPr>
    </w:p>
    <w:p w14:paraId="66E7AF0C">
      <w:pPr>
        <w:pStyle w:val="3"/>
        <w:spacing w:before="240" w:after="120"/>
        <w:rPr>
          <w:rFonts w:ascii="Arial" w:hAnsi="Arial" w:eastAsia="Arial" w:cs="Arial"/>
          <w:b/>
          <w:bCs/>
          <w:color w:val="1F4E79"/>
          <w:sz w:val="26"/>
          <w:szCs w:val="26"/>
        </w:rPr>
      </w:pPr>
    </w:p>
    <w:p w14:paraId="77931DF5">
      <w:pPr>
        <w:pStyle w:val="3"/>
        <w:spacing w:before="240" w:after="120"/>
        <w:rPr>
          <w:rFonts w:ascii="Arial" w:hAnsi="Arial" w:eastAsia="Arial" w:cs="Arial"/>
          <w:b/>
          <w:bCs/>
          <w:color w:val="1F4E79"/>
          <w:sz w:val="26"/>
          <w:szCs w:val="26"/>
        </w:rPr>
      </w:pPr>
    </w:p>
    <w:p w14:paraId="11C1D1F0">
      <w:pPr>
        <w:pStyle w:val="3"/>
        <w:spacing w:before="240" w:after="120"/>
      </w:pPr>
      <w:r>
        <w:rPr>
          <w:rFonts w:ascii="Arial" w:hAnsi="Arial" w:eastAsia="Arial" w:cs="Arial"/>
          <w:b/>
          <w:bCs/>
          <w:color w:val="1F4E79"/>
          <w:sz w:val="26"/>
          <w:szCs w:val="26"/>
        </w:rPr>
        <w:t>C. Comparison with Baseline</w:t>
      </w:r>
    </w:p>
    <w:tbl>
      <w:tblPr>
        <w:tblStyle w:val="9"/>
        <w:tblW w:w="8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400"/>
        <w:gridCol w:w="2560"/>
      </w:tblGrid>
      <w:tr w14:paraId="24E3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365F170">
            <w:pPr>
              <w:jc w:val="center"/>
            </w:pPr>
            <w:r>
              <w:rPr>
                <w:rFonts w:ascii="Arial" w:hAnsi="Arial" w:eastAsia="Arial" w:cs="Arial"/>
                <w:b/>
                <w:bCs/>
                <w:color w:val="FFFFFF"/>
                <w:sz w:val="20"/>
                <w:szCs w:val="20"/>
              </w:rPr>
              <w:t>Model</w:t>
            </w:r>
          </w:p>
        </w:tc>
        <w:tc>
          <w:tcPr>
            <w:tcW w:w="14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1C76424">
            <w:pPr>
              <w:jc w:val="center"/>
            </w:pPr>
            <w:r>
              <w:rPr>
                <w:rFonts w:ascii="Arial" w:hAnsi="Arial" w:eastAsia="Arial" w:cs="Arial"/>
                <w:b/>
                <w:bCs/>
                <w:color w:val="FFFFFF"/>
                <w:sz w:val="20"/>
                <w:szCs w:val="20"/>
              </w:rPr>
              <w:t>Accuracy</w:t>
            </w:r>
          </w:p>
        </w:tc>
        <w:tc>
          <w:tcPr>
            <w:tcW w:w="14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7A4F24E">
            <w:pPr>
              <w:jc w:val="center"/>
            </w:pPr>
            <w:r>
              <w:rPr>
                <w:rFonts w:ascii="Arial" w:hAnsi="Arial" w:eastAsia="Arial" w:cs="Arial"/>
                <w:b/>
                <w:bCs/>
                <w:color w:val="FFFFFF"/>
                <w:sz w:val="20"/>
                <w:szCs w:val="20"/>
              </w:rPr>
              <w:t>F1-Score</w:t>
            </w:r>
          </w:p>
        </w:tc>
        <w:tc>
          <w:tcPr>
            <w:tcW w:w="256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20C02CA6">
            <w:pPr>
              <w:jc w:val="center"/>
            </w:pPr>
            <w:r>
              <w:rPr>
                <w:rFonts w:ascii="Arial" w:hAnsi="Arial" w:eastAsia="Arial" w:cs="Arial"/>
                <w:b/>
                <w:bCs/>
                <w:color w:val="FFFFFF"/>
                <w:sz w:val="20"/>
                <w:szCs w:val="20"/>
              </w:rPr>
              <w:t>Anomaly Detection</w:t>
            </w:r>
          </w:p>
        </w:tc>
      </w:tr>
      <w:tr w14:paraId="2BDB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2E4C4BD">
            <w:pPr>
              <w:jc w:val="center"/>
            </w:pPr>
            <w:r>
              <w:rPr>
                <w:rFonts w:ascii="Times New Roman" w:hAnsi="Times New Roman" w:eastAsia="Times New Roman" w:cs="Times New Roman"/>
                <w:b/>
                <w:bCs/>
                <w:sz w:val="20"/>
                <w:szCs w:val="20"/>
              </w:rPr>
              <w:t>Naive Bayes (Antari et al., 2024)</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B12C1BB">
            <w:pPr>
              <w:jc w:val="center"/>
            </w:pPr>
            <w:r>
              <w:rPr>
                <w:rFonts w:ascii="Times New Roman" w:hAnsi="Times New Roman" w:eastAsia="Times New Roman" w:cs="Times New Roman"/>
                <w:b w:val="0"/>
                <w:bCs w:val="0"/>
                <w:sz w:val="20"/>
                <w:szCs w:val="20"/>
              </w:rPr>
              <w:t>35.76%</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A5F6027">
            <w:pPr>
              <w:jc w:val="center"/>
            </w:pPr>
            <w:r>
              <w:rPr>
                <w:rFonts w:ascii="Times New Roman" w:hAnsi="Times New Roman" w:eastAsia="Times New Roman" w:cs="Times New Roman"/>
                <w:b w:val="0"/>
                <w:bCs w:val="0"/>
                <w:sz w:val="20"/>
                <w:szCs w:val="20"/>
              </w:rPr>
              <w:t>33.58%</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3C56193">
            <w:pPr>
              <w:jc w:val="center"/>
            </w:pPr>
            <w:r>
              <w:rPr>
                <w:rFonts w:ascii="Times New Roman" w:hAnsi="Times New Roman" w:eastAsia="Times New Roman" w:cs="Times New Roman"/>
                <w:b w:val="0"/>
                <w:bCs w:val="0"/>
                <w:sz w:val="20"/>
                <w:szCs w:val="20"/>
              </w:rPr>
              <w:t>No</w:t>
            </w:r>
          </w:p>
        </w:tc>
      </w:tr>
      <w:tr w14:paraId="207E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31AF9B">
            <w:pPr>
              <w:jc w:val="center"/>
            </w:pPr>
            <w:r>
              <w:rPr>
                <w:rFonts w:ascii="Times New Roman" w:hAnsi="Times New Roman" w:eastAsia="Times New Roman" w:cs="Times New Roman"/>
                <w:b/>
                <w:bCs/>
                <w:sz w:val="20"/>
                <w:szCs w:val="20"/>
              </w:rPr>
              <w:t>Decision Tree (Antari et al., 2024)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970F81">
            <w:pPr>
              <w:jc w:val="center"/>
            </w:pPr>
            <w:r>
              <w:rPr>
                <w:rFonts w:ascii="Times New Roman" w:hAnsi="Times New Roman" w:eastAsia="Times New Roman" w:cs="Times New Roman"/>
                <w:b w:val="0"/>
                <w:bCs w:val="0"/>
                <w:sz w:val="20"/>
                <w:szCs w:val="20"/>
              </w:rPr>
              <w:t>95.00%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CE125D">
            <w:pPr>
              <w:jc w:val="center"/>
            </w:pPr>
            <w:r>
              <w:rPr>
                <w:rFonts w:ascii="Times New Roman" w:hAnsi="Times New Roman" w:eastAsia="Times New Roman" w:cs="Times New Roman"/>
                <w:b w:val="0"/>
                <w:bCs w:val="0"/>
                <w:sz w:val="20"/>
                <w:szCs w:val="20"/>
              </w:rPr>
              <w:t>92.56%</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7804F1">
            <w:pPr>
              <w:jc w:val="center"/>
            </w:pPr>
            <w:r>
              <w:rPr>
                <w:rFonts w:ascii="Times New Roman" w:hAnsi="Times New Roman" w:eastAsia="Times New Roman" w:cs="Times New Roman"/>
                <w:b w:val="0"/>
                <w:bCs w:val="0"/>
                <w:sz w:val="20"/>
                <w:szCs w:val="20"/>
              </w:rPr>
              <w:t>No</w:t>
            </w:r>
          </w:p>
        </w:tc>
      </w:tr>
      <w:tr w14:paraId="2559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1233C281">
            <w:pPr>
              <w:jc w:val="center"/>
            </w:pPr>
            <w:r>
              <w:rPr>
                <w:rFonts w:ascii="Times New Roman" w:hAnsi="Times New Roman" w:eastAsia="Times New Roman" w:cs="Times New Roman"/>
                <w:b/>
                <w:bCs/>
                <w:sz w:val="20"/>
                <w:szCs w:val="20"/>
              </w:rPr>
              <w:t>Random Forest (Antari et al., 2024)</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F072E76">
            <w:pPr>
              <w:jc w:val="center"/>
            </w:pPr>
            <w:r>
              <w:rPr>
                <w:rFonts w:ascii="Times New Roman" w:hAnsi="Times New Roman" w:eastAsia="Times New Roman" w:cs="Times New Roman"/>
                <w:b w:val="0"/>
                <w:bCs w:val="0"/>
                <w:sz w:val="20"/>
                <w:szCs w:val="20"/>
              </w:rPr>
              <w:t>96.71%</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B6044A6">
            <w:pPr>
              <w:jc w:val="center"/>
            </w:pPr>
            <w:r>
              <w:rPr>
                <w:rFonts w:ascii="Times New Roman" w:hAnsi="Times New Roman" w:eastAsia="Times New Roman" w:cs="Times New Roman"/>
                <w:b w:val="0"/>
                <w:bCs w:val="0"/>
                <w:sz w:val="20"/>
                <w:szCs w:val="20"/>
              </w:rPr>
              <w:t>97.34%</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C189FF4">
            <w:pPr>
              <w:jc w:val="center"/>
            </w:pPr>
            <w:r>
              <w:rPr>
                <w:rFonts w:ascii="Times New Roman" w:hAnsi="Times New Roman" w:eastAsia="Times New Roman" w:cs="Times New Roman"/>
                <w:b w:val="0"/>
                <w:bCs w:val="0"/>
                <w:sz w:val="20"/>
                <w:szCs w:val="20"/>
              </w:rPr>
              <w:t>No</w:t>
            </w:r>
          </w:p>
        </w:tc>
      </w:tr>
      <w:tr w14:paraId="0828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C68EC2">
            <w:pPr>
              <w:jc w:val="center"/>
            </w:pPr>
            <w:r>
              <w:rPr>
                <w:rFonts w:ascii="Times New Roman" w:hAnsi="Times New Roman" w:eastAsia="Times New Roman" w:cs="Times New Roman"/>
                <w:b/>
                <w:bCs/>
                <w:sz w:val="20"/>
                <w:szCs w:val="20"/>
              </w:rPr>
              <w:t>XGBoost (Antari et al., 2024)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A4EDBB">
            <w:pPr>
              <w:jc w:val="center"/>
            </w:pPr>
            <w:r>
              <w:rPr>
                <w:rFonts w:ascii="Times New Roman" w:hAnsi="Times New Roman" w:eastAsia="Times New Roman" w:cs="Times New Roman"/>
                <w:b w:val="0"/>
                <w:bCs w:val="0"/>
                <w:sz w:val="20"/>
                <w:szCs w:val="20"/>
              </w:rPr>
              <w:t>97.56%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9D4DF5">
            <w:pPr>
              <w:jc w:val="center"/>
            </w:pPr>
            <w:r>
              <w:rPr>
                <w:rFonts w:ascii="Times New Roman" w:hAnsi="Times New Roman" w:eastAsia="Times New Roman" w:cs="Times New Roman"/>
                <w:b w:val="0"/>
                <w:bCs w:val="0"/>
                <w:sz w:val="20"/>
                <w:szCs w:val="20"/>
              </w:rPr>
              <w:t>98.39%</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BD0A1D">
            <w:pPr>
              <w:jc w:val="center"/>
            </w:pPr>
            <w:r>
              <w:rPr>
                <w:rFonts w:ascii="Times New Roman" w:hAnsi="Times New Roman" w:eastAsia="Times New Roman" w:cs="Times New Roman"/>
                <w:b w:val="0"/>
                <w:bCs w:val="0"/>
                <w:sz w:val="20"/>
                <w:szCs w:val="20"/>
              </w:rPr>
              <w:t>No</w:t>
            </w:r>
          </w:p>
        </w:tc>
      </w:tr>
      <w:tr w14:paraId="1580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2266C92">
            <w:pPr>
              <w:jc w:val="center"/>
            </w:pPr>
            <w:r>
              <w:rPr>
                <w:rFonts w:ascii="Times New Roman" w:hAnsi="Times New Roman" w:eastAsia="Times New Roman" w:cs="Times New Roman"/>
                <w:b/>
                <w:bCs/>
                <w:sz w:val="20"/>
                <w:szCs w:val="20"/>
              </w:rPr>
              <w:t>Deep Neural Network (Antari et al., 2024)</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7FB268EF">
            <w:pPr>
              <w:jc w:val="center"/>
            </w:pPr>
            <w:r>
              <w:rPr>
                <w:rFonts w:ascii="Times New Roman" w:hAnsi="Times New Roman" w:eastAsia="Times New Roman" w:cs="Times New Roman"/>
                <w:b w:val="0"/>
                <w:bCs w:val="0"/>
                <w:sz w:val="20"/>
                <w:szCs w:val="20"/>
              </w:rPr>
              <w:t>86.04%</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1F441C8">
            <w:pPr>
              <w:jc w:val="center"/>
            </w:pPr>
            <w:r>
              <w:rPr>
                <w:rFonts w:ascii="Times New Roman" w:hAnsi="Times New Roman" w:eastAsia="Times New Roman" w:cs="Times New Roman"/>
                <w:b w:val="0"/>
                <w:bCs w:val="0"/>
                <w:sz w:val="20"/>
                <w:szCs w:val="20"/>
              </w:rPr>
              <w:t>85.44%</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268AF259">
            <w:pPr>
              <w:jc w:val="center"/>
            </w:pPr>
            <w:r>
              <w:rPr>
                <w:rFonts w:ascii="Times New Roman" w:hAnsi="Times New Roman" w:eastAsia="Times New Roman" w:cs="Times New Roman"/>
                <w:b w:val="0"/>
                <w:bCs w:val="0"/>
                <w:sz w:val="20"/>
                <w:szCs w:val="20"/>
              </w:rPr>
              <w:t>No</w:t>
            </w:r>
          </w:p>
        </w:tc>
      </w:tr>
      <w:tr w14:paraId="08E4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C9B91D">
            <w:pPr>
              <w:jc w:val="center"/>
            </w:pPr>
            <w:r>
              <w:rPr>
                <w:rFonts w:ascii="Times New Roman" w:hAnsi="Times New Roman" w:eastAsia="Times New Roman" w:cs="Times New Roman"/>
                <w:b/>
                <w:bCs/>
                <w:sz w:val="20"/>
                <w:szCs w:val="20"/>
              </w:rPr>
              <w:t>Transformer (Antari et al., 2024)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E57CC6">
            <w:pPr>
              <w:jc w:val="center"/>
            </w:pPr>
            <w:r>
              <w:rPr>
                <w:rFonts w:ascii="Times New Roman" w:hAnsi="Times New Roman" w:eastAsia="Times New Roman" w:cs="Times New Roman"/>
                <w:b w:val="0"/>
                <w:bCs w:val="0"/>
                <w:sz w:val="20"/>
                <w:szCs w:val="20"/>
              </w:rPr>
              <w:t>98.95%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B13A59">
            <w:pPr>
              <w:jc w:val="center"/>
            </w:pPr>
            <w:r>
              <w:rPr>
                <w:rFonts w:ascii="Times New Roman" w:hAnsi="Times New Roman" w:eastAsia="Times New Roman" w:cs="Times New Roman"/>
                <w:b w:val="0"/>
                <w:bCs w:val="0"/>
                <w:sz w:val="20"/>
                <w:szCs w:val="20"/>
              </w:rPr>
              <w:t>98.82%</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E53FBC">
            <w:pPr>
              <w:jc w:val="center"/>
            </w:pPr>
            <w:r>
              <w:rPr>
                <w:rFonts w:ascii="Times New Roman" w:hAnsi="Times New Roman" w:eastAsia="Times New Roman" w:cs="Times New Roman"/>
                <w:b w:val="0"/>
                <w:bCs w:val="0"/>
                <w:sz w:val="20"/>
                <w:szCs w:val="20"/>
              </w:rPr>
              <w:t>No</w:t>
            </w:r>
          </w:p>
        </w:tc>
      </w:tr>
      <w:tr w14:paraId="0518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6A7F8D1">
            <w:pPr>
              <w:jc w:val="center"/>
            </w:pPr>
            <w:r>
              <w:rPr>
                <w:rFonts w:ascii="Times New Roman" w:hAnsi="Times New Roman" w:eastAsia="Times New Roman" w:cs="Times New Roman"/>
                <w:b/>
                <w:bCs/>
                <w:sz w:val="20"/>
                <w:szCs w:val="20"/>
              </w:rPr>
              <w:t>DT-Guard (Ours)</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5AB01979">
            <w:pPr>
              <w:jc w:val="center"/>
            </w:pPr>
            <w:r>
              <w:rPr>
                <w:rFonts w:ascii="Times New Roman" w:hAnsi="Times New Roman" w:eastAsia="Times New Roman" w:cs="Times New Roman"/>
                <w:b w:val="0"/>
                <w:bCs w:val="0"/>
                <w:sz w:val="20"/>
                <w:szCs w:val="20"/>
              </w:rPr>
              <w:t>96.07% (CV)</w:t>
            </w:r>
          </w:p>
        </w:tc>
        <w:tc>
          <w:tcPr>
            <w:tcW w:w="14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6A286B2">
            <w:pPr>
              <w:jc w:val="center"/>
            </w:pPr>
            <w:r>
              <w:rPr>
                <w:rFonts w:ascii="Times New Roman" w:hAnsi="Times New Roman" w:eastAsia="Times New Roman" w:cs="Times New Roman"/>
                <w:b w:val="0"/>
                <w:bCs w:val="0"/>
                <w:sz w:val="20"/>
                <w:szCs w:val="20"/>
              </w:rPr>
              <w:t>91.92%</w:t>
            </w:r>
          </w:p>
        </w:tc>
        <w:tc>
          <w:tcPr>
            <w:tcW w:w="25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0E0BCA9E">
            <w:pPr>
              <w:jc w:val="center"/>
            </w:pPr>
            <w:r>
              <w:rPr>
                <w:rFonts w:ascii="Times New Roman" w:hAnsi="Times New Roman" w:eastAsia="Times New Roman" w:cs="Times New Roman"/>
                <w:b w:val="0"/>
                <w:bCs w:val="0"/>
                <w:sz w:val="20"/>
                <w:szCs w:val="20"/>
              </w:rPr>
              <w:t>Yes</w:t>
            </w:r>
          </w:p>
        </w:tc>
      </w:tr>
    </w:tbl>
    <w:p w14:paraId="6481F6A3">
      <w:pPr>
        <w:spacing w:before="80" w:after="80"/>
      </w:pPr>
    </w:p>
    <w:p w14:paraId="12F34574">
      <w:pPr>
        <w:spacing w:before="80" w:after="80" w:line="276" w:lineRule="auto"/>
        <w:jc w:val="both"/>
      </w:pPr>
      <w:r>
        <w:rPr>
          <w:rFonts w:ascii="Times New Roman" w:hAnsi="Times New Roman" w:eastAsia="Times New Roman" w:cs="Times New Roman"/>
          <w:b w:val="0"/>
          <w:bCs w:val="0"/>
          <w:i w:val="0"/>
          <w:iCs w:val="0"/>
          <w:color w:val="000000"/>
          <w:sz w:val="22"/>
          <w:szCs w:val="22"/>
        </w:rPr>
        <w:t>DT-Guard exceeds the standalone Decision Tree baseline by 1.07% while adding an anomaly detection capability absent in all baseline models. The lower overall accuracy compared to XGBoost and Transformer reflects the cross-dataset evaluation setup; DT-Guard was trained on ISCX while baselines were trained on domain-specific AED data.</w:t>
      </w:r>
    </w:p>
    <w:p w14:paraId="0D1B6E48">
      <w:pPr>
        <w:pStyle w:val="3"/>
        <w:spacing w:before="240" w:after="120"/>
      </w:pPr>
      <w:r>
        <w:rPr>
          <w:rFonts w:ascii="Arial" w:hAnsi="Arial" w:eastAsia="Arial" w:cs="Arial"/>
          <w:b/>
          <w:bCs/>
          <w:color w:val="1F4E79"/>
          <w:sz w:val="26"/>
          <w:szCs w:val="26"/>
        </w:rPr>
        <w:t>D. Generalization Test on UNSW-NB15</w:t>
      </w:r>
    </w:p>
    <w:tbl>
      <w:tblPr>
        <w:tblStyle w:val="9"/>
        <w:tblW w:w="8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1800"/>
        <w:gridCol w:w="1360"/>
      </w:tblGrid>
      <w:tr w14:paraId="439B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79111861">
            <w:pPr>
              <w:jc w:val="center"/>
            </w:pPr>
            <w:r>
              <w:rPr>
                <w:rFonts w:ascii="Arial" w:hAnsi="Arial" w:eastAsia="Arial" w:cs="Arial"/>
                <w:b/>
                <w:bCs/>
                <w:color w:val="FFFFFF"/>
                <w:sz w:val="20"/>
                <w:szCs w:val="20"/>
              </w:rPr>
              <w:t>Configuration</w:t>
            </w:r>
          </w:p>
        </w:tc>
        <w:tc>
          <w:tcPr>
            <w:tcW w:w="1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35D635A">
            <w:pPr>
              <w:jc w:val="center"/>
            </w:pPr>
            <w:r>
              <w:rPr>
                <w:rFonts w:ascii="Arial" w:hAnsi="Arial" w:eastAsia="Arial" w:cs="Arial"/>
                <w:b/>
                <w:bCs/>
                <w:color w:val="FFFFFF"/>
                <w:sz w:val="20"/>
                <w:szCs w:val="20"/>
              </w:rPr>
              <w:t>Detection Rate</w:t>
            </w:r>
          </w:p>
        </w:tc>
        <w:tc>
          <w:tcPr>
            <w:tcW w:w="18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BE44A70">
            <w:pPr>
              <w:jc w:val="center"/>
            </w:pPr>
            <w:r>
              <w:rPr>
                <w:rFonts w:ascii="Arial" w:hAnsi="Arial" w:eastAsia="Arial" w:cs="Arial"/>
                <w:b/>
                <w:bCs/>
                <w:color w:val="FFFFFF"/>
                <w:sz w:val="20"/>
                <w:szCs w:val="20"/>
              </w:rPr>
              <w:t>False Alarm Rate</w:t>
            </w:r>
          </w:p>
        </w:tc>
        <w:tc>
          <w:tcPr>
            <w:tcW w:w="136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3BED5DE">
            <w:pPr>
              <w:jc w:val="center"/>
            </w:pPr>
            <w:r>
              <w:rPr>
                <w:rFonts w:ascii="Arial" w:hAnsi="Arial" w:eastAsia="Arial" w:cs="Arial"/>
                <w:b/>
                <w:bCs/>
                <w:color w:val="FFFFFF"/>
                <w:sz w:val="20"/>
                <w:szCs w:val="20"/>
              </w:rPr>
              <w:t>Precision</w:t>
            </w:r>
          </w:p>
        </w:tc>
      </w:tr>
      <w:tr w14:paraId="0377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4814DFEA">
            <w:pPr>
              <w:jc w:val="center"/>
            </w:pPr>
            <w:r>
              <w:rPr>
                <w:rFonts w:ascii="Times New Roman" w:hAnsi="Times New Roman" w:eastAsia="Times New Roman" w:cs="Times New Roman"/>
                <w:b/>
                <w:bCs/>
                <w:sz w:val="20"/>
                <w:szCs w:val="20"/>
              </w:rPr>
              <w:t>Original Threshold (0.0247)</w:t>
            </w:r>
          </w:p>
        </w:tc>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1F623502">
            <w:pPr>
              <w:jc w:val="center"/>
            </w:pPr>
            <w:r>
              <w:rPr>
                <w:rFonts w:ascii="Times New Roman" w:hAnsi="Times New Roman" w:eastAsia="Times New Roman" w:cs="Times New Roman"/>
                <w:b w:val="0"/>
                <w:bCs w:val="0"/>
                <w:sz w:val="20"/>
                <w:szCs w:val="20"/>
              </w:rPr>
              <w:t>9.5%</w:t>
            </w:r>
          </w:p>
        </w:tc>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6DF8988F">
            <w:pPr>
              <w:jc w:val="center"/>
            </w:pPr>
            <w:r>
              <w:rPr>
                <w:rFonts w:ascii="Times New Roman" w:hAnsi="Times New Roman" w:eastAsia="Times New Roman" w:cs="Times New Roman"/>
                <w:b w:val="0"/>
                <w:bCs w:val="0"/>
                <w:sz w:val="20"/>
                <w:szCs w:val="20"/>
              </w:rPr>
              <w:t>2.8%</w:t>
            </w:r>
          </w:p>
        </w:tc>
        <w:tc>
          <w:tcPr>
            <w:tcW w:w="13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20" w:type="dxa"/>
              <w:bottom w:w="80" w:type="dxa"/>
              <w:right w:w="120" w:type="dxa"/>
            </w:tcMar>
            <w:vAlign w:val="center"/>
          </w:tcPr>
          <w:p w14:paraId="3186936E">
            <w:pPr>
              <w:jc w:val="center"/>
            </w:pPr>
            <w:r>
              <w:rPr>
                <w:rFonts w:ascii="Times New Roman" w:hAnsi="Times New Roman" w:eastAsia="Times New Roman" w:cs="Times New Roman"/>
                <w:b w:val="0"/>
                <w:bCs w:val="0"/>
                <w:sz w:val="20"/>
                <w:szCs w:val="20"/>
              </w:rPr>
              <w:t>—</w:t>
            </w:r>
          </w:p>
        </w:tc>
      </w:tr>
      <w:tr w14:paraId="2AD1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461D13">
            <w:pPr>
              <w:jc w:val="center"/>
            </w:pPr>
            <w:r>
              <w:rPr>
                <w:rFonts w:ascii="Times New Roman" w:hAnsi="Times New Roman" w:eastAsia="Times New Roman" w:cs="Times New Roman"/>
                <w:b/>
                <w:bCs/>
                <w:sz w:val="20"/>
                <w:szCs w:val="20"/>
              </w:rPr>
              <w:t>Adapted Threshold (0.0069)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F5F6F2">
            <w:pPr>
              <w:jc w:val="center"/>
            </w:pPr>
            <w:r>
              <w:rPr>
                <w:rFonts w:ascii="Times New Roman" w:hAnsi="Times New Roman" w:eastAsia="Times New Roman" w:cs="Times New Roman"/>
                <w:b w:val="0"/>
                <w:bCs w:val="0"/>
                <w:sz w:val="20"/>
                <w:szCs w:val="20"/>
              </w:rPr>
              <w:t>51.2%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8F4A87">
            <w:pPr>
              <w:jc w:val="center"/>
            </w:pPr>
            <w:r>
              <w:rPr>
                <w:rFonts w:ascii="Times New Roman" w:hAnsi="Times New Roman" w:eastAsia="Times New Roman" w:cs="Times New Roman"/>
                <w:b w:val="0"/>
                <w:bCs w:val="0"/>
                <w:sz w:val="20"/>
                <w:szCs w:val="20"/>
              </w:rPr>
              <w:t>8.2%</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10C19E">
            <w:pPr>
              <w:jc w:val="center"/>
            </w:pPr>
            <w:r>
              <w:rPr>
                <w:rFonts w:ascii="Times New Roman" w:hAnsi="Times New Roman" w:eastAsia="Times New Roman" w:cs="Times New Roman"/>
                <w:b w:val="0"/>
                <w:bCs w:val="0"/>
                <w:sz w:val="20"/>
                <w:szCs w:val="20"/>
              </w:rPr>
              <w:t>93.0%</w:t>
            </w:r>
          </w:p>
        </w:tc>
      </w:tr>
    </w:tbl>
    <w:p w14:paraId="58D93594">
      <w:pPr>
        <w:spacing w:before="80" w:after="80"/>
      </w:pPr>
    </w:p>
    <w:p w14:paraId="1E82566D">
      <w:pPr>
        <w:spacing w:before="80" w:after="80" w:line="276" w:lineRule="auto"/>
        <w:jc w:val="both"/>
      </w:pPr>
      <w:r>
        <w:rPr>
          <w:rFonts w:ascii="Times New Roman" w:hAnsi="Times New Roman" w:eastAsia="Times New Roman" w:cs="Times New Roman"/>
          <w:b w:val="0"/>
          <w:bCs w:val="0"/>
          <w:i w:val="0"/>
          <w:iCs w:val="0"/>
          <w:color w:val="000000"/>
          <w:sz w:val="22"/>
          <w:szCs w:val="22"/>
        </w:rPr>
        <w:t>The generalization test reveals a significant domain shift between ISCX (VPN-focused) and UNSW-NB15 (general network attacks). After threshold adaptation to the target domain's error distribution, detection rate improved from 9.5% to 51.2% while maintaining high precision (93.0%), demonstrating that threshold calibration is the primary bottleneck for cross-domain deployment.</w:t>
      </w:r>
    </w:p>
    <w:p w14:paraId="1812798A">
      <w:pPr>
        <w:pStyle w:val="2"/>
        <w:spacing w:before="240" w:after="120"/>
        <w:rPr>
          <w:rFonts w:ascii="Arial" w:hAnsi="Arial" w:eastAsia="Arial" w:cs="Arial"/>
          <w:b/>
          <w:bCs/>
          <w:color w:val="1F4E79"/>
          <w:sz w:val="32"/>
          <w:szCs w:val="32"/>
        </w:rPr>
      </w:pPr>
    </w:p>
    <w:p w14:paraId="797D3479">
      <w:pPr>
        <w:pStyle w:val="2"/>
        <w:spacing w:before="240" w:after="120"/>
        <w:rPr>
          <w:rFonts w:ascii="Arial" w:hAnsi="Arial" w:eastAsia="Arial" w:cs="Arial"/>
          <w:b/>
          <w:bCs/>
          <w:color w:val="1F4E79"/>
          <w:sz w:val="32"/>
          <w:szCs w:val="32"/>
        </w:rPr>
      </w:pPr>
    </w:p>
    <w:p w14:paraId="6CE11B94">
      <w:pPr>
        <w:pStyle w:val="2"/>
        <w:spacing w:before="240" w:after="120"/>
        <w:rPr>
          <w:rFonts w:ascii="Arial" w:hAnsi="Arial" w:eastAsia="Arial" w:cs="Arial"/>
          <w:b/>
          <w:bCs/>
          <w:color w:val="1F4E79"/>
          <w:sz w:val="32"/>
          <w:szCs w:val="32"/>
        </w:rPr>
      </w:pPr>
    </w:p>
    <w:p w14:paraId="6680AC6E">
      <w:pPr>
        <w:pStyle w:val="2"/>
        <w:spacing w:before="240" w:after="120"/>
        <w:rPr>
          <w:rFonts w:ascii="Arial" w:hAnsi="Arial" w:eastAsia="Arial" w:cs="Arial"/>
          <w:b/>
          <w:bCs/>
          <w:color w:val="1F4E79"/>
          <w:sz w:val="32"/>
          <w:szCs w:val="32"/>
        </w:rPr>
      </w:pPr>
    </w:p>
    <w:p w14:paraId="5660AD10">
      <w:pPr>
        <w:pStyle w:val="2"/>
        <w:spacing w:before="240" w:after="120"/>
      </w:pPr>
      <w:r>
        <w:rPr>
          <w:rFonts w:ascii="Arial" w:hAnsi="Arial" w:eastAsia="Arial" w:cs="Arial"/>
          <w:b/>
          <w:bCs/>
          <w:color w:val="1F4E79"/>
          <w:sz w:val="32"/>
          <w:szCs w:val="32"/>
        </w:rPr>
        <w:t>V. Limitations and Future Work</w:t>
      </w:r>
    </w:p>
    <w:p w14:paraId="2A7EC103">
      <w:pPr>
        <w:spacing w:before="80" w:after="80" w:line="276" w:lineRule="auto"/>
        <w:jc w:val="both"/>
      </w:pPr>
      <w:r>
        <w:rPr>
          <w:rFonts w:ascii="Times New Roman" w:hAnsi="Times New Roman" w:eastAsia="Times New Roman" w:cs="Times New Roman"/>
          <w:b w:val="0"/>
          <w:bCs w:val="0"/>
          <w:i w:val="0"/>
          <w:iCs w:val="0"/>
          <w:color w:val="000000"/>
          <w:sz w:val="22"/>
          <w:szCs w:val="22"/>
        </w:rPr>
        <w:t>DT-Guard exhibits three primary limitations. First, the Anomaly Detection Threshold is dataset-specific; the threshold derived from CICIDS2017 requires recalibration when deployed on networks with different traffic distributions. This is evidenced by the drop from 94.8% normal traffic detection on ISCX to 9.5% on UNSW-NB15 without adaptation. Future work should explore adaptive thresholding using online learning or domain adaptation techniques.</w:t>
      </w:r>
    </w:p>
    <w:p w14:paraId="36BC3D08">
      <w:pPr>
        <w:spacing w:before="80" w:after="80"/>
      </w:pPr>
    </w:p>
    <w:p w14:paraId="1A86728C">
      <w:pPr>
        <w:spacing w:before="80" w:after="80" w:line="276" w:lineRule="auto"/>
        <w:jc w:val="both"/>
      </w:pPr>
      <w:r>
        <w:rPr>
          <w:rFonts w:ascii="Times New Roman" w:hAnsi="Times New Roman" w:eastAsia="Times New Roman" w:cs="Times New Roman"/>
          <w:b w:val="0"/>
          <w:bCs w:val="0"/>
          <w:i w:val="0"/>
          <w:iCs w:val="0"/>
          <w:color w:val="000000"/>
          <w:sz w:val="22"/>
          <w:szCs w:val="22"/>
        </w:rPr>
        <w:t>Second, IPSec classification precision remains at 0.83, below the performance of other classes. The behavioral similarity between VPN-tunneled protocols and IPSec flows creates inherent classification ambiguity that additional features (e.g., packet timing entropy, handshake patterns) may resolve.</w:t>
      </w:r>
    </w:p>
    <w:p w14:paraId="5F7A268C">
      <w:pPr>
        <w:spacing w:before="80" w:after="80"/>
      </w:pPr>
    </w:p>
    <w:p w14:paraId="46F2F0A7">
      <w:pPr>
        <w:spacing w:before="80" w:after="80" w:line="276" w:lineRule="auto"/>
        <w:jc w:val="both"/>
      </w:pPr>
      <w:r>
        <w:rPr>
          <w:rFonts w:ascii="Times New Roman" w:hAnsi="Times New Roman" w:eastAsia="Times New Roman" w:cs="Times New Roman"/>
          <w:b w:val="0"/>
          <w:bCs w:val="0"/>
          <w:i w:val="0"/>
          <w:iCs w:val="0"/>
          <w:color w:val="000000"/>
          <w:sz w:val="22"/>
          <w:szCs w:val="22"/>
        </w:rPr>
        <w:t>Third, the framework was evaluated on publicly available benchmark datasets rather than operational network data. Deployment in real-world environments would require additional validation and potentially domain-specific feature engineering.</w:t>
      </w:r>
    </w:p>
    <w:p w14:paraId="5536C85B">
      <w:pPr>
        <w:pStyle w:val="2"/>
        <w:spacing w:before="240" w:after="120"/>
      </w:pPr>
      <w:r>
        <w:rPr>
          <w:rFonts w:ascii="Arial" w:hAnsi="Arial" w:eastAsia="Arial" w:cs="Arial"/>
          <w:b/>
          <w:bCs/>
          <w:color w:val="1F4E79"/>
          <w:sz w:val="32"/>
          <w:szCs w:val="32"/>
        </w:rPr>
        <w:t>VI. Conclusion</w:t>
      </w:r>
    </w:p>
    <w:p w14:paraId="55B48E85">
      <w:pPr>
        <w:spacing w:before="80" w:after="80" w:line="276" w:lineRule="auto"/>
        <w:jc w:val="both"/>
      </w:pPr>
      <w:r>
        <w:rPr>
          <w:rFonts w:ascii="Times New Roman" w:hAnsi="Times New Roman" w:eastAsia="Times New Roman" w:cs="Times New Roman"/>
          <w:b w:val="0"/>
          <w:bCs w:val="0"/>
          <w:i w:val="0"/>
          <w:iCs w:val="0"/>
          <w:color w:val="000000"/>
          <w:sz w:val="22"/>
          <w:szCs w:val="22"/>
        </w:rPr>
        <w:t>This paper presented DT-Guard, a two-stage hybrid framework that unifies anomaly detection and encrypted traffic classification into a single interpretable pipeline. By training an Autoencoder on normal traffic behavior and deploying a KNN-supported gray-zone resolution mechanism, Stage 1 filters 4.5% of anomalous flows before they reach the classification engine. Stage 2 leverages Random Forest and XGBoost as feature enhancers feeding a central Decision Tree, achieving 96.07% cross-validation accuracy across five traffic classes.</w:t>
      </w:r>
    </w:p>
    <w:p w14:paraId="236D3822">
      <w:pPr>
        <w:spacing w:before="80" w:after="80"/>
      </w:pPr>
    </w:p>
    <w:p w14:paraId="26C603AD">
      <w:pPr>
        <w:spacing w:before="80" w:after="80" w:line="276" w:lineRule="auto"/>
        <w:jc w:val="both"/>
        <w:rPr>
          <w:rFonts w:ascii="Times New Roman" w:hAnsi="Times New Roman" w:eastAsia="Times New Roman" w:cs="Times New Roman"/>
          <w:b w:val="0"/>
          <w:bCs w:val="0"/>
          <w:i w:val="0"/>
          <w:iCs w:val="0"/>
          <w:color w:val="000000"/>
          <w:sz w:val="22"/>
          <w:szCs w:val="22"/>
        </w:rPr>
      </w:pPr>
      <w:r>
        <w:rPr>
          <w:rFonts w:ascii="Times New Roman" w:hAnsi="Times New Roman" w:eastAsia="Times New Roman" w:cs="Times New Roman"/>
          <w:b w:val="0"/>
          <w:bCs w:val="0"/>
          <w:i w:val="0"/>
          <w:iCs w:val="0"/>
          <w:color w:val="000000"/>
          <w:sz w:val="22"/>
          <w:szCs w:val="22"/>
        </w:rPr>
        <w:t>The primary contribution of DT-Guard over prior work is the integration of anomaly detection with traffic classification, addressing the gap identified in the Antari et al. (2024) baseline. Generalization testing on UNSW-NB15 reveals that domain adaptation of the anomaly threshold is critical for cross-network deployment, establishing a clear direction for future research in adaptive network traffic analysis systems.</w:t>
      </w:r>
    </w:p>
    <w:p w14:paraId="1B343E5B">
      <w:pPr>
        <w:spacing w:before="80" w:after="80" w:line="276" w:lineRule="auto"/>
        <w:jc w:val="both"/>
        <w:rPr>
          <w:rFonts w:hint="default" w:ascii="Times New Roman" w:hAnsi="Times New Roman" w:eastAsia="Times New Roman" w:cs="Times New Roman"/>
          <w:b w:val="0"/>
          <w:bCs w:val="0"/>
          <w:i w:val="0"/>
          <w:iCs w:val="0"/>
          <w:color w:val="000000"/>
          <w:sz w:val="22"/>
          <w:szCs w:val="22"/>
          <w:lang w:bidi="ar-SA"/>
        </w:rPr>
      </w:pPr>
      <w:r>
        <w:rPr>
          <w:rFonts w:hint="default" w:cs="Times New Roman"/>
          <w:b w:val="0"/>
          <w:bCs w:val="0"/>
          <w:i w:val="0"/>
          <w:iCs w:val="0"/>
          <w:color w:val="000000"/>
          <w:sz w:val="22"/>
          <w:szCs w:val="22"/>
          <w:lang w:bidi="ar-SA"/>
        </w:rPr>
        <w:t>Link to github : https://github.com/r-awa-n/DT-Guard</w:t>
      </w:r>
      <w:bookmarkStart w:id="0" w:name="_GoBack"/>
      <w:bookmarkEnd w:id="0"/>
    </w:p>
    <w:p w14:paraId="53E24846">
      <w:pPr>
        <w:pStyle w:val="2"/>
        <w:spacing w:before="240" w:after="120"/>
      </w:pPr>
      <w:r>
        <w:rPr>
          <w:rFonts w:ascii="Arial" w:hAnsi="Arial" w:eastAsia="Arial" w:cs="Arial"/>
          <w:b/>
          <w:bCs/>
          <w:color w:val="1F4E79"/>
          <w:sz w:val="32"/>
          <w:szCs w:val="32"/>
        </w:rPr>
        <w:t>References</w:t>
      </w:r>
    </w:p>
    <w:p w14:paraId="5042753B">
      <w:pPr>
        <w:spacing w:before="120" w:after="120" w:line="276" w:lineRule="auto"/>
        <w:ind w:left="720" w:hanging="720"/>
      </w:pPr>
      <w:r>
        <w:rPr>
          <w:rFonts w:ascii="Times New Roman" w:hAnsi="Times New Roman" w:eastAsia="Times New Roman" w:cs="Times New Roman"/>
          <w:sz w:val="20"/>
          <w:szCs w:val="20"/>
        </w:rPr>
        <w:t>Antari, A., Ashqar, H. I., Abo-Aisheh, Y., &amp; Shamasneh, J. (2024). Network traffic classification using machine learning, transformer, and large language models. JAWWAL Security Department, Nablus, Palestine.</w:t>
      </w:r>
    </w:p>
    <w:p w14:paraId="77826D22">
      <w:pPr>
        <w:spacing w:before="120" w:after="120" w:line="276" w:lineRule="auto"/>
        <w:ind w:left="720" w:hanging="720"/>
      </w:pPr>
      <w:r>
        <w:rPr>
          <w:rFonts w:ascii="Times New Roman" w:hAnsi="Times New Roman" w:eastAsia="Times New Roman" w:cs="Times New Roman"/>
          <w:sz w:val="20"/>
          <w:szCs w:val="20"/>
        </w:rPr>
        <w:t xml:space="preserve">Lotfollahi, M., Jafari Siavoshani, M., Shirali Hossein Zade, R., &amp; Saberian, M. (2020). Deep packet: A novel approach for encrypted traffic classification using deep learning. </w:t>
      </w:r>
      <w:r>
        <w:rPr>
          <w:rFonts w:ascii="Times New Roman" w:hAnsi="Times New Roman" w:eastAsia="Times New Roman" w:cs="Times New Roman"/>
          <w:i/>
          <w:iCs/>
          <w:sz w:val="20"/>
          <w:szCs w:val="20"/>
        </w:rPr>
        <w:t>Soft Computing, 24</w:t>
      </w:r>
      <w:r>
        <w:rPr>
          <w:rFonts w:ascii="Times New Roman" w:hAnsi="Times New Roman" w:eastAsia="Times New Roman" w:cs="Times New Roman"/>
          <w:sz w:val="20"/>
          <w:szCs w:val="20"/>
        </w:rPr>
        <w:t>(3), 1999–2012. https://doi.org/10.1007/s00500-019-04030-2</w:t>
      </w:r>
    </w:p>
    <w:p w14:paraId="4ED65B95">
      <w:pPr>
        <w:spacing w:before="120" w:after="120" w:line="276" w:lineRule="auto"/>
        <w:ind w:left="720" w:hanging="720"/>
      </w:pPr>
      <w:r>
        <w:rPr>
          <w:rFonts w:ascii="Times New Roman" w:hAnsi="Times New Roman" w:eastAsia="Times New Roman" w:cs="Times New Roman"/>
          <w:sz w:val="20"/>
          <w:szCs w:val="20"/>
        </w:rPr>
        <w:t xml:space="preserve">Nguyen, T. T. T., &amp; Armitage, G. (2008). A survey of techniques for internet traffic classification using machine learning. </w:t>
      </w:r>
      <w:r>
        <w:rPr>
          <w:rFonts w:ascii="Times New Roman" w:hAnsi="Times New Roman" w:eastAsia="Times New Roman" w:cs="Times New Roman"/>
          <w:i/>
          <w:iCs/>
          <w:sz w:val="20"/>
          <w:szCs w:val="20"/>
        </w:rPr>
        <w:t>IEEE Communications Surveys &amp; Tutorials, 10</w:t>
      </w:r>
      <w:r>
        <w:rPr>
          <w:rFonts w:ascii="Times New Roman" w:hAnsi="Times New Roman" w:eastAsia="Times New Roman" w:cs="Times New Roman"/>
          <w:sz w:val="20"/>
          <w:szCs w:val="20"/>
        </w:rPr>
        <w:t>(4), 56–76. https://doi.org/10.1109/SURV.2008.080406</w:t>
      </w:r>
    </w:p>
    <w:p w14:paraId="76443AAF">
      <w:pPr>
        <w:spacing w:before="120" w:after="120" w:line="276" w:lineRule="auto"/>
        <w:ind w:left="720" w:hanging="720"/>
      </w:pPr>
      <w:r>
        <w:rPr>
          <w:rFonts w:ascii="Times New Roman" w:hAnsi="Times New Roman" w:eastAsia="Times New Roman" w:cs="Times New Roman"/>
          <w:sz w:val="20"/>
          <w:szCs w:val="20"/>
        </w:rPr>
        <w:t xml:space="preserve">Rezaei, S., &amp; Liu, X. (2019). Deep learning for encrypted traffic classification: An overview. </w:t>
      </w:r>
      <w:r>
        <w:rPr>
          <w:rFonts w:ascii="Times New Roman" w:hAnsi="Times New Roman" w:eastAsia="Times New Roman" w:cs="Times New Roman"/>
          <w:i/>
          <w:iCs/>
          <w:sz w:val="20"/>
          <w:szCs w:val="20"/>
        </w:rPr>
        <w:t>IEEE Communications Magazine, 57</w:t>
      </w:r>
      <w:r>
        <w:rPr>
          <w:rFonts w:ascii="Times New Roman" w:hAnsi="Times New Roman" w:eastAsia="Times New Roman" w:cs="Times New Roman"/>
          <w:sz w:val="20"/>
          <w:szCs w:val="20"/>
        </w:rPr>
        <w:t>(5), 76–81. https://doi.org/10.1109/MCOM.2019.1800819</w:t>
      </w:r>
    </w:p>
    <w:p w14:paraId="0780AD92">
      <w:pPr>
        <w:spacing w:before="120" w:after="120" w:line="276" w:lineRule="auto"/>
        <w:ind w:left="720" w:hanging="720"/>
      </w:pPr>
      <w:r>
        <w:rPr>
          <w:rFonts w:ascii="Times New Roman" w:hAnsi="Times New Roman" w:eastAsia="Times New Roman" w:cs="Times New Roman"/>
          <w:sz w:val="20"/>
          <w:szCs w:val="20"/>
        </w:rPr>
        <w:t xml:space="preserve">Sarhan, M., Layeghy, S., Moustafa, N., &amp; Portmann, M. (2020). </w:t>
      </w:r>
      <w:r>
        <w:rPr>
          <w:rFonts w:ascii="Times New Roman" w:hAnsi="Times New Roman" w:eastAsia="Times New Roman" w:cs="Times New Roman"/>
          <w:i/>
          <w:iCs/>
          <w:sz w:val="20"/>
          <w:szCs w:val="20"/>
        </w:rPr>
        <w:t>NetFlow datasets for machine learning-based network intrusion detection systems</w:t>
      </w:r>
      <w:r>
        <w:rPr>
          <w:rFonts w:ascii="Times New Roman" w:hAnsi="Times New Roman" w:eastAsia="Times New Roman" w:cs="Times New Roman"/>
          <w:sz w:val="20"/>
          <w:szCs w:val="20"/>
        </w:rPr>
        <w:t>. https://doi.org/10.1007/978-3-030-72802-1_9</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45D3F12"/>
    <w:rsid w:val="6C9856F4"/>
    <w:rsid w:val="6FEF1AD5"/>
    <w:rsid w:val="7A7D6A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40" w:after="120"/>
      <w:outlineLvl w:val="0"/>
    </w:pPr>
    <w:rPr>
      <w:rFonts w:ascii="Arial" w:hAnsi="Arial" w:eastAsia="Arial" w:cs="Arial"/>
      <w:b/>
      <w:bCs/>
      <w:color w:val="1F4E79"/>
      <w:sz w:val="32"/>
      <w:szCs w:val="32"/>
    </w:rPr>
  </w:style>
  <w:style w:type="paragraph" w:styleId="3">
    <w:name w:val="heading 2"/>
    <w:next w:val="1"/>
    <w:qFormat/>
    <w:uiPriority w:val="0"/>
    <w:pPr>
      <w:spacing w:before="200" w:after="100"/>
      <w:outlineLvl w:val="1"/>
    </w:pPr>
    <w:rPr>
      <w:rFonts w:ascii="Arial" w:hAnsi="Arial" w:eastAsia="Arial" w:cs="Arial"/>
      <w:b/>
      <w:bCs/>
      <w:color w:val="1F4E79"/>
      <w:sz w:val="26"/>
      <w:szCs w:val="26"/>
    </w:rPr>
  </w:style>
  <w:style w:type="paragraph" w:styleId="4">
    <w:name w:val="heading 3"/>
    <w:next w:val="1"/>
    <w:qFormat/>
    <w:uiPriority w:val="0"/>
    <w:pPr>
      <w:spacing w:before="160" w:after="80"/>
      <w:outlineLvl w:val="2"/>
    </w:pPr>
    <w:rPr>
      <w:rFonts w:ascii="Arial" w:hAnsi="Arial" w:eastAsia="Arial" w:cs="Arial"/>
      <w:b/>
      <w:bCs/>
      <w:color w:val="2E75B6"/>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1676</Words>
  <Characters>10889</Characters>
  <TotalTime>1048</TotalTime>
  <ScaleCrop>false</ScaleCrop>
  <LinksUpToDate>false</LinksUpToDate>
  <CharactersWithSpaces>12371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2026-05-24T13:47:00Z</dcterms:created>
  <dc:creator>Un-named</dc:creator>
  <cp:lastModifiedBy>msire</cp:lastModifiedBy>
  <dcterms:modified xsi:type="dcterms:W3CDTF">2026-05-25T09:18:05Z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eyJoZGlkIjoiZjZhM2JlMWE1M2IyY2EyMDE1OTUwMjBiYjE3YTRiMTUifQ==</vt:lpwstr>
  </property>
  <property fmtid="{D5CDD505-2E9C-101B-9397-08002B2CF9AE}" pid="3" name="KSOProductBuildVer">
    <vt:lpwstr>1033-12.1.0.26372</vt:lpwstr>
  </property>
  <property fmtid="{D5CDD505-2E9C-101B-9397-08002B2CF9AE}" pid="4" name="ICV">
    <vt:lpwstr>FD4ED28B641F49DFAAA82FF275968021_12</vt:lpwstr>
  </property>
</Properties>
</file>