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C4F9B3" w14:textId="71A7CD02" w:rsidR="00124010" w:rsidRPr="00124010" w:rsidRDefault="00124010" w:rsidP="00124010">
      <w:pPr>
        <w:spacing w:line="240" w:lineRule="auto"/>
      </w:pPr>
      <w:r w:rsidRPr="00124010">
        <w:t>Auth</w:t>
      </w:r>
      <w:r>
        <w:t>o</w:t>
      </w:r>
      <w:r w:rsidRPr="00124010">
        <w:t>r: Ethan Peters</w:t>
      </w:r>
    </w:p>
    <w:p w14:paraId="0EADA991" w14:textId="41754A9C" w:rsidR="00124010" w:rsidRPr="00124010" w:rsidRDefault="00124010" w:rsidP="00124010">
      <w:pPr>
        <w:spacing w:line="240" w:lineRule="auto"/>
      </w:pPr>
      <w:r w:rsidRPr="00124010">
        <w:t>Mentor: Yash Verma</w:t>
      </w:r>
    </w:p>
    <w:p w14:paraId="68B3720F" w14:textId="0D3B92A4" w:rsidR="00124010" w:rsidRPr="00124010" w:rsidRDefault="00124010" w:rsidP="00124010">
      <w:pPr>
        <w:spacing w:line="240" w:lineRule="auto"/>
      </w:pPr>
      <w:r w:rsidRPr="00124010">
        <w:t>Under the Guidance of:</w:t>
      </w:r>
    </w:p>
    <w:p w14:paraId="6DC5639E" w14:textId="544F9CB4" w:rsidR="00124010" w:rsidRPr="00124010" w:rsidRDefault="00124010" w:rsidP="00124010">
      <w:pPr>
        <w:spacing w:line="240" w:lineRule="auto"/>
      </w:pPr>
      <w:r w:rsidRPr="00124010">
        <w:t>Prof. Swati Neogi</w:t>
      </w:r>
    </w:p>
    <w:p w14:paraId="488B9C5C" w14:textId="77777777" w:rsidR="00124010" w:rsidRDefault="00124010" w:rsidP="00124010">
      <w:pPr>
        <w:spacing w:line="240" w:lineRule="auto"/>
      </w:pPr>
      <w:r w:rsidRPr="00124010">
        <w:t>Prof. Urmi Duttagupta</w:t>
      </w:r>
    </w:p>
    <w:p w14:paraId="7A4F0E3D" w14:textId="77777777" w:rsidR="00124010" w:rsidRDefault="00124010" w:rsidP="00124010">
      <w:pPr>
        <w:spacing w:line="240" w:lineRule="auto"/>
      </w:pPr>
    </w:p>
    <w:p w14:paraId="21E88F91" w14:textId="47EAC14D" w:rsidR="00124010" w:rsidRDefault="00124010" w:rsidP="00124010">
      <w:pPr>
        <w:spacing w:line="240" w:lineRule="auto"/>
      </w:pPr>
      <w:r>
        <w:t xml:space="preserve">Title: </w:t>
      </w:r>
    </w:p>
    <w:p w14:paraId="5461077B" w14:textId="54D994E9" w:rsidR="00FA6DA8" w:rsidRDefault="00FA6DA8" w:rsidP="00124010">
      <w:pPr>
        <w:spacing w:line="240" w:lineRule="auto"/>
      </w:pPr>
      <w:r>
        <w:t>Numerical Methods for Assessing the Thermal Conductivity Performance of Aerogel Using the Boltzmann Transport Equation</w:t>
      </w:r>
    </w:p>
    <w:p w14:paraId="16671795" w14:textId="77777777" w:rsidR="00124010" w:rsidRDefault="00124010" w:rsidP="00124010">
      <w:pPr>
        <w:spacing w:line="240" w:lineRule="auto"/>
      </w:pPr>
    </w:p>
    <w:p w14:paraId="1310F1AC" w14:textId="2E04B9AE" w:rsidR="00124010" w:rsidRDefault="00124010" w:rsidP="00124010">
      <w:pPr>
        <w:spacing w:line="240" w:lineRule="auto"/>
      </w:pPr>
      <w:r>
        <w:t xml:space="preserve">Abstract: Space is a domain of temperature and radiation extremes, and to this end multi-layer </w:t>
      </w:r>
      <w:r w:rsidR="005D5070">
        <w:t>insulation applications (MLI)</w:t>
      </w:r>
      <w:r>
        <w:t xml:space="preserve"> are</w:t>
      </w:r>
      <w:r w:rsidR="00FA6DA8">
        <w:t xml:space="preserve"> crucial for</w:t>
      </w:r>
      <w:r>
        <w:t xml:space="preserve"> protecting vital components </w:t>
      </w:r>
      <w:r w:rsidR="00C7498D">
        <w:t>on</w:t>
      </w:r>
      <w:r>
        <w:t xml:space="preserve"> satellites. Aerogel has </w:t>
      </w:r>
      <w:r w:rsidR="00FA6DA8">
        <w:t xml:space="preserve">emerged </w:t>
      </w:r>
      <w:r>
        <w:t>as an ideal material for insulation design d</w:t>
      </w:r>
      <w:r w:rsidR="00FE1C2E">
        <w:t>ue</w:t>
      </w:r>
      <w:r>
        <w:t xml:space="preserve"> to its low thermal conductivity, therefore </w:t>
      </w:r>
      <w:r w:rsidR="00A049A7">
        <w:t xml:space="preserve">the effective </w:t>
      </w:r>
      <w:r>
        <w:t>modeling</w:t>
      </w:r>
      <w:r w:rsidR="00A049A7">
        <w:t xml:space="preserve"> of</w:t>
      </w:r>
      <w:r>
        <w:t xml:space="preserve"> </w:t>
      </w:r>
      <w:r w:rsidR="00A049A7">
        <w:t xml:space="preserve">aerogel conduction has been a key area of research. </w:t>
      </w:r>
      <w:r w:rsidR="00FE1C2E">
        <w:t>Aerogel is a nonporous</w:t>
      </w:r>
      <w:r w:rsidR="00A049A7">
        <w:t xml:space="preserve"> structure</w:t>
      </w:r>
      <w:r w:rsidR="00FE1C2E">
        <w:t xml:space="preserve"> that does not adhere to </w:t>
      </w:r>
      <w:r w:rsidR="00A049A7">
        <w:t xml:space="preserve">Fourier’s Law </w:t>
      </w:r>
      <w:r w:rsidR="00FE1C2E">
        <w:t>of heat transfer</w:t>
      </w:r>
      <w:r w:rsidR="00A049A7">
        <w:t>. Instead, the Boltzmann</w:t>
      </w:r>
      <w:r w:rsidR="00FE1C2E">
        <w:t xml:space="preserve"> transport equation (BTE) </w:t>
      </w:r>
      <w:r w:rsidR="00FA6DA8">
        <w:t>is essential t</w:t>
      </w:r>
      <w:r w:rsidR="005D5070">
        <w:t xml:space="preserve">o effectively model heat transfer. </w:t>
      </w:r>
      <w:r w:rsidR="00C7498D">
        <w:t>This project focused on developing a numerical method of solving the BTE</w:t>
      </w:r>
      <w:r w:rsidR="00FA1257">
        <w:t xml:space="preserve"> to model the effects of aerogel in different MLI configurations. </w:t>
      </w:r>
      <w:r w:rsidR="00FA6DA8">
        <w:t>The Gaussian</w:t>
      </w:r>
      <w:r w:rsidR="00FA1257">
        <w:t xml:space="preserve"> quadrature method was implemented to solve the BTE</w:t>
      </w:r>
      <w:r w:rsidR="00FA6DA8">
        <w:t xml:space="preserve"> in different directions to account for the change in phonon energy density (</w:t>
      </w:r>
      <w:proofErr w:type="spellStart"/>
      <w:r w:rsidR="00FA6DA8">
        <w:t>Hamian</w:t>
      </w:r>
      <w:proofErr w:type="spellEnd"/>
      <w:r w:rsidR="00FA6DA8">
        <w:t xml:space="preserve">, Yamada, </w:t>
      </w:r>
      <w:proofErr w:type="spellStart"/>
      <w:r w:rsidR="00FA6DA8">
        <w:t>Faghri</w:t>
      </w:r>
      <w:proofErr w:type="spellEnd"/>
      <w:r w:rsidR="00FA6DA8">
        <w:t xml:space="preserve">, &amp; Park, 2015). </w:t>
      </w:r>
    </w:p>
    <w:p w14:paraId="11093D1C" w14:textId="77777777" w:rsidR="00FA6DA8" w:rsidRDefault="00FA6DA8" w:rsidP="00124010">
      <w:pPr>
        <w:spacing w:line="240" w:lineRule="auto"/>
      </w:pPr>
    </w:p>
    <w:p w14:paraId="27294CA2" w14:textId="73B8FCCA" w:rsidR="00FA6DA8" w:rsidRPr="00FA6DA8" w:rsidRDefault="00FA6DA8" w:rsidP="00FA6DA8">
      <w:pPr>
        <w:spacing w:line="240" w:lineRule="auto"/>
        <w:jc w:val="center"/>
      </w:pPr>
      <w:r w:rsidRPr="00FA6DA8">
        <w:t xml:space="preserve">References </w:t>
      </w:r>
    </w:p>
    <w:p w14:paraId="0EF22E2A" w14:textId="77777777" w:rsidR="00FA6DA8" w:rsidRDefault="00FA6DA8" w:rsidP="00FA6DA8">
      <w:pPr>
        <w:pStyle w:val="NormalWeb"/>
        <w:rPr>
          <w:rStyle w:val="Hyperlink"/>
          <w:rFonts w:eastAsiaTheme="majorEastAsia"/>
        </w:rPr>
      </w:pPr>
      <w:proofErr w:type="spellStart"/>
      <w:r>
        <w:t>Hamian</w:t>
      </w:r>
      <w:proofErr w:type="spellEnd"/>
      <w:r>
        <w:t xml:space="preserve">, S., Yamada, T., </w:t>
      </w:r>
      <w:proofErr w:type="spellStart"/>
      <w:r>
        <w:t>Faghri</w:t>
      </w:r>
      <w:proofErr w:type="spellEnd"/>
      <w:r>
        <w:t xml:space="preserve">, M., &amp; Park, K. (2015). Finite element analysis of transient ballistic–diffusive phonon heat transport in two-dimensional domains. </w:t>
      </w:r>
      <w:r>
        <w:rPr>
          <w:rStyle w:val="Emphasis"/>
          <w:rFonts w:eastAsiaTheme="majorEastAsia"/>
        </w:rPr>
        <w:t>International Journal of Heat and Mass Transfer, 80,</w:t>
      </w:r>
      <w:r>
        <w:t xml:space="preserve"> 781-788. </w:t>
      </w:r>
      <w:hyperlink r:id="rId4" w:tgtFrame="_new" w:history="1">
        <w:r>
          <w:rPr>
            <w:rStyle w:val="Hyperlink"/>
            <w:rFonts w:eastAsiaTheme="majorEastAsia"/>
          </w:rPr>
          <w:t>https://doi.org/10.1016/j.ijheatmasstransfer.2014.09.073</w:t>
        </w:r>
      </w:hyperlink>
    </w:p>
    <w:p w14:paraId="0204A378" w14:textId="77777777" w:rsidR="00371A74" w:rsidRDefault="00371A74" w:rsidP="00371A74">
      <w:pPr>
        <w:pStyle w:val="NormalWeb"/>
        <w:rPr>
          <w:rStyle w:val="Hyperlink"/>
          <w:rFonts w:eastAsiaTheme="majorEastAsia"/>
          <w:b/>
          <w:bCs/>
          <w:color w:val="auto"/>
          <w:u w:val="none"/>
        </w:rPr>
      </w:pPr>
    </w:p>
    <w:p w14:paraId="06FFF07D" w14:textId="77777777" w:rsidR="00371A74" w:rsidRPr="00563C00" w:rsidRDefault="00371A74" w:rsidP="00371A74">
      <w:pPr>
        <w:pStyle w:val="NormalWeb"/>
        <w:rPr>
          <w:rStyle w:val="Hyperlink"/>
          <w:rFonts w:eastAsiaTheme="majorEastAsia"/>
          <w:b/>
          <w:bCs/>
          <w:color w:val="auto"/>
          <w:u w:val="none"/>
        </w:rPr>
      </w:pPr>
      <w:r w:rsidRPr="00563C00">
        <w:rPr>
          <w:rStyle w:val="Hyperlink"/>
          <w:rFonts w:eastAsiaTheme="majorEastAsia"/>
          <w:b/>
          <w:bCs/>
          <w:color w:val="auto"/>
          <w:u w:val="none"/>
        </w:rPr>
        <w:t>[Submission Response]</w:t>
      </w:r>
    </w:p>
    <w:p w14:paraId="23B9A03D" w14:textId="77777777" w:rsidR="00371A74" w:rsidRPr="00563C00" w:rsidRDefault="00371A74" w:rsidP="00371A74">
      <w:pPr>
        <w:pStyle w:val="NormalWeb"/>
        <w:rPr>
          <w:sz w:val="28"/>
          <w:szCs w:val="28"/>
        </w:rPr>
      </w:pPr>
      <w:r>
        <w:t>IMPORTANT INFORMATION - PLEASE READ AND SAVE: An email confirmation will be sent to you shortly. This email contains a link to edit your response, should you have any changes to make before the submission deadline (June 11th).</w:t>
      </w:r>
      <w:r>
        <w:br/>
      </w:r>
      <w:r>
        <w:br/>
        <w:t xml:space="preserve">Decisions about which papers have been accepted to present at </w:t>
      </w:r>
      <w:proofErr w:type="spellStart"/>
      <w:r>
        <w:t>Mathfest</w:t>
      </w:r>
      <w:proofErr w:type="spellEnd"/>
      <w:r>
        <w:t xml:space="preserve"> will be made during the last week of June. If you do not get a response from us by the end of the month (either accept or reject), please contact Eric Ruggieri, </w:t>
      </w:r>
      <w:hyperlink r:id="rId5" w:history="1">
        <w:r>
          <w:rPr>
            <w:rStyle w:val="Hyperlink"/>
            <w:rFonts w:eastAsiaTheme="majorEastAsia"/>
          </w:rPr>
          <w:t>eruggier@holycross.edu</w:t>
        </w:r>
      </w:hyperlink>
      <w:r>
        <w:br/>
      </w:r>
      <w:r>
        <w:br/>
        <w:t xml:space="preserve">Please note that all student presenters are required to be registered for MAA </w:t>
      </w:r>
      <w:proofErr w:type="spellStart"/>
      <w:r>
        <w:t>MathFest</w:t>
      </w:r>
      <w:proofErr w:type="spellEnd"/>
      <w:r>
        <w:t xml:space="preserve">. However, you may want to wait to register for the conference until you know whether or not your abstract </w:t>
      </w:r>
      <w:r>
        <w:lastRenderedPageBreak/>
        <w:t xml:space="preserve">has been accepted. To register for </w:t>
      </w:r>
      <w:proofErr w:type="spellStart"/>
      <w:r>
        <w:t>Mathfest</w:t>
      </w:r>
      <w:proofErr w:type="spellEnd"/>
      <w:r>
        <w:t xml:space="preserve">, please go to: </w:t>
      </w:r>
      <w:hyperlink r:id="rId6" w:history="1">
        <w:r>
          <w:rPr>
            <w:rStyle w:val="Hyperlink"/>
            <w:rFonts w:eastAsiaTheme="majorEastAsia"/>
          </w:rPr>
          <w:t>https://web.cvent.com/event/bf722b74-52bf-4696-8e1d-dcb3523cd70e/summary</w:t>
        </w:r>
      </w:hyperlink>
    </w:p>
    <w:p w14:paraId="65634901" w14:textId="77777777" w:rsidR="00FA6DA8" w:rsidRDefault="00FA6DA8" w:rsidP="00FA6DA8">
      <w:pPr>
        <w:spacing w:line="240" w:lineRule="auto"/>
      </w:pPr>
    </w:p>
    <w:p w14:paraId="18444E96" w14:textId="77777777" w:rsidR="00FA6DA8" w:rsidRDefault="00FA6DA8" w:rsidP="00124010">
      <w:pPr>
        <w:spacing w:line="240" w:lineRule="auto"/>
      </w:pPr>
    </w:p>
    <w:p w14:paraId="5D5A2D34" w14:textId="77777777" w:rsidR="00FA6DA8" w:rsidRPr="00124010" w:rsidRDefault="00FA6DA8" w:rsidP="00124010">
      <w:pPr>
        <w:spacing w:line="240" w:lineRule="auto"/>
      </w:pPr>
    </w:p>
    <w:p w14:paraId="066C228D" w14:textId="77777777" w:rsidR="00124010" w:rsidRDefault="00124010"/>
    <w:sectPr w:rsidR="001240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C1E36"/>
    <w:rsid w:val="00124010"/>
    <w:rsid w:val="001474C0"/>
    <w:rsid w:val="001E2EFF"/>
    <w:rsid w:val="0022797D"/>
    <w:rsid w:val="0029405B"/>
    <w:rsid w:val="00371A74"/>
    <w:rsid w:val="00544185"/>
    <w:rsid w:val="00563C00"/>
    <w:rsid w:val="005D5070"/>
    <w:rsid w:val="006302A8"/>
    <w:rsid w:val="008C1E36"/>
    <w:rsid w:val="008D77D9"/>
    <w:rsid w:val="00A049A7"/>
    <w:rsid w:val="00AB606D"/>
    <w:rsid w:val="00B7580F"/>
    <w:rsid w:val="00C10DEA"/>
    <w:rsid w:val="00C7498D"/>
    <w:rsid w:val="00D01BB3"/>
    <w:rsid w:val="00F96B4E"/>
    <w:rsid w:val="00FA1257"/>
    <w:rsid w:val="00FA6DA8"/>
    <w:rsid w:val="00FE1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E05E0"/>
  <w15:chartTrackingRefBased/>
  <w15:docId w15:val="{8DEF5C4B-B1DE-4DCC-B868-441F489EF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1E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1E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1E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1E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1E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1E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1E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1E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1E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1E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1E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1E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1E3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1E3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1E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1E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1E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1E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1E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1E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1E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1E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1E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1E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1E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1E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1E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1E3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1E3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A6D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FA6DA8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FA6DA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5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23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12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4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63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95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01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oogle.com/url?q=https://web.cvent.com/event/bf722b74-52bf-4696-8e1d-dcb3523cd70e/summary&amp;sa=D&amp;source=editors&amp;ust=1713205537749506&amp;usg=AOvVaw0kaJW-DzH2WoqraJ_7l0NL" TargetMode="External"/><Relationship Id="rId5" Type="http://schemas.openxmlformats.org/officeDocument/2006/relationships/hyperlink" Target="mailto:eruggier@holycross.edu" TargetMode="External"/><Relationship Id="rId4" Type="http://schemas.openxmlformats.org/officeDocument/2006/relationships/hyperlink" Target="https://doi.org/10.1016/j.ijheatmasstransfer.2014.09.07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5837</TotalTime>
  <Pages>2</Pages>
  <Words>381</Words>
  <Characters>2175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Peters</dc:creator>
  <cp:keywords/>
  <dc:description/>
  <cp:lastModifiedBy>Ethan Peters</cp:lastModifiedBy>
  <cp:revision>7</cp:revision>
  <dcterms:created xsi:type="dcterms:W3CDTF">2024-04-11T16:15:00Z</dcterms:created>
  <dcterms:modified xsi:type="dcterms:W3CDTF">2024-04-15T17:37:00Z</dcterms:modified>
</cp:coreProperties>
</file>