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33" w:rsidRPr="001421AD" w:rsidRDefault="00195B33" w:rsidP="00195B33">
      <w:r w:rsidRPr="001421AD">
        <w:t xml:space="preserve">Non-positive definite </w:t>
      </w:r>
      <w:r w:rsidR="00AC25DC">
        <w:t>of</w:t>
      </w:r>
      <w:r w:rsidRPr="001421AD">
        <w:t xml:space="preserve"> </w:t>
      </w:r>
      <w:r w:rsidR="00E7371C" w:rsidRPr="00E7371C"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8pt;height:12.8pt" o:ole="">
            <v:imagedata r:id="rId6" o:title=""/>
          </v:shape>
          <o:OLEObject Type="Embed" ProgID="Equation.DSMT4" ShapeID="_x0000_i1025" DrawAspect="Content" ObjectID="_1431796569" r:id="rId7"/>
        </w:object>
      </w:r>
      <w:r w:rsidR="00E7371C">
        <w:t xml:space="preserve"> matrix</w:t>
      </w:r>
      <w:r w:rsidRPr="001421AD">
        <w:t xml:space="preserve"> for </w:t>
      </w:r>
      <w:bookmarkStart w:id="0" w:name="OLE_LINK1"/>
      <w:bookmarkStart w:id="1" w:name="OLE_LINK2"/>
      <w:r w:rsidRPr="001421AD">
        <w:t>turnover and proportional cost constraints</w:t>
      </w:r>
      <w:bookmarkEnd w:id="0"/>
      <w:bookmarkEnd w:id="1"/>
      <w:r w:rsidRPr="001421AD">
        <w:t>:</w:t>
      </w:r>
    </w:p>
    <w:p w:rsidR="00195B33" w:rsidRPr="001421AD" w:rsidRDefault="00195B33" w:rsidP="00195B33">
      <w:r w:rsidRPr="001421AD">
        <w:t xml:space="preserve">Causes: </w:t>
      </w:r>
    </w:p>
    <w:p w:rsidR="002126F3" w:rsidRDefault="002126F3" w:rsidP="00195B33">
      <w:r w:rsidRPr="001421AD">
        <w:t xml:space="preserve">In the case of turnover and proportional cost </w:t>
      </w:r>
      <w:r w:rsidR="00F314B9" w:rsidRPr="001421AD">
        <w:t>constraints,</w:t>
      </w:r>
      <w:r w:rsidRPr="001421AD">
        <w:t xml:space="preserve"> t</w:t>
      </w:r>
      <w:r w:rsidR="00195B33" w:rsidRPr="001421AD">
        <w:t xml:space="preserve">he variables </w:t>
      </w:r>
      <w:r w:rsidR="00195B33" w:rsidRPr="001421AD">
        <w:rPr>
          <w:position w:val="-6"/>
        </w:rPr>
        <w:object w:dxaOrig="200" w:dyaOrig="279">
          <v:shape id="_x0000_i1026" type="#_x0000_t75" style="width:10.15pt;height:14.15pt" o:ole="">
            <v:imagedata r:id="rId8" o:title=""/>
          </v:shape>
          <o:OLEObject Type="Embed" ProgID="Equation.DSMT4" ShapeID="_x0000_i1026" DrawAspect="Content" ObjectID="_1431796570" r:id="rId9"/>
        </w:object>
      </w:r>
      <w:r w:rsidR="00195B33" w:rsidRPr="001421AD">
        <w:t xml:space="preserve"> for the object function </w:t>
      </w:r>
      <w:r w:rsidR="00195B33" w:rsidRPr="001421AD">
        <w:rPr>
          <w:position w:val="-24"/>
        </w:rPr>
        <w:object w:dxaOrig="1359" w:dyaOrig="620">
          <v:shape id="_x0000_i1027" type="#_x0000_t75" style="width:68pt;height:30.9pt" o:ole="">
            <v:imagedata r:id="rId10" o:title=""/>
          </v:shape>
          <o:OLEObject Type="Embed" ProgID="Equation.DSMT4" ShapeID="_x0000_i1027" DrawAspect="Content" ObjectID="_1431796571" r:id="rId11"/>
        </w:object>
      </w:r>
      <w:r w:rsidR="00195B33" w:rsidRPr="001421AD">
        <w:t xml:space="preserve"> to maximize is</w:t>
      </w:r>
      <w:r w:rsidR="00F314B9">
        <w:t xml:space="preserve"> the</w:t>
      </w:r>
      <w:r w:rsidR="00195B33" w:rsidRPr="001421AD">
        <w:t xml:space="preserve"> extended weight vector consisted of three components: initial weight, buy weight, sell weight</w:t>
      </w:r>
      <w:r w:rsidRPr="001421AD">
        <w:t xml:space="preserve">, </w:t>
      </w:r>
      <w:r w:rsidR="00F314B9">
        <w:t xml:space="preserve">e.g., </w:t>
      </w:r>
      <w:r w:rsidR="00195B33" w:rsidRPr="001421AD">
        <w:rPr>
          <w:position w:val="-10"/>
        </w:rPr>
        <w:object w:dxaOrig="2520" w:dyaOrig="360">
          <v:shape id="_x0000_i1028" type="#_x0000_t75" style="width:125.9pt;height:18.1pt" o:ole="">
            <v:imagedata r:id="rId12" o:title=""/>
          </v:shape>
          <o:OLEObject Type="Embed" ProgID="Equation.DSMT4" ShapeID="_x0000_i1028" DrawAspect="Content" ObjectID="_1431796572" r:id="rId13"/>
        </w:object>
      </w:r>
      <w:r w:rsidR="00C11E74" w:rsidRPr="001421AD">
        <w:t xml:space="preserve">, and </w:t>
      </w:r>
      <w:r w:rsidR="00C11E74" w:rsidRPr="001421AD">
        <w:rPr>
          <w:position w:val="-4"/>
        </w:rPr>
        <w:object w:dxaOrig="260" w:dyaOrig="260">
          <v:shape id="_x0000_i1029" type="#_x0000_t75" style="width:12.8pt;height:12.8pt" o:ole="">
            <v:imagedata r:id="rId14" o:title=""/>
          </v:shape>
          <o:OLEObject Type="Embed" ProgID="Equation.DSMT4" ShapeID="_x0000_i1029" DrawAspect="Content" ObjectID="_1431796573" r:id="rId15"/>
        </w:object>
      </w:r>
      <w:r w:rsidR="00C11E74" w:rsidRPr="001421AD">
        <w:t xml:space="preserve"> </w:t>
      </w:r>
      <w:r w:rsidRPr="001421AD">
        <w:t xml:space="preserve">is the 2 times the </w:t>
      </w:r>
      <w:r w:rsidR="00C11E74" w:rsidRPr="001421AD">
        <w:t>covariance matrix of extended</w:t>
      </w:r>
      <w:r w:rsidR="00F314B9">
        <w:t xml:space="preserve">/tripled </w:t>
      </w:r>
      <w:r w:rsidR="007150EC" w:rsidRPr="001421AD">
        <w:t xml:space="preserve">return matrix: </w:t>
      </w:r>
      <w:r w:rsidR="00F314B9">
        <w:t>replicate</w:t>
      </w:r>
      <w:r w:rsidR="00FE6DD5">
        <w:t>s</w:t>
      </w:r>
      <w:r w:rsidR="00F314B9">
        <w:t xml:space="preserve"> the return matrix</w:t>
      </w:r>
      <w:r w:rsidR="00FE6DD5">
        <w:t xml:space="preserve"> </w:t>
      </w:r>
      <w:r w:rsidR="00FE6DD5">
        <w:t>two times</w:t>
      </w:r>
      <w:r w:rsidRPr="001421AD">
        <w:t xml:space="preserve"> in the number of columns</w:t>
      </w:r>
      <w:r w:rsidR="00F314B9">
        <w:t xml:space="preserve"> </w:t>
      </w:r>
      <w:r w:rsidR="002406DF" w:rsidRPr="001421AD">
        <w:t xml:space="preserve">that suitable to </w:t>
      </w:r>
      <w:r w:rsidR="002406DF" w:rsidRPr="001421AD">
        <w:rPr>
          <w:position w:val="-6"/>
        </w:rPr>
        <w:object w:dxaOrig="200" w:dyaOrig="279">
          <v:shape id="_x0000_i1030" type="#_x0000_t75" style="width:10.15pt;height:14.15pt" o:ole="">
            <v:imagedata r:id="rId16" o:title=""/>
          </v:shape>
          <o:OLEObject Type="Embed" ProgID="Equation.DSMT4" ShapeID="_x0000_i1030" DrawAspect="Content" ObjectID="_1431796574" r:id="rId17"/>
        </w:object>
      </w:r>
      <w:r w:rsidRPr="001421AD">
        <w:t xml:space="preserve">. Hence </w:t>
      </w:r>
      <w:r w:rsidRPr="001421AD">
        <w:rPr>
          <w:position w:val="-4"/>
        </w:rPr>
        <w:object w:dxaOrig="260" w:dyaOrig="260">
          <v:shape id="_x0000_i1031" type="#_x0000_t75" style="width:12.8pt;height:12.8pt" o:ole="">
            <v:imagedata r:id="rId18" o:title=""/>
          </v:shape>
          <o:OLEObject Type="Embed" ProgID="Equation.DSMT4" ShapeID="_x0000_i1031" DrawAspect="Content" ObjectID="_1431796575" r:id="rId19"/>
        </w:object>
      </w:r>
      <w:r w:rsidRPr="001421AD">
        <w:t xml:space="preserve"> is rank deficient, a.k.a. non-positive definite</w:t>
      </w:r>
      <w:r w:rsidR="00F96EB2" w:rsidRPr="001421AD">
        <w:t>, since</w:t>
      </w:r>
      <w:r w:rsidR="002406DF" w:rsidRPr="001421AD">
        <w:t xml:space="preserve"> it is </w:t>
      </w:r>
      <w:r w:rsidR="000805B6">
        <w:t>a</w:t>
      </w:r>
      <w:r w:rsidR="002406DF" w:rsidRPr="001421AD">
        <w:rPr>
          <w:position w:val="-6"/>
        </w:rPr>
        <w:object w:dxaOrig="480" w:dyaOrig="279">
          <v:shape id="_x0000_i1032" type="#_x0000_t75" style="width:23.85pt;height:14.15pt" o:ole="">
            <v:imagedata r:id="rId20" o:title=""/>
          </v:shape>
          <o:OLEObject Type="Embed" ProgID="Equation.DSMT4" ShapeID="_x0000_i1032" DrawAspect="Content" ObjectID="_1431796576" r:id="rId21"/>
        </w:object>
      </w:r>
      <w:r w:rsidR="002F2413" w:rsidRPr="001421AD">
        <w:t xml:space="preserve">block </w:t>
      </w:r>
      <w:r w:rsidR="002406DF" w:rsidRPr="001421AD">
        <w:t>replication of the covarian</w:t>
      </w:r>
      <w:r w:rsidR="00CB3F83" w:rsidRPr="001421AD">
        <w:t>ce matrix</w:t>
      </w:r>
      <w:r w:rsidR="000678CE" w:rsidRPr="001421AD">
        <w:t xml:space="preserve"> of the return matrix and has id</w:t>
      </w:r>
      <w:r w:rsidR="00332089" w:rsidRPr="001421AD">
        <w:t>entical rows.</w:t>
      </w:r>
      <w:r w:rsidR="00C01261" w:rsidRPr="001421AD">
        <w:t xml:space="preserve"> </w:t>
      </w:r>
      <w:proofErr w:type="gramStart"/>
      <w:r w:rsidR="00CB3F83" w:rsidRPr="001421AD">
        <w:t xml:space="preserve">The non-positive definite property of </w:t>
      </w:r>
      <w:r w:rsidR="00CB3F83" w:rsidRPr="001421AD">
        <w:rPr>
          <w:position w:val="-4"/>
        </w:rPr>
        <w:object w:dxaOrig="260" w:dyaOrig="260">
          <v:shape id="_x0000_i1033" type="#_x0000_t75" style="width:12.8pt;height:12.8pt" o:ole="">
            <v:imagedata r:id="rId22" o:title=""/>
          </v:shape>
          <o:OLEObject Type="Embed" ProgID="Equation.DSMT4" ShapeID="_x0000_i1033" DrawAspect="Content" ObjectID="_1431796577" r:id="rId23"/>
        </w:object>
      </w:r>
      <w:r w:rsidR="000805B6">
        <w:t>renders</w:t>
      </w:r>
      <w:r w:rsidRPr="001421AD">
        <w:t xml:space="preserve"> error</w:t>
      </w:r>
      <w:r w:rsidR="000805B6">
        <w:t>s</w:t>
      </w:r>
      <w:r w:rsidRPr="001421AD">
        <w:t xml:space="preserve"> </w:t>
      </w:r>
      <w:r w:rsidR="000805B6">
        <w:t xml:space="preserve">in </w:t>
      </w:r>
      <w:proofErr w:type="spellStart"/>
      <w:r w:rsidRPr="001421AD">
        <w:t>solve.QP</w:t>
      </w:r>
      <w:proofErr w:type="spellEnd"/>
      <w:r w:rsidRPr="001421AD">
        <w:t>.</w:t>
      </w:r>
      <w:proofErr w:type="gramEnd"/>
      <w:r w:rsidRPr="001421AD">
        <w:t xml:space="preserve"> </w:t>
      </w:r>
    </w:p>
    <w:p w:rsidR="0063422E" w:rsidRPr="001421AD" w:rsidRDefault="00890D53" w:rsidP="00195B33">
      <w:r>
        <w:t>Solution:</w:t>
      </w:r>
    </w:p>
    <w:p w:rsidR="004A33FF" w:rsidRDefault="007150EC" w:rsidP="00195B33">
      <w:r w:rsidRPr="001421AD">
        <w:t xml:space="preserve">In order to use </w:t>
      </w:r>
      <w:proofErr w:type="spellStart"/>
      <w:r w:rsidRPr="001421AD">
        <w:t>solve.QP</w:t>
      </w:r>
      <w:proofErr w:type="spellEnd"/>
      <w:r w:rsidRPr="001421AD">
        <w:t xml:space="preserve">, </w:t>
      </w:r>
      <w:r w:rsidR="009A7FE0" w:rsidRPr="001421AD">
        <w:t>one way is to</w:t>
      </w:r>
      <w:r w:rsidRPr="001421AD">
        <w:t xml:space="preserve"> convert </w:t>
      </w:r>
      <w:r w:rsidR="0063422E" w:rsidRPr="0063422E">
        <w:rPr>
          <w:position w:val="-4"/>
        </w:rPr>
        <w:object w:dxaOrig="260" w:dyaOrig="260">
          <v:shape id="_x0000_i1034" type="#_x0000_t75" style="width:12.8pt;height:12.8pt" o:ole="">
            <v:imagedata r:id="rId24" o:title=""/>
          </v:shape>
          <o:OLEObject Type="Embed" ProgID="Equation.DSMT4" ShapeID="_x0000_i1034" DrawAspect="Content" ObjectID="_1431796578" r:id="rId25"/>
        </w:object>
      </w:r>
      <w:r w:rsidRPr="001421AD">
        <w:t xml:space="preserve"> to its ne</w:t>
      </w:r>
      <w:r w:rsidR="002452B4" w:rsidRPr="001421AD">
        <w:t xml:space="preserve">arest positive definite matrix by using </w:t>
      </w:r>
      <w:proofErr w:type="spellStart"/>
      <w:r w:rsidR="002452B4" w:rsidRPr="001421AD">
        <w:t>make.positive.definite</w:t>
      </w:r>
      <w:proofErr w:type="spellEnd"/>
      <w:r w:rsidR="002452B4" w:rsidRPr="001421AD">
        <w:t xml:space="preserve"> function in R package </w:t>
      </w:r>
      <w:proofErr w:type="spellStart"/>
      <w:r w:rsidR="002452B4" w:rsidRPr="001421AD">
        <w:t>corpor</w:t>
      </w:r>
      <w:proofErr w:type="spellEnd"/>
      <w:r w:rsidR="004A33FF">
        <w:t>.</w:t>
      </w:r>
    </w:p>
    <w:p w:rsidR="007150EC" w:rsidRPr="001421AD" w:rsidRDefault="004A33FF" w:rsidP="00195B33">
      <w:r>
        <w:t>T</w:t>
      </w:r>
      <w:r w:rsidR="00343241" w:rsidRPr="001421AD">
        <w:t xml:space="preserve">he </w:t>
      </w:r>
      <w:r w:rsidR="00AD0B27" w:rsidRPr="001421AD">
        <w:t>distance of the matrix</w:t>
      </w:r>
      <w:r w:rsidR="000A20C3" w:rsidRPr="001421AD">
        <w:t xml:space="preserve"> </w:t>
      </w:r>
      <w:r w:rsidRPr="004A33FF">
        <w:rPr>
          <w:position w:val="-4"/>
        </w:rPr>
        <w:object w:dxaOrig="240" w:dyaOrig="260">
          <v:shape id="_x0000_i1044" type="#_x0000_t75" style="width:11.95pt;height:12.8pt" o:ole="">
            <v:imagedata r:id="rId26" o:title=""/>
          </v:shape>
          <o:OLEObject Type="Embed" ProgID="Equation.DSMT4" ShapeID="_x0000_i1044" DrawAspect="Content" ObjectID="_1431796579" r:id="rId27"/>
        </w:object>
      </w:r>
      <w:r>
        <w:t xml:space="preserve"> </w:t>
      </w:r>
      <w:r w:rsidR="00AD0B27" w:rsidRPr="001421AD">
        <w:t xml:space="preserve">and its </w:t>
      </w:r>
      <w:r w:rsidR="00343241" w:rsidRPr="001421AD">
        <w:t>nearest positive definite matrix</w:t>
      </w:r>
      <w:r w:rsidR="0063422E" w:rsidRPr="0063422E">
        <w:rPr>
          <w:position w:val="-4"/>
        </w:rPr>
        <w:object w:dxaOrig="620" w:dyaOrig="260">
          <v:shape id="_x0000_i1035" type="#_x0000_t75" style="width:30.9pt;height:12.8pt" o:ole="">
            <v:imagedata r:id="rId28" o:title=""/>
          </v:shape>
          <o:OLEObject Type="Embed" ProgID="Equation.DSMT4" ShapeID="_x0000_i1035" DrawAspect="Content" ObjectID="_1431796580" r:id="rId29"/>
        </w:object>
      </w:r>
      <w:r w:rsidR="0063422E">
        <w:t xml:space="preserve"> </w:t>
      </w:r>
      <w:r w:rsidR="00397595" w:rsidRPr="001421AD">
        <w:t xml:space="preserve">, </w:t>
      </w:r>
      <w:r w:rsidR="0063422E" w:rsidRPr="0063422E">
        <w:rPr>
          <w:position w:val="-10"/>
        </w:rPr>
        <w:object w:dxaOrig="540" w:dyaOrig="320">
          <v:shape id="_x0000_i1036" type="#_x0000_t75" style="width:26.95pt;height:15.9pt" o:ole="">
            <v:imagedata r:id="rId30" o:title=""/>
          </v:shape>
          <o:OLEObject Type="Embed" ProgID="Equation.DSMT4" ShapeID="_x0000_i1036" DrawAspect="Content" ObjectID="_1431796581" r:id="rId31"/>
        </w:object>
      </w:r>
      <w:r w:rsidR="0063422E">
        <w:t xml:space="preserve"> </w:t>
      </w:r>
      <w:r w:rsidR="00343241" w:rsidRPr="001421AD">
        <w:t xml:space="preserve">is defined </w:t>
      </w:r>
      <w:r w:rsidR="00722281" w:rsidRPr="001421AD">
        <w:t>as:</w:t>
      </w:r>
    </w:p>
    <w:p w:rsidR="006D0EC4" w:rsidRDefault="00343241" w:rsidP="005D1542">
      <w:r w:rsidRPr="001421AD">
        <w:object w:dxaOrig="5040" w:dyaOrig="360">
          <v:shape id="_x0000_i1037" type="#_x0000_t75" style="width:252.2pt;height:18.1pt" o:ole="">
            <v:imagedata r:id="rId32" o:title=""/>
          </v:shape>
          <o:OLEObject Type="Embed" ProgID="Equation.DSMT4" ShapeID="_x0000_i1037" DrawAspect="Content" ObjectID="_1431796582" r:id="rId33"/>
        </w:object>
      </w:r>
      <w:r w:rsidRPr="001421AD">
        <w:t xml:space="preserve"> </w:t>
      </w:r>
      <w:r w:rsidR="003F1713" w:rsidRPr="001421AD">
        <w:t xml:space="preserve">, </w:t>
      </w:r>
    </w:p>
    <w:p w:rsidR="003F1713" w:rsidRPr="001421AD" w:rsidRDefault="006D0EC4" w:rsidP="005D1542">
      <w:proofErr w:type="gramStart"/>
      <w:r>
        <w:t>where</w:t>
      </w:r>
      <w:proofErr w:type="gramEnd"/>
      <w:r w:rsidR="0063422E" w:rsidRPr="0063422E">
        <w:rPr>
          <w:position w:val="-10"/>
        </w:rPr>
        <w:object w:dxaOrig="1840" w:dyaOrig="360">
          <v:shape id="_x0000_i1038" type="#_x0000_t75" style="width:91.9pt;height:18.1pt" o:ole="">
            <v:imagedata r:id="rId34" o:title=""/>
          </v:shape>
          <o:OLEObject Type="Embed" ProgID="Equation.DSMT4" ShapeID="_x0000_i1038" DrawAspect="Content" ObjectID="_1431796583" r:id="rId35"/>
        </w:object>
      </w:r>
      <w:r w:rsidR="003F1713" w:rsidRPr="001421AD">
        <w:t xml:space="preserve">, </w:t>
      </w:r>
      <w:r w:rsidR="0063422E" w:rsidRPr="0063422E">
        <w:rPr>
          <w:position w:val="-6"/>
        </w:rPr>
        <w:object w:dxaOrig="180" w:dyaOrig="220">
          <v:shape id="_x0000_i1039" type="#_x0000_t75" style="width:8.85pt;height:11.05pt" o:ole="">
            <v:imagedata r:id="rId36" o:title=""/>
          </v:shape>
          <o:OLEObject Type="Embed" ProgID="Equation.DSMT4" ShapeID="_x0000_i1039" DrawAspect="Content" ObjectID="_1431796584" r:id="rId37"/>
        </w:object>
      </w:r>
      <w:r w:rsidR="0063422E">
        <w:t xml:space="preserve"> </w:t>
      </w:r>
      <w:r w:rsidR="003F1713" w:rsidRPr="001421AD">
        <w:t>is the eigenvector of</w:t>
      </w:r>
      <w:r w:rsidR="0063422E" w:rsidRPr="0063422E">
        <w:rPr>
          <w:position w:val="-4"/>
        </w:rPr>
        <w:object w:dxaOrig="240" w:dyaOrig="260">
          <v:shape id="_x0000_i1040" type="#_x0000_t75" style="width:11.95pt;height:12.8pt" o:ole="">
            <v:imagedata r:id="rId38" o:title=""/>
          </v:shape>
          <o:OLEObject Type="Embed" ProgID="Equation.DSMT4" ShapeID="_x0000_i1040" DrawAspect="Content" ObjectID="_1431796585" r:id="rId39"/>
        </w:object>
      </w:r>
      <w:r w:rsidR="0063422E">
        <w:t xml:space="preserve"> </w:t>
      </w:r>
      <w:r w:rsidR="002A678E" w:rsidRPr="001421AD">
        <w:t xml:space="preserve"> and</w:t>
      </w:r>
      <w:r w:rsidR="0063422E">
        <w:t xml:space="preserve"> </w:t>
      </w:r>
      <w:r w:rsidR="0063422E" w:rsidRPr="0063422E">
        <w:rPr>
          <w:position w:val="-6"/>
        </w:rPr>
        <w:object w:dxaOrig="200" w:dyaOrig="220">
          <v:shape id="_x0000_i1041" type="#_x0000_t75" style="width:10.15pt;height:11.05pt" o:ole="">
            <v:imagedata r:id="rId40" o:title=""/>
          </v:shape>
          <o:OLEObject Type="Embed" ProgID="Equation.DSMT4" ShapeID="_x0000_i1041" DrawAspect="Content" ObjectID="_1431796586" r:id="rId41"/>
        </w:object>
      </w:r>
      <w:r w:rsidR="002A678E" w:rsidRPr="001421AD">
        <w:t xml:space="preserve"> </w:t>
      </w:r>
      <w:r w:rsidR="005D1542" w:rsidRPr="001421AD">
        <w:t>relates to</w:t>
      </w:r>
      <w:r w:rsidR="002A678E" w:rsidRPr="001421AD">
        <w:t xml:space="preserve"> some small </w:t>
      </w:r>
      <w:r w:rsidR="005D1542" w:rsidRPr="001421AD">
        <w:t xml:space="preserve">perturbation which shifts all negative eigenvalues of polar decomposition of </w:t>
      </w:r>
      <w:r w:rsidRPr="006D0EC4">
        <w:rPr>
          <w:position w:val="-4"/>
        </w:rPr>
        <w:object w:dxaOrig="240" w:dyaOrig="260">
          <v:shape id="_x0000_i1045" type="#_x0000_t75" style="width:11.95pt;height:12.8pt" o:ole="">
            <v:imagedata r:id="rId42" o:title=""/>
          </v:shape>
          <o:OLEObject Type="Embed" ProgID="Equation.DSMT4" ShapeID="_x0000_i1045" DrawAspect="Content" ObjectID="_1431796587" r:id="rId43"/>
        </w:object>
      </w:r>
      <w:r>
        <w:t xml:space="preserve"> </w:t>
      </w:r>
      <w:r w:rsidR="005D1542" w:rsidRPr="001421AD">
        <w:t xml:space="preserve"> to the origin. </w:t>
      </w:r>
      <w:r w:rsidR="00795BA5" w:rsidRPr="001421AD">
        <w:t xml:space="preserve">For details of the </w:t>
      </w:r>
      <w:r w:rsidR="00E553EB" w:rsidRPr="001421AD">
        <w:t>proof</w:t>
      </w:r>
      <w:r w:rsidR="00795BA5" w:rsidRPr="001421AD">
        <w:t xml:space="preserve">, see </w:t>
      </w:r>
      <w:r w:rsidR="005D1542" w:rsidRPr="001421AD">
        <w:rPr>
          <w:rFonts w:cs="CMBX12"/>
          <w:sz w:val="24"/>
          <w:szCs w:val="24"/>
        </w:rPr>
        <w:t>Theorem 3.1</w:t>
      </w:r>
      <w:r w:rsidR="005D1542" w:rsidRPr="001421AD">
        <w:t xml:space="preserve"> and its proof in </w:t>
      </w:r>
      <w:r w:rsidR="00493F17" w:rsidRPr="001421AD">
        <w:t xml:space="preserve">attached </w:t>
      </w:r>
      <w:r w:rsidR="00795BA5" w:rsidRPr="001421AD">
        <w:t xml:space="preserve">NJ </w:t>
      </w:r>
      <w:proofErr w:type="spellStart"/>
      <w:r w:rsidR="00795BA5" w:rsidRPr="001421AD">
        <w:t>Higham</w:t>
      </w:r>
      <w:r w:rsidR="00115996" w:rsidRPr="001421AD">
        <w:t>’s</w:t>
      </w:r>
      <w:proofErr w:type="spellEnd"/>
      <w:r w:rsidR="00115996" w:rsidRPr="001421AD">
        <w:t xml:space="preserve"> reprint</w:t>
      </w:r>
      <w:r w:rsidR="00795BA5" w:rsidRPr="001421AD">
        <w:t xml:space="preserve"> </w:t>
      </w:r>
      <w:r w:rsidR="003B31E3" w:rsidRPr="001421AD">
        <w:t xml:space="preserve">paper. </w:t>
      </w:r>
    </w:p>
    <w:p w:rsidR="00406C20" w:rsidRPr="001421AD" w:rsidRDefault="00406C20" w:rsidP="00195B33">
      <w:r w:rsidRPr="001421AD">
        <w:t>From the empirical observation, the</w:t>
      </w:r>
      <w:r w:rsidR="00FB7B55" w:rsidRPr="001421AD">
        <w:t xml:space="preserve"> last few</w:t>
      </w:r>
      <w:r w:rsidRPr="001421AD">
        <w:t xml:space="preserve"> </w:t>
      </w:r>
      <w:r w:rsidR="00FB7B55" w:rsidRPr="001421AD">
        <w:t>eigen</w:t>
      </w:r>
      <w:r w:rsidR="00E553EB" w:rsidRPr="001421AD">
        <w:t xml:space="preserve">values </w:t>
      </w:r>
      <w:r w:rsidR="009230A7" w:rsidRPr="001421AD">
        <w:t xml:space="preserve">are very small negative </w:t>
      </w:r>
      <w:r w:rsidR="00134FE3" w:rsidRPr="001421AD">
        <w:t>numbers.</w:t>
      </w:r>
      <w:r w:rsidR="009230A7" w:rsidRPr="001421AD">
        <w:t xml:space="preserve"> </w:t>
      </w:r>
      <w:r w:rsidR="00CF04AF">
        <w:t>H</w:t>
      </w:r>
      <w:r w:rsidR="00134FE3" w:rsidRPr="001421AD">
        <w:t>ence,</w:t>
      </w:r>
      <w:r w:rsidR="009230A7" w:rsidRPr="001421AD">
        <w:t xml:space="preserve"> the resulting nearest </w:t>
      </w:r>
      <w:r w:rsidR="00CF04AF">
        <w:t>(</w:t>
      </w:r>
      <w:proofErr w:type="spellStart"/>
      <w:r w:rsidR="00BD5E3E" w:rsidRPr="001421AD">
        <w:t>Frobenius</w:t>
      </w:r>
      <w:proofErr w:type="spellEnd"/>
      <w:r w:rsidR="00BD5E3E" w:rsidRPr="001421AD">
        <w:t xml:space="preserve"> norm</w:t>
      </w:r>
      <w:r w:rsidR="00CF04AF">
        <w:t>)</w:t>
      </w:r>
      <w:r w:rsidR="00BD5E3E" w:rsidRPr="001421AD">
        <w:t xml:space="preserve"> </w:t>
      </w:r>
      <w:r w:rsidR="009230A7" w:rsidRPr="001421AD">
        <w:t xml:space="preserve">positive definite matrix </w:t>
      </w:r>
      <w:r w:rsidR="00355465" w:rsidRPr="00355465">
        <w:rPr>
          <w:position w:val="-4"/>
        </w:rPr>
        <w:object w:dxaOrig="620" w:dyaOrig="260">
          <v:shape id="_x0000_i1042" type="#_x0000_t75" style="width:30.9pt;height:12.8pt" o:ole="">
            <v:imagedata r:id="rId44" o:title=""/>
          </v:shape>
          <o:OLEObject Type="Embed" ProgID="Equation.DSMT4" ShapeID="_x0000_i1042" DrawAspect="Content" ObjectID="_1431796588" r:id="rId45"/>
        </w:object>
      </w:r>
      <w:r w:rsidR="00355465">
        <w:t xml:space="preserve"> </w:t>
      </w:r>
      <w:r w:rsidR="009230A7" w:rsidRPr="001421AD">
        <w:t xml:space="preserve"> is very similar </w:t>
      </w:r>
      <w:proofErr w:type="gramStart"/>
      <w:r w:rsidR="009230A7" w:rsidRPr="001421AD">
        <w:t xml:space="preserve">to </w:t>
      </w:r>
      <w:proofErr w:type="gramEnd"/>
      <w:r w:rsidR="00355465" w:rsidRPr="00355465">
        <w:rPr>
          <w:position w:val="-4"/>
        </w:rPr>
        <w:object w:dxaOrig="240" w:dyaOrig="260">
          <v:shape id="_x0000_i1043" type="#_x0000_t75" style="width:11.95pt;height:12.8pt" o:ole="">
            <v:imagedata r:id="rId46" o:title=""/>
          </v:shape>
          <o:OLEObject Type="Embed" ProgID="Equation.DSMT4" ShapeID="_x0000_i1043" DrawAspect="Content" ObjectID="_1431796589" r:id="rId47"/>
        </w:object>
      </w:r>
      <w:r w:rsidR="009230A7" w:rsidRPr="001421AD">
        <w:t xml:space="preserve">. </w:t>
      </w:r>
    </w:p>
    <w:p w:rsidR="00BD5E3E" w:rsidRPr="001421AD" w:rsidRDefault="001421AD" w:rsidP="00195B33">
      <w:r>
        <w:t xml:space="preserve">For instance, suppose we are looking at the first five stocks in mid cap data, the corresponding eigenvalues of </w:t>
      </w:r>
      <w:r w:rsidR="00722281">
        <w:t xml:space="preserve">the </w:t>
      </w:r>
      <w:r>
        <w:t xml:space="preserve">covariance matrix of </w:t>
      </w:r>
      <w:r w:rsidR="00722281">
        <w:t xml:space="preserve">the </w:t>
      </w:r>
      <w:r>
        <w:t xml:space="preserve">extended return matrix is </w:t>
      </w:r>
    </w:p>
    <w:p w:rsidR="00BD5E3E" w:rsidRPr="00BD5E3E" w:rsidRDefault="00BD5E3E" w:rsidP="00BD5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shd w:val="clear" w:color="auto" w:fill="E1E2E5"/>
        </w:rPr>
      </w:pPr>
      <w:r w:rsidRPr="00BD5E3E">
        <w:rPr>
          <w:rFonts w:eastAsia="Times New Roman" w:cs="Courier New"/>
          <w:color w:val="000000"/>
          <w:sz w:val="20"/>
          <w:szCs w:val="20"/>
          <w:shd w:val="clear" w:color="auto" w:fill="E1E2E5"/>
        </w:rPr>
        <w:t>$values</w:t>
      </w:r>
    </w:p>
    <w:p w:rsidR="00BD5E3E" w:rsidRPr="00BD5E3E" w:rsidRDefault="00BD5E3E" w:rsidP="00BD5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shd w:val="clear" w:color="auto" w:fill="E1E2E5"/>
        </w:rPr>
      </w:pPr>
      <w:r w:rsidRPr="00BD5E3E">
        <w:rPr>
          <w:rFonts w:eastAsia="Times New Roman" w:cs="Courier New"/>
          <w:color w:val="000000"/>
          <w:sz w:val="20"/>
          <w:szCs w:val="20"/>
          <w:shd w:val="clear" w:color="auto" w:fill="E1E2E5"/>
        </w:rPr>
        <w:t xml:space="preserve"> [1</w:t>
      </w:r>
      <w:proofErr w:type="gramStart"/>
      <w:r w:rsidRPr="00BD5E3E">
        <w:rPr>
          <w:rFonts w:eastAsia="Times New Roman" w:cs="Courier New"/>
          <w:color w:val="000000"/>
          <w:sz w:val="20"/>
          <w:szCs w:val="20"/>
          <w:shd w:val="clear" w:color="auto" w:fill="E1E2E5"/>
        </w:rPr>
        <w:t>]  2.380478e</w:t>
      </w:r>
      <w:proofErr w:type="gramEnd"/>
      <w:r w:rsidRPr="00BD5E3E">
        <w:rPr>
          <w:rFonts w:eastAsia="Times New Roman" w:cs="Courier New"/>
          <w:color w:val="000000"/>
          <w:sz w:val="20"/>
          <w:szCs w:val="20"/>
          <w:shd w:val="clear" w:color="auto" w:fill="E1E2E5"/>
        </w:rPr>
        <w:t>-01  1.340207e-01  4.777733e-02</w:t>
      </w:r>
    </w:p>
    <w:p w:rsidR="00BD5E3E" w:rsidRPr="00BD5E3E" w:rsidRDefault="00BD5E3E" w:rsidP="00BD5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shd w:val="clear" w:color="auto" w:fill="E1E2E5"/>
        </w:rPr>
      </w:pPr>
      <w:r w:rsidRPr="00BD5E3E">
        <w:rPr>
          <w:rFonts w:eastAsia="Times New Roman" w:cs="Courier New"/>
          <w:color w:val="000000"/>
          <w:sz w:val="20"/>
          <w:szCs w:val="20"/>
          <w:shd w:val="clear" w:color="auto" w:fill="E1E2E5"/>
        </w:rPr>
        <w:t xml:space="preserve"> [4</w:t>
      </w:r>
      <w:proofErr w:type="gramStart"/>
      <w:r w:rsidRPr="00BD5E3E">
        <w:rPr>
          <w:rFonts w:eastAsia="Times New Roman" w:cs="Courier New"/>
          <w:color w:val="000000"/>
          <w:sz w:val="20"/>
          <w:szCs w:val="20"/>
          <w:shd w:val="clear" w:color="auto" w:fill="E1E2E5"/>
        </w:rPr>
        <w:t>]  3.438278e</w:t>
      </w:r>
      <w:proofErr w:type="gramEnd"/>
      <w:r w:rsidRPr="00BD5E3E">
        <w:rPr>
          <w:rFonts w:eastAsia="Times New Roman" w:cs="Courier New"/>
          <w:color w:val="000000"/>
          <w:sz w:val="20"/>
          <w:szCs w:val="20"/>
          <w:shd w:val="clear" w:color="auto" w:fill="E1E2E5"/>
        </w:rPr>
        <w:t>-02  1.375631e-02  1.125256e-17</w:t>
      </w:r>
    </w:p>
    <w:p w:rsidR="00BD5E3E" w:rsidRPr="00BD5E3E" w:rsidRDefault="00BD5E3E" w:rsidP="00BD5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shd w:val="clear" w:color="auto" w:fill="E1E2E5"/>
        </w:rPr>
      </w:pPr>
      <w:r w:rsidRPr="00BD5E3E">
        <w:rPr>
          <w:rFonts w:eastAsia="Times New Roman" w:cs="Courier New"/>
          <w:color w:val="000000"/>
          <w:sz w:val="20"/>
          <w:szCs w:val="20"/>
          <w:shd w:val="clear" w:color="auto" w:fill="E1E2E5"/>
        </w:rPr>
        <w:t xml:space="preserve"> [7</w:t>
      </w:r>
      <w:proofErr w:type="gramStart"/>
      <w:r w:rsidRPr="00BD5E3E">
        <w:rPr>
          <w:rFonts w:eastAsia="Times New Roman" w:cs="Courier New"/>
          <w:color w:val="000000"/>
          <w:sz w:val="20"/>
          <w:szCs w:val="20"/>
          <w:shd w:val="clear" w:color="auto" w:fill="E1E2E5"/>
        </w:rPr>
        <w:t>]  4.022201e</w:t>
      </w:r>
      <w:proofErr w:type="gramEnd"/>
      <w:r w:rsidRPr="00BD5E3E">
        <w:rPr>
          <w:rFonts w:eastAsia="Times New Roman" w:cs="Courier New"/>
          <w:color w:val="000000"/>
          <w:sz w:val="20"/>
          <w:szCs w:val="20"/>
          <w:shd w:val="clear" w:color="auto" w:fill="E1E2E5"/>
        </w:rPr>
        <w:t>-18  8.334207e-19 -2.269527e-34</w:t>
      </w:r>
    </w:p>
    <w:p w:rsidR="00BD5E3E" w:rsidRPr="00BD5E3E" w:rsidRDefault="00BD5E3E" w:rsidP="00BD5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shd w:val="clear" w:color="auto" w:fill="E1E2E5"/>
        </w:rPr>
      </w:pPr>
      <w:r w:rsidRPr="00BD5E3E">
        <w:rPr>
          <w:rFonts w:eastAsia="Times New Roman" w:cs="Courier New"/>
          <w:color w:val="000000"/>
          <w:sz w:val="20"/>
          <w:szCs w:val="20"/>
          <w:shd w:val="clear" w:color="auto" w:fill="E1E2E5"/>
        </w:rPr>
        <w:t>[10] -1.855057e-19 -2.261371e-19 -6.674203e-19</w:t>
      </w:r>
    </w:p>
    <w:p w:rsidR="00BD5E3E" w:rsidRPr="00BD5E3E" w:rsidRDefault="00BD5E3E" w:rsidP="00BD5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shd w:val="clear" w:color="auto" w:fill="E1E2E5"/>
        </w:rPr>
      </w:pPr>
      <w:r w:rsidRPr="00BD5E3E">
        <w:rPr>
          <w:rFonts w:eastAsia="Times New Roman" w:cs="Courier New"/>
          <w:color w:val="000000"/>
          <w:sz w:val="20"/>
          <w:szCs w:val="20"/>
          <w:shd w:val="clear" w:color="auto" w:fill="E1E2E5"/>
        </w:rPr>
        <w:t>[13] -1.425105e-18 -2.356031e-18 -1.831675e-17</w:t>
      </w:r>
    </w:p>
    <w:p w:rsidR="00BD5E3E" w:rsidRPr="001421AD" w:rsidRDefault="00BD5E3E" w:rsidP="00195B33"/>
    <w:p w:rsidR="00BD5E3E" w:rsidRPr="001421AD" w:rsidRDefault="00D44032" w:rsidP="00195B33">
      <w:r>
        <w:t xml:space="preserve">As we can see, the last few negative eigenvalues </w:t>
      </w:r>
      <w:r w:rsidR="00355465">
        <w:t xml:space="preserve">are close to zero, hence the nearest positive definite matrix is very similar to its original. </w:t>
      </w:r>
    </w:p>
    <w:p w:rsidR="00795BA5" w:rsidRPr="001421AD" w:rsidRDefault="00795BA5" w:rsidP="00195B33">
      <w:bookmarkStart w:id="2" w:name="_GoBack"/>
      <w:bookmarkEnd w:id="2"/>
    </w:p>
    <w:sectPr w:rsidR="00795BA5" w:rsidRPr="001421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D572A"/>
    <w:multiLevelType w:val="hybridMultilevel"/>
    <w:tmpl w:val="A9C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33"/>
    <w:rsid w:val="00012E4F"/>
    <w:rsid w:val="000678CE"/>
    <w:rsid w:val="000805B6"/>
    <w:rsid w:val="000A20C3"/>
    <w:rsid w:val="00115996"/>
    <w:rsid w:val="00134FE3"/>
    <w:rsid w:val="001421AD"/>
    <w:rsid w:val="00195B33"/>
    <w:rsid w:val="002126F3"/>
    <w:rsid w:val="002406DF"/>
    <w:rsid w:val="002452B4"/>
    <w:rsid w:val="002A678E"/>
    <w:rsid w:val="002F2413"/>
    <w:rsid w:val="0030725B"/>
    <w:rsid w:val="00332089"/>
    <w:rsid w:val="00343241"/>
    <w:rsid w:val="00355465"/>
    <w:rsid w:val="00397595"/>
    <w:rsid w:val="003B31E3"/>
    <w:rsid w:val="003B4587"/>
    <w:rsid w:val="003F1713"/>
    <w:rsid w:val="00406C20"/>
    <w:rsid w:val="00493F17"/>
    <w:rsid w:val="004A33FF"/>
    <w:rsid w:val="005D1542"/>
    <w:rsid w:val="0063422E"/>
    <w:rsid w:val="006D0EC4"/>
    <w:rsid w:val="007150EC"/>
    <w:rsid w:val="00722281"/>
    <w:rsid w:val="00795BA5"/>
    <w:rsid w:val="00890D53"/>
    <w:rsid w:val="009230A7"/>
    <w:rsid w:val="00997FDF"/>
    <w:rsid w:val="009A7FE0"/>
    <w:rsid w:val="00A65F06"/>
    <w:rsid w:val="00AC25DC"/>
    <w:rsid w:val="00AD0B27"/>
    <w:rsid w:val="00B05B68"/>
    <w:rsid w:val="00B12489"/>
    <w:rsid w:val="00B33587"/>
    <w:rsid w:val="00BD5E3E"/>
    <w:rsid w:val="00C01261"/>
    <w:rsid w:val="00C11E74"/>
    <w:rsid w:val="00CB3F83"/>
    <w:rsid w:val="00CF04AF"/>
    <w:rsid w:val="00D20B23"/>
    <w:rsid w:val="00D44032"/>
    <w:rsid w:val="00E553EB"/>
    <w:rsid w:val="00E7371C"/>
    <w:rsid w:val="00F314B9"/>
    <w:rsid w:val="00F96EB2"/>
    <w:rsid w:val="00FB7B55"/>
    <w:rsid w:val="00FE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B3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5B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E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B3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5B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E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</dc:creator>
  <cp:lastModifiedBy>kirk</cp:lastModifiedBy>
  <cp:revision>49</cp:revision>
  <dcterms:created xsi:type="dcterms:W3CDTF">2013-06-03T20:12:00Z</dcterms:created>
  <dcterms:modified xsi:type="dcterms:W3CDTF">2013-06-04T03:27:00Z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