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59A84" w14:textId="77777777" w:rsidR="00040A75" w:rsidRDefault="000B61BF">
      <w:r>
        <w:t>Reports: ~2500 words including refs</w:t>
      </w:r>
      <w:proofErr w:type="gramStart"/>
      <w:r>
        <w:t>;</w:t>
      </w:r>
      <w:proofErr w:type="gramEnd"/>
      <w:r>
        <w:t xml:space="preserve"> no more than 4 </w:t>
      </w:r>
      <w:proofErr w:type="spellStart"/>
      <w:r>
        <w:t>fig+table</w:t>
      </w:r>
      <w:proofErr w:type="spellEnd"/>
      <w:r>
        <w:t xml:space="preserve">. </w:t>
      </w:r>
      <w:proofErr w:type="gramStart"/>
      <w:r>
        <w:t>Abstract, introductory paragraph, ~30 refs.</w:t>
      </w:r>
      <w:proofErr w:type="gramEnd"/>
      <w:r>
        <w:t xml:space="preserve"> Materials and methods in supplemental</w:t>
      </w:r>
    </w:p>
    <w:p w14:paraId="45B57812" w14:textId="77777777" w:rsidR="000B61BF" w:rsidRDefault="000B61BF"/>
    <w:p w14:paraId="5DCC1444" w14:textId="77777777" w:rsidR="000B61BF" w:rsidRDefault="000B61BF">
      <w:r>
        <w:t>Abstract:</w:t>
      </w:r>
    </w:p>
    <w:p w14:paraId="79326AB6" w14:textId="77777777" w:rsidR="000B61BF" w:rsidRDefault="000B61BF"/>
    <w:p w14:paraId="1E34CB8B" w14:textId="77777777" w:rsidR="000B61BF" w:rsidRDefault="000B61BF">
      <w:r>
        <w:t>Body:</w:t>
      </w:r>
    </w:p>
    <w:p w14:paraId="6A715E0C" w14:textId="77777777" w:rsidR="000B61BF" w:rsidRDefault="000B61BF"/>
    <w:p w14:paraId="1A31E84D" w14:textId="77777777" w:rsidR="000B61BF" w:rsidRPr="002122FC" w:rsidRDefault="000B61BF" w:rsidP="001511A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122FC">
        <w:rPr>
          <w:rFonts w:ascii="Times New Roman" w:hAnsi="Times New Roman" w:cs="Times New Roman"/>
          <w:sz w:val="22"/>
          <w:szCs w:val="22"/>
        </w:rPr>
        <w:t>Protein coding sequences evolve in response to a mixture of natural selection, mutational bias, and drift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&lt;EndNote&gt;&lt;Cite&gt;&lt;Author&gt;Li&lt;/Author&gt;&lt;Year&gt;1978&lt;/Year&gt;&lt;RecNum&gt;26576&lt;/RecNum&gt;&lt;DisplayText&gt;(&lt;style face="italic"&gt;1, 2&lt;/style&gt;)&lt;/DisplayText&gt;&lt;record&gt;&lt;rec-number&gt;26576&lt;/rec-number&gt;&lt;foreign-keys&gt;&lt;key app="EN" db-id="290fw9tzn52tt5e2dzm5edtsxv0se9dpzf9z"&gt;26576&lt;/key&gt;&lt;/foreign-keys&gt;&lt;ref-type name="Journal Article"&gt;17&lt;/ref-type&gt;&lt;contributors&gt;&lt;authors&gt;&lt;author&gt;Li, W. H.&lt;/author&gt;&lt;/authors&gt;&lt;/contributors&gt;&lt;titles&gt;&lt;title&gt;Maintenance of genetic variability under the joint effect of mutation, selection and random drift&lt;/title&gt;&lt;secondary-title&gt;Genetics&lt;/secondary-title&gt;&lt;/titles&gt;&lt;periodical&gt;&lt;full-title&gt;Genetics&lt;/full-title&gt;&lt;/periodical&gt;&lt;pages&gt;349-382&lt;/pages&gt;&lt;volume&gt;90&lt;/volume&gt;&lt;number&gt;2&lt;/number&gt;&lt;dates&gt;&lt;year&gt;1978&lt;/year&gt;&lt;/dates&gt;&lt;publisher&gt;Genetics Soc America&lt;/publisher&gt;&lt;isbn&gt;0016-6731&lt;/isbn&gt;&lt;urls&gt;&lt;related-urls&gt;&lt;url&gt;http://www.ncbi.nlm.nih.gov/pmc/articles/PMC1213895/pdf/349.pdf&lt;/url&gt;&lt;/related-urls&gt;&lt;/urls&gt;&lt;/record&gt;&lt;/Cite&gt;&lt;Cite&gt;&lt;Author&gt;Kimura&lt;/Author&gt;&lt;Year&gt;1964&lt;/Year&gt;&lt;RecNum&gt;26577&lt;/RecNum&gt;&lt;record&gt;&lt;rec-number&gt;26577&lt;/rec-number&gt;&lt;foreign-keys&gt;&lt;key app="EN" db-id="290fw9tzn52tt5e2dzm5edtsxv0se9dpzf9z"&gt;26577&lt;/key&gt;&lt;/foreign-keys&gt;&lt;ref-type name="Journal Article"&gt;17&lt;/ref-type&gt;&lt;contributors&gt;&lt;authors&gt;&lt;author&gt;Kimura, M.&lt;/author&gt;&lt;author&gt;Crow, J. F.&lt;/author&gt;&lt;/authors&gt;&lt;/contributors&gt;&lt;titles&gt;&lt;title&gt;The number of alleles that can be maintained in a finite population&lt;/title&gt;&lt;secondary-title&gt;Genetics&lt;/secondary-title&gt;&lt;/titles&gt;&lt;periodical&gt;&lt;full-title&gt;Genetics&lt;/full-title&gt;&lt;/periodical&gt;&lt;pages&gt;725&lt;/pages&gt;&lt;volume&gt;49&lt;/volume&gt;&lt;number&gt;4&lt;/number&gt;&lt;dates&gt;&lt;year&gt;1964&lt;/year&gt;&lt;/dates&gt;&lt;publisher&gt;Genetics Society of America&lt;/publisher&gt;&lt;urls&gt;&lt;related-urls&gt;&lt;url&gt;http://www.genetics.org/content/49/4/725.full.pdf&lt;/url&gt;&lt;/related-urls&gt;&lt;/urls&gt;&lt;/record&gt;&lt;/Cite&gt;&lt;/EndNote&gt;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" w:tooltip="Li, 1978 #26576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1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2" w:tooltip="Kimura, 1964 #26577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2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2122FC">
        <w:rPr>
          <w:rFonts w:ascii="Times New Roman" w:hAnsi="Times New Roman" w:cs="Times New Roman"/>
          <w:sz w:val="22"/>
          <w:szCs w:val="22"/>
        </w:rPr>
        <w:t>. While this has been known since the Modern Synthesis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122FC">
        <w:rPr>
          <w:rFonts w:ascii="Times New Roman" w:hAnsi="Times New Roman" w:cs="Times New Roman"/>
          <w:sz w:val="22"/>
          <w:szCs w:val="22"/>
        </w:rPr>
        <w:t xml:space="preserve"> and in spite of the </w:t>
      </w:r>
      <w:r>
        <w:rPr>
          <w:rFonts w:ascii="Times New Roman" w:hAnsi="Times New Roman" w:cs="Times New Roman"/>
          <w:sz w:val="22"/>
          <w:szCs w:val="22"/>
        </w:rPr>
        <w:t>explosion</w:t>
      </w:r>
      <w:r w:rsidRPr="002122FC">
        <w:rPr>
          <w:rFonts w:ascii="Times New Roman" w:hAnsi="Times New Roman" w:cs="Times New Roman"/>
          <w:sz w:val="22"/>
          <w:szCs w:val="22"/>
        </w:rPr>
        <w:t xml:space="preserve"> of sequence data</w:t>
      </w:r>
      <w:r>
        <w:rPr>
          <w:rFonts w:ascii="Times New Roman" w:hAnsi="Times New Roman" w:cs="Times New Roman"/>
          <w:sz w:val="22"/>
          <w:szCs w:val="22"/>
        </w:rPr>
        <w:t xml:space="preserve"> from genomics studies and other studies using next gen sequencing approaches</w:t>
      </w:r>
      <w:r w:rsidRPr="002122FC">
        <w:rPr>
          <w:rFonts w:ascii="Times New Roman" w:hAnsi="Times New Roman" w:cs="Times New Roman"/>
          <w:sz w:val="22"/>
          <w:szCs w:val="22"/>
        </w:rPr>
        <w:t>, the methods use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2122FC">
        <w:rPr>
          <w:rFonts w:ascii="Times New Roman" w:hAnsi="Times New Roman" w:cs="Times New Roman"/>
          <w:sz w:val="22"/>
          <w:szCs w:val="22"/>
        </w:rPr>
        <w:t xml:space="preserve"> to analyze coding sequences generally ignore one or more of these </w:t>
      </w:r>
      <w:r>
        <w:rPr>
          <w:rFonts w:ascii="Times New Roman" w:hAnsi="Times New Roman" w:cs="Times New Roman"/>
          <w:sz w:val="22"/>
          <w:szCs w:val="22"/>
        </w:rPr>
        <w:t>processes</w:t>
      </w:r>
      <w:r w:rsidR="00197A5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122FC">
        <w:rPr>
          <w:rFonts w:ascii="Times New Roman" w:hAnsi="Times New Roman" w:cs="Times New Roman"/>
          <w:sz w:val="22"/>
          <w:szCs w:val="22"/>
        </w:rPr>
        <w:t xml:space="preserve">ost models of </w:t>
      </w:r>
      <w:r>
        <w:rPr>
          <w:rFonts w:ascii="Times New Roman" w:hAnsi="Times New Roman" w:cs="Times New Roman"/>
          <w:sz w:val="22"/>
          <w:szCs w:val="22"/>
        </w:rPr>
        <w:t xml:space="preserve">nucleotide </w:t>
      </w:r>
      <w:r w:rsidRPr="002122FC">
        <w:rPr>
          <w:rFonts w:ascii="Times New Roman" w:hAnsi="Times New Roman" w:cs="Times New Roman"/>
          <w:sz w:val="22"/>
          <w:szCs w:val="22"/>
        </w:rPr>
        <w:t>sequence evolution assume constant, reversible substitution rates</w:t>
      </w:r>
      <w:r w:rsidR="00604E83">
        <w:rPr>
          <w:rFonts w:ascii="Times New Roman" w:hAnsi="Times New Roman" w:cs="Times New Roman"/>
          <w:sz w:val="22"/>
          <w:szCs w:val="22"/>
        </w:rPr>
        <w:t xml:space="preserve"> over a specified set of sites.</w:t>
      </w:r>
      <w:r>
        <w:rPr>
          <w:rFonts w:ascii="Times New Roman" w:hAnsi="Times New Roman" w:cs="Times New Roman"/>
          <w:sz w:val="22"/>
          <w:szCs w:val="22"/>
        </w:rPr>
        <w:t xml:space="preserve"> Goldman and Yang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 ExcludeAuth="1"&gt;&lt;Author&gt;Goldman&lt;/Author&gt;&lt;Year&gt;1994&lt;/Year&gt;&lt;RecNum&gt;22079&lt;/RecNum&gt;&lt;DisplayText&gt;(&lt;style face="italic"&gt;3&lt;/style&gt;)&lt;/DisplayText&gt;&lt;record&gt;&lt;rec-number&gt;22079&lt;/rec-number&gt;&lt;foreign-keys&gt;&lt;key app="EN" db-id="290fw9tzn52tt5e2dzm5edtsxv0se9dpzf9z"&gt;22079&lt;/key&gt;&lt;/foreign-keys&gt;&lt;ref-type name="Journal Article"&gt;17&lt;/ref-type&gt;&lt;contributors&gt;&lt;authors&gt;&lt;author&gt;Goldman, N.&lt;/author&gt;&lt;author&gt;Yang, Z. H.&lt;/author&gt;&lt;/authors&gt;&lt;/contributors&gt;&lt;titles&gt;&lt;title&gt;Codon-Based Model of Nucleotide Substitution for Protein-Coding DNA-Sequences&lt;/title&gt;&lt;secondary-title&gt;Molecular Biology and Evolution&lt;/secondary-title&gt;&lt;/titles&gt;&lt;periodical&gt;&lt;full-title&gt;Molecular Biology and Evolution&lt;/full-title&gt;&lt;/periodical&gt;&lt;pages&gt;725-736&lt;/pages&gt;&lt;volume&gt;11&lt;/volume&gt;&lt;number&gt;5&lt;/number&gt;&lt;dates&gt;&lt;year&gt;1994&lt;/year&gt;&lt;pub-dates&gt;&lt;date&gt;Sep&lt;/date&gt;&lt;/pub-dates&gt;&lt;/dates&gt;&lt;isbn&gt;0737-4038&lt;/isbn&gt;&lt;accession-num&gt;WOS:A1994PG15600002&lt;/accession-num&gt;&lt;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3" w:tooltip="Goldman, 1994 #22079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3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codon model that incorporated different transition rates between synonymous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nonsynonymous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sites. Nevertheless, this model and its descendants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604E83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604E83">
        <w:rPr>
          <w:rFonts w:ascii="Times New Roman" w:hAnsi="Times New Roman" w:cs="Times New Roman"/>
          <w:sz w:val="22"/>
          <w:szCs w:val="22"/>
        </w:rPr>
      </w:r>
      <w:r w:rsidR="00604E83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4" w:tooltip="Yang, 2002 #26382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4-7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, which incorporate heterogeneity across sites and taxa, retain the assumption that the substitution rate from codon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codon </w:t>
      </w:r>
      <w:r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equals the reverse rate</w:t>
      </w:r>
      <w:r w:rsidR="00197A5F">
        <w:rPr>
          <w:rFonts w:ascii="Times New Roman" w:hAnsi="Times New Roman" w:cs="Times New Roman"/>
          <w:sz w:val="22"/>
          <w:szCs w:val="22"/>
        </w:rPr>
        <w:t>, even though</w:t>
      </w:r>
      <w:r w:rsidR="00942FAE">
        <w:rPr>
          <w:rFonts w:ascii="Times New Roman" w:hAnsi="Times New Roman" w:cs="Times New Roman"/>
          <w:sz w:val="22"/>
          <w:szCs w:val="22"/>
        </w:rPr>
        <w:t xml:space="preserve"> in reality these two codons are expected to have unequal fitness, especially if they differ in amino acid</w:t>
      </w:r>
      <w:r>
        <w:rPr>
          <w:rFonts w:ascii="Times New Roman" w:hAnsi="Times New Roman" w:cs="Times New Roman"/>
          <w:sz w:val="22"/>
          <w:szCs w:val="22"/>
        </w:rPr>
        <w:t xml:space="preserve">. Various models that incorporate mutation and selection on codons and amino acids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&lt;EndNote&gt;&lt;Cite&gt;&lt;Author&gt;Yang&lt;/Author&gt;&lt;Year&gt;2008&lt;/Year&gt;&lt;RecNum&gt;26417&lt;/RecNum&gt;&lt;DisplayText&gt;(&lt;style face="italic"&gt;8, 9&lt;/style&gt;)&lt;/DisplayText&gt;&lt;record&gt;&lt;rec-number&gt;26417&lt;/rec-number&gt;&lt;foreign-keys&gt;&lt;key app="EN" db-id="290fw9tzn52tt5e2dzm5edtsxv0se9dpzf9z"&gt;26417&lt;/key&gt;&lt;/foreign-keys&gt;&lt;ref-type name="Journal Article"&gt;17&lt;/ref-type&gt;&lt;contributors&gt;&lt;authors&gt;&lt;author&gt;Yang, Ziheng&lt;/author&gt;&lt;author&gt;Nielsen, Rasmus&lt;/author&gt;&lt;/authors&gt;&lt;/contributors&gt;&lt;titles&gt;&lt;title&gt;Mutation-selection models of codon substitution and their use to estimate selective strengths on codon usage&lt;/title&gt;&lt;secondary-title&gt;Molecular Biology and Evolution&lt;/secondary-title&gt;&lt;/titles&gt;&lt;periodical&gt;&lt;full-title&gt;Molecular Biology and Evolution&lt;/full-title&gt;&lt;/periodical&gt;&lt;pages&gt;568-579&lt;/pages&gt;&lt;volume&gt;25&lt;/volume&gt;&lt;number&gt;3&lt;/number&gt;&lt;dates&gt;&lt;year&gt;2008&lt;/year&gt;&lt;pub-dates&gt;&lt;date&gt;Mar&lt;/date&gt;&lt;/pub-dates&gt;&lt;/dates&gt;&lt;isbn&gt;0737-4038&lt;/isbn&gt;&lt;accession-num&gt;WOS:000253491100011&lt;/accession-num&gt;&lt;urls&gt;&lt;related-urls&gt;&lt;url&gt;http://mbe.oxfordjournals.org/content/25/3/568.full.pdf&lt;/url&gt;&lt;/related-urls&gt;&lt;/urls&gt;&lt;/record&gt;&lt;/Cite&gt;&lt;Cite&gt;&lt;Author&gt;Miyazawa&lt;/Author&gt;&lt;Year&gt;2011&lt;/Year&gt;&lt;RecNum&gt;26399&lt;/RecNum&gt;&lt;record&gt;&lt;rec-number&gt;26399&lt;/rec-number&gt;&lt;foreign-keys&gt;&lt;key app="EN" db-id="290fw9tzn52tt5e2dzm5edtsxv0se9dpzf9z"&gt;26399&lt;/key&gt;&lt;/foreign-keys&gt;&lt;ref-type name="Journal Article"&gt;17&lt;/ref-type&gt;&lt;contributors&gt;&lt;authors&gt;&lt;author&gt;Miyazawa, Sanzo&lt;/author&gt;&lt;/authors&gt;&lt;/contributors&gt;&lt;titles&gt;&lt;title&gt;Selective Constraints on Amino Acids Estimated by a Mechanistic Codon Substitution Model with Multiple Nucleotide Changes&lt;/title&gt;&lt;secondary-title&gt;PLoS ONE&lt;/secondary-title&gt;&lt;/titles&gt;&lt;periodical&gt;&lt;full-title&gt;PLoS ONE&lt;/full-title&gt;&lt;/periodical&gt;&lt;volume&gt;6&lt;/volume&gt;&lt;number&gt;3&lt;/number&gt;&lt;dates&gt;&lt;year&gt;2011&lt;/year&gt;&lt;pub-dates&gt;&lt;date&gt;Mar 18&lt;/date&gt;&lt;/pub-dates&gt;&lt;/dates&gt;&lt;isbn&gt;1932-6203&lt;/isbn&gt;&lt;accession-num&gt;WOS:000288545100012&lt;/accession-num&gt;&lt;urls&gt;&lt;related-urls&gt;&lt;url&gt;http://www.ncbi.nlm.nih.gov/pmc/articles/PMC3060808/pdf/pone.0017244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8" w:tooltip="Yang, 2008 #26417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8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9" w:tooltip="Miyazawa, 2011 #26399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9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also inherit this limitation of equal rates.</w:t>
      </w:r>
      <w:r w:rsidR="00604E83">
        <w:rPr>
          <w:rFonts w:ascii="Times New Roman" w:hAnsi="Times New Roman" w:cs="Times New Roman"/>
          <w:sz w:val="22"/>
          <w:szCs w:val="22"/>
        </w:rPr>
        <w:t xml:space="preserve"> T</w:t>
      </w:r>
      <w:r>
        <w:rPr>
          <w:rFonts w:ascii="Times New Roman" w:hAnsi="Times New Roman" w:cs="Times New Roman"/>
          <w:sz w:val="22"/>
          <w:szCs w:val="22"/>
        </w:rPr>
        <w:t xml:space="preserve">wo models have been advanced that deal with non-time-reversible models. </w:t>
      </w:r>
      <w:proofErr w:type="spellStart"/>
      <w:r>
        <w:rPr>
          <w:rFonts w:ascii="Times New Roman" w:hAnsi="Times New Roman" w:cs="Times New Roman"/>
          <w:sz w:val="22"/>
          <w:szCs w:val="22"/>
        </w:rPr>
        <w:t>Seoighe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IGZhY2U9Iml0YWxpYyI+MTM8L3N0eWxlPik8L0Rpc3BsYXlUZXh0PjxyZWNvcmQ+PHJlYy1udW1i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604E83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IGZhY2U9Iml0YWxpYyI+MTM8L3N0eWxlPik8L0Rpc3BsYXlUZXh0PjxyZWNvcmQ+PHJlYy1udW1i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604E83">
        <w:rPr>
          <w:rFonts w:ascii="Times New Roman" w:hAnsi="Times New Roman" w:cs="Times New Roman"/>
          <w:sz w:val="22"/>
          <w:szCs w:val="22"/>
        </w:rPr>
      </w:r>
      <w:r w:rsidR="00604E83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3" w:tooltip="Seoighe, 2007 #26476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13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non-time-reversible model for evolution that allows a different rate of evolution to a specified optimal amino acid. </w:t>
      </w:r>
      <w:proofErr w:type="spellStart"/>
      <w:r>
        <w:rPr>
          <w:rFonts w:ascii="Times New Roman" w:hAnsi="Times New Roman" w:cs="Times New Roman"/>
          <w:sz w:val="22"/>
          <w:szCs w:val="22"/>
        </w:rPr>
        <w:t>Kosakovsky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Pond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Pig8c3R5bGUgZmFjZT0iaXRhbGljIj4xNDwvc3R5bGU+KTwvRGlzcGxheVRleHQ+PHJlY29yZD48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604E83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Pig8c3R5bGUgZmFjZT0iaXRhbGljIj4xNDwvc3R5bGU+KTwvRGlzcGxheVRleHQ+PHJlY29yZD48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604E83">
        <w:rPr>
          <w:rFonts w:ascii="Times New Roman" w:hAnsi="Times New Roman" w:cs="Times New Roman"/>
          <w:sz w:val="22"/>
          <w:szCs w:val="22"/>
        </w:rPr>
      </w:r>
      <w:r w:rsidR="00604E83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4" w:tooltip="Kosakovsky Pond, 2008 #26477" w:history="1">
        <w:r w:rsidR="00604E83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14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model based on this that also allows biased substitutions towards an optimal amino acid. </w:t>
      </w:r>
      <w:r w:rsidR="00604E83">
        <w:rPr>
          <w:rFonts w:ascii="Times New Roman" w:hAnsi="Times New Roman" w:cs="Times New Roman"/>
          <w:sz w:val="22"/>
          <w:szCs w:val="22"/>
        </w:rPr>
        <w:t xml:space="preserve">Amino acid models </w:t>
      </w:r>
      <w:r w:rsidR="00197A5F">
        <w:rPr>
          <w:rFonts w:ascii="Times New Roman" w:hAnsi="Times New Roman" w:cs="Times New Roman"/>
          <w:sz w:val="22"/>
          <w:szCs w:val="22"/>
        </w:rPr>
        <w:t xml:space="preserve">are used less frequently for phylogenetic inference but typically share this assumption that </w:t>
      </w:r>
      <w:r w:rsidR="00942FAE">
        <w:rPr>
          <w:rFonts w:ascii="Times New Roman" w:hAnsi="Times New Roman" w:cs="Times New Roman"/>
          <w:sz w:val="22"/>
          <w:szCs w:val="22"/>
        </w:rPr>
        <w:t xml:space="preserve">the rate of going from amino acid </w:t>
      </w:r>
      <w:proofErr w:type="spellStart"/>
      <w:r w:rsidR="00942FAE"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 w:rsidR="00942FA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42FAE">
        <w:rPr>
          <w:rFonts w:ascii="Times New Roman" w:hAnsi="Times New Roman" w:cs="Times New Roman"/>
          <w:sz w:val="22"/>
          <w:szCs w:val="22"/>
        </w:rPr>
        <w:t xml:space="preserve">to amino acid </w:t>
      </w:r>
      <w:r w:rsidR="00942FAE">
        <w:rPr>
          <w:rFonts w:ascii="Times New Roman" w:hAnsi="Times New Roman" w:cs="Times New Roman"/>
          <w:i/>
          <w:sz w:val="22"/>
          <w:szCs w:val="22"/>
        </w:rPr>
        <w:t>j</w:t>
      </w:r>
      <w:r w:rsidR="00942FAE">
        <w:rPr>
          <w:rFonts w:ascii="Times New Roman" w:hAnsi="Times New Roman" w:cs="Times New Roman"/>
          <w:sz w:val="22"/>
          <w:szCs w:val="22"/>
        </w:rPr>
        <w:t xml:space="preserve"> equals the reverse rate. </w:t>
      </w:r>
      <w:r w:rsidR="00B54AC4">
        <w:rPr>
          <w:rFonts w:ascii="Times New Roman" w:hAnsi="Times New Roman" w:cs="Times New Roman"/>
          <w:sz w:val="22"/>
          <w:szCs w:val="22"/>
        </w:rPr>
        <w:t>Many of these matrices are fit once from empirical data (PAM</w:t>
      </w:r>
      <w:proofErr w:type="gramStart"/>
      <w:r w:rsidR="00B54AC4">
        <w:rPr>
          <w:rFonts w:ascii="Times New Roman" w:hAnsi="Times New Roman" w:cs="Times New Roman"/>
          <w:sz w:val="22"/>
          <w:szCs w:val="22"/>
        </w:rPr>
        <w:t>,  BLOSSUM</w:t>
      </w:r>
      <w:proofErr w:type="gramEnd"/>
      <w:r w:rsidR="00B54AC4">
        <w:rPr>
          <w:rFonts w:ascii="Times New Roman" w:hAnsi="Times New Roman" w:cs="Times New Roman"/>
          <w:sz w:val="22"/>
          <w:szCs w:val="22"/>
        </w:rPr>
        <w:t xml:space="preserve">________); some are estimated anew from each dataset (______), but these all share this symmetry assumption. Another assumption is that sites in a given, usually </w:t>
      </w:r>
      <w:proofErr w:type="spellStart"/>
      <w:r w:rsidR="00B54AC4">
        <w:rPr>
          <w:rFonts w:ascii="Times New Roman" w:hAnsi="Times New Roman" w:cs="Times New Roman"/>
          <w:sz w:val="22"/>
          <w:szCs w:val="22"/>
        </w:rPr>
        <w:t>prespecified</w:t>
      </w:r>
      <w:proofErr w:type="spellEnd"/>
      <w:r w:rsidR="00B54AC4">
        <w:rPr>
          <w:rFonts w:ascii="Times New Roman" w:hAnsi="Times New Roman" w:cs="Times New Roman"/>
          <w:sz w:val="22"/>
          <w:szCs w:val="22"/>
        </w:rPr>
        <w:t xml:space="preserve"> set, share a transition matrix</w:t>
      </w:r>
      <w:r w:rsidR="001511A2">
        <w:rPr>
          <w:rFonts w:ascii="Times New Roman" w:hAnsi="Times New Roman" w:cs="Times New Roman"/>
          <w:sz w:val="22"/>
          <w:szCs w:val="22"/>
        </w:rPr>
        <w:t xml:space="preserve">. This is relaxed in some models by summing likelihoods across multiple matrices differing by scaling (__gamma___)__ or individual rates (PAGEL____), or by </w:t>
      </w:r>
      <w:proofErr w:type="gramStart"/>
      <w:r w:rsidR="001511A2">
        <w:rPr>
          <w:rFonts w:ascii="Times New Roman" w:hAnsi="Times New Roman" w:cs="Times New Roman"/>
          <w:sz w:val="22"/>
          <w:szCs w:val="22"/>
        </w:rPr>
        <w:t>site specific</w:t>
      </w:r>
      <w:proofErr w:type="gramEnd"/>
      <w:r w:rsidR="001511A2">
        <w:rPr>
          <w:rFonts w:ascii="Times New Roman" w:hAnsi="Times New Roman" w:cs="Times New Roman"/>
          <w:sz w:val="22"/>
          <w:szCs w:val="22"/>
        </w:rPr>
        <w:t xml:space="preserve"> models. Many models also describe patterns without getting at the underlying process. Here we develop a family of amino acid models that mechanistically include drift, nucleotide mutation, and selection on amino acids. These models fit far better than do competing models based on model selection, do a better job predicting data, and </w:t>
      </w:r>
      <w:bookmarkStart w:id="0" w:name="_GoBack"/>
      <w:bookmarkEnd w:id="0"/>
    </w:p>
    <w:p w14:paraId="07A981B5" w14:textId="77777777" w:rsidR="00604E83" w:rsidRDefault="00604E83">
      <w:pPr>
        <w:rPr>
          <w:b/>
        </w:rPr>
      </w:pPr>
    </w:p>
    <w:p w14:paraId="0CE1A4EB" w14:textId="77777777" w:rsidR="00604E83" w:rsidRDefault="00604E83">
      <w:pPr>
        <w:rPr>
          <w:b/>
        </w:rPr>
      </w:pPr>
    </w:p>
    <w:p w14:paraId="47808CA2" w14:textId="77777777" w:rsidR="00604E83" w:rsidRDefault="00604E83" w:rsidP="00604E83">
      <w:pPr>
        <w:ind w:left="720" w:hanging="720"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>
        <w:rPr>
          <w:b/>
          <w:noProof/>
        </w:rPr>
        <w:t>1.</w:t>
      </w:r>
      <w:r>
        <w:rPr>
          <w:b/>
          <w:noProof/>
        </w:rPr>
        <w:tab/>
        <w:t xml:space="preserve">W. H. Li, Maintenance of genetic variability under the joint effect of mutation, selection and random drift. </w:t>
      </w:r>
      <w:r w:rsidRPr="00604E83">
        <w:rPr>
          <w:b/>
          <w:i/>
          <w:noProof/>
        </w:rPr>
        <w:t>Genetics</w:t>
      </w:r>
      <w:r>
        <w:rPr>
          <w:b/>
          <w:noProof/>
        </w:rPr>
        <w:t xml:space="preserve"> 90, 349 (1978).</w:t>
      </w:r>
      <w:bookmarkEnd w:id="1"/>
    </w:p>
    <w:p w14:paraId="29A004B6" w14:textId="77777777" w:rsidR="00604E83" w:rsidRDefault="00604E83" w:rsidP="00604E83">
      <w:pPr>
        <w:ind w:left="720" w:hanging="720"/>
        <w:rPr>
          <w:b/>
          <w:noProof/>
        </w:rPr>
      </w:pPr>
      <w:bookmarkStart w:id="2" w:name="_ENREF_2"/>
      <w:r>
        <w:rPr>
          <w:b/>
          <w:noProof/>
        </w:rPr>
        <w:t>2.</w:t>
      </w:r>
      <w:r>
        <w:rPr>
          <w:b/>
          <w:noProof/>
        </w:rPr>
        <w:tab/>
        <w:t xml:space="preserve">M. Kimura, J. F. Crow, The number of alleles that can be maintained in a finite population. </w:t>
      </w:r>
      <w:r w:rsidRPr="00604E83">
        <w:rPr>
          <w:b/>
          <w:i/>
          <w:noProof/>
        </w:rPr>
        <w:t>Genetics</w:t>
      </w:r>
      <w:r>
        <w:rPr>
          <w:b/>
          <w:noProof/>
        </w:rPr>
        <w:t xml:space="preserve"> 49, 725 (1964).</w:t>
      </w:r>
      <w:bookmarkEnd w:id="2"/>
    </w:p>
    <w:p w14:paraId="7AE17622" w14:textId="77777777" w:rsidR="00604E83" w:rsidRDefault="00604E83" w:rsidP="00604E83">
      <w:pPr>
        <w:ind w:left="720" w:hanging="720"/>
        <w:rPr>
          <w:b/>
          <w:noProof/>
        </w:rPr>
      </w:pPr>
      <w:bookmarkStart w:id="3" w:name="_ENREF_3"/>
      <w:r>
        <w:rPr>
          <w:b/>
          <w:noProof/>
        </w:rPr>
        <w:t>3.</w:t>
      </w:r>
      <w:r>
        <w:rPr>
          <w:b/>
          <w:noProof/>
        </w:rPr>
        <w:tab/>
        <w:t xml:space="preserve">N. Goldman, Z. H. Yang, Codon-Based Model of Nucleotide Substitution for Protein-Coding DNA-Sequences.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11, 725 (Sep, 1994).</w:t>
      </w:r>
      <w:bookmarkEnd w:id="3"/>
    </w:p>
    <w:p w14:paraId="367DE326" w14:textId="77777777" w:rsidR="00604E83" w:rsidRDefault="00604E83" w:rsidP="00604E83">
      <w:pPr>
        <w:ind w:left="720" w:hanging="720"/>
        <w:rPr>
          <w:b/>
          <w:noProof/>
        </w:rPr>
      </w:pPr>
      <w:bookmarkStart w:id="4" w:name="_ENREF_4"/>
      <w:r>
        <w:rPr>
          <w:b/>
          <w:noProof/>
        </w:rPr>
        <w:t>4.</w:t>
      </w:r>
      <w:r>
        <w:rPr>
          <w:b/>
          <w:noProof/>
        </w:rPr>
        <w:tab/>
        <w:t xml:space="preserve">Z. H. Yang, W. J. Swanson, Codon-substitution models to detect adaptive evolution that account for heterogeneous selective pressures among site classes.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49 (Jan, 2002).</w:t>
      </w:r>
      <w:bookmarkEnd w:id="4"/>
    </w:p>
    <w:p w14:paraId="167FF8C2" w14:textId="77777777" w:rsidR="00604E83" w:rsidRDefault="00604E83" w:rsidP="00604E83">
      <w:pPr>
        <w:ind w:left="720" w:hanging="720"/>
        <w:rPr>
          <w:b/>
          <w:noProof/>
        </w:rPr>
      </w:pPr>
      <w:bookmarkStart w:id="5" w:name="_ENREF_5"/>
      <w:r>
        <w:rPr>
          <w:b/>
          <w:noProof/>
        </w:rPr>
        <w:t>5.</w:t>
      </w:r>
      <w:r>
        <w:rPr>
          <w:b/>
          <w:noProof/>
        </w:rPr>
        <w:tab/>
        <w:t xml:space="preserve">Z. H. Yang, R. Nielsen, Codon-substitution models for detecting molecular adaptation at individual sites along specific lineages.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908 (Jun, 2002).</w:t>
      </w:r>
      <w:bookmarkEnd w:id="5"/>
    </w:p>
    <w:p w14:paraId="4676D6AF" w14:textId="77777777" w:rsidR="00604E83" w:rsidRDefault="00604E83" w:rsidP="00604E83">
      <w:pPr>
        <w:ind w:left="720" w:hanging="720"/>
        <w:rPr>
          <w:b/>
          <w:noProof/>
        </w:rPr>
      </w:pPr>
      <w:bookmarkStart w:id="6" w:name="_ENREF_6"/>
      <w:r>
        <w:rPr>
          <w:b/>
          <w:noProof/>
        </w:rPr>
        <w:lastRenderedPageBreak/>
        <w:t>6.</w:t>
      </w:r>
      <w:r>
        <w:rPr>
          <w:b/>
          <w:noProof/>
        </w:rPr>
        <w:tab/>
        <w:t xml:space="preserve">Z. H. Yang, R. Nielsen, N. Goldman, A. M. K. Pedersen, Codon-substitution models for heterogeneous selection pressure at amino acid sites. </w:t>
      </w:r>
      <w:r w:rsidRPr="00604E83">
        <w:rPr>
          <w:b/>
          <w:i/>
          <w:noProof/>
        </w:rPr>
        <w:t>Genetics</w:t>
      </w:r>
      <w:r>
        <w:rPr>
          <w:b/>
          <w:noProof/>
        </w:rPr>
        <w:t xml:space="preserve"> 155, 431 (May, 2000).</w:t>
      </w:r>
      <w:bookmarkEnd w:id="6"/>
    </w:p>
    <w:p w14:paraId="5816D7DB" w14:textId="77777777" w:rsidR="00604E83" w:rsidRDefault="00604E83" w:rsidP="00604E83">
      <w:pPr>
        <w:ind w:left="720" w:hanging="720"/>
        <w:rPr>
          <w:b/>
          <w:noProof/>
        </w:rPr>
      </w:pPr>
      <w:bookmarkStart w:id="7" w:name="_ENREF_7"/>
      <w:r>
        <w:rPr>
          <w:b/>
          <w:noProof/>
        </w:rPr>
        <w:t>7.</w:t>
      </w:r>
      <w:r>
        <w:rPr>
          <w:b/>
          <w:noProof/>
        </w:rPr>
        <w:tab/>
        <w:t xml:space="preserve">R. Nielsen, Z. H. Yang, Likelihood models for detecting positively selected amino acid sites and applications to the HIV-1 envelope gene. </w:t>
      </w:r>
      <w:r w:rsidRPr="00604E83">
        <w:rPr>
          <w:b/>
          <w:i/>
          <w:noProof/>
        </w:rPr>
        <w:t>Genetics</w:t>
      </w:r>
      <w:r>
        <w:rPr>
          <w:b/>
          <w:noProof/>
        </w:rPr>
        <w:t xml:space="preserve"> 148, 929 (Mar, 1998).</w:t>
      </w:r>
      <w:bookmarkEnd w:id="7"/>
    </w:p>
    <w:p w14:paraId="7F63D60E" w14:textId="77777777" w:rsidR="00604E83" w:rsidRDefault="00604E83" w:rsidP="00604E83">
      <w:pPr>
        <w:ind w:left="720" w:hanging="720"/>
        <w:rPr>
          <w:b/>
          <w:noProof/>
        </w:rPr>
      </w:pPr>
      <w:bookmarkStart w:id="8" w:name="_ENREF_8"/>
      <w:r>
        <w:rPr>
          <w:b/>
          <w:noProof/>
        </w:rPr>
        <w:t>8.</w:t>
      </w:r>
      <w:r>
        <w:rPr>
          <w:b/>
          <w:noProof/>
        </w:rPr>
        <w:tab/>
        <w:t xml:space="preserve">Z. Yang, R. Nielsen, Mutation-selection models of codon substitution and their use to estimate selective strengths on codon usage.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568 (Mar, 2008).</w:t>
      </w:r>
      <w:bookmarkEnd w:id="8"/>
    </w:p>
    <w:p w14:paraId="3417CDB3" w14:textId="77777777" w:rsidR="00604E83" w:rsidRDefault="00604E83" w:rsidP="00604E83">
      <w:pPr>
        <w:ind w:left="720" w:hanging="720"/>
        <w:rPr>
          <w:b/>
          <w:noProof/>
        </w:rPr>
      </w:pPr>
      <w:bookmarkStart w:id="9" w:name="_ENREF_9"/>
      <w:r>
        <w:rPr>
          <w:b/>
          <w:noProof/>
        </w:rPr>
        <w:t>9.</w:t>
      </w:r>
      <w:r>
        <w:rPr>
          <w:b/>
          <w:noProof/>
        </w:rPr>
        <w:tab/>
        <w:t xml:space="preserve">S. Miyazawa, Selective Constraints on Amino Acids Estimated by a Mechanistic Codon Substitution Model with Multiple Nucleotide Changes. </w:t>
      </w:r>
      <w:r w:rsidRPr="00604E83">
        <w:rPr>
          <w:b/>
          <w:i/>
          <w:noProof/>
        </w:rPr>
        <w:t>PLoS ONE</w:t>
      </w:r>
      <w:r>
        <w:rPr>
          <w:b/>
          <w:noProof/>
        </w:rPr>
        <w:t xml:space="preserve"> 6,  (Mar 18, 2011).</w:t>
      </w:r>
      <w:bookmarkEnd w:id="9"/>
    </w:p>
    <w:p w14:paraId="103B1430" w14:textId="77777777" w:rsidR="00604E83" w:rsidRDefault="00604E83" w:rsidP="00604E83">
      <w:pPr>
        <w:ind w:left="720" w:hanging="720"/>
        <w:rPr>
          <w:b/>
          <w:noProof/>
        </w:rPr>
      </w:pPr>
      <w:bookmarkStart w:id="10" w:name="_ENREF_10"/>
      <w:r>
        <w:rPr>
          <w:b/>
          <w:noProof/>
        </w:rPr>
        <w:t>10.</w:t>
      </w:r>
      <w:r>
        <w:rPr>
          <w:b/>
          <w:noProof/>
        </w:rPr>
        <w:tab/>
        <w:t xml:space="preserve">C. Kosiol, I. Holmes, N. Goldman, An empirical codon model for protein sequence evolution.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1464 (Jul, 2007).</w:t>
      </w:r>
      <w:bookmarkEnd w:id="10"/>
    </w:p>
    <w:p w14:paraId="458225D7" w14:textId="77777777" w:rsidR="00604E83" w:rsidRDefault="00604E83" w:rsidP="00604E83">
      <w:pPr>
        <w:ind w:left="720" w:hanging="720"/>
        <w:rPr>
          <w:b/>
          <w:noProof/>
        </w:rPr>
      </w:pPr>
      <w:bookmarkStart w:id="11" w:name="_ENREF_11"/>
      <w:r>
        <w:rPr>
          <w:b/>
          <w:noProof/>
        </w:rPr>
        <w:t>11.</w:t>
      </w:r>
      <w:r>
        <w:rPr>
          <w:b/>
          <w:noProof/>
        </w:rPr>
        <w:tab/>
        <w:t xml:space="preserve">A. Schneider, G. M. Cannarozzi, G. H. Gonnet, Empirical codon substitution matrix. </w:t>
      </w:r>
      <w:r w:rsidRPr="00604E83">
        <w:rPr>
          <w:b/>
          <w:i/>
          <w:noProof/>
        </w:rPr>
        <w:t>BMC bioinformatics</w:t>
      </w:r>
      <w:r>
        <w:rPr>
          <w:b/>
          <w:noProof/>
        </w:rPr>
        <w:t xml:space="preserve"> 6, 134 (2005).</w:t>
      </w:r>
      <w:bookmarkEnd w:id="11"/>
    </w:p>
    <w:p w14:paraId="2CF28FFC" w14:textId="77777777" w:rsidR="00604E83" w:rsidRDefault="00604E83" w:rsidP="00604E83">
      <w:pPr>
        <w:ind w:left="720" w:hanging="720"/>
        <w:rPr>
          <w:b/>
          <w:noProof/>
        </w:rPr>
      </w:pPr>
      <w:bookmarkStart w:id="12" w:name="_ENREF_12"/>
      <w:r>
        <w:rPr>
          <w:b/>
          <w:noProof/>
        </w:rPr>
        <w:t>12.</w:t>
      </w:r>
      <w:r>
        <w:rPr>
          <w:b/>
          <w:noProof/>
        </w:rPr>
        <w:tab/>
        <w:t xml:space="preserve">A. Doron-Faigenboim, T. Pupko, A combined empirical and mechanistic codon model.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388 (Feb, 2007).</w:t>
      </w:r>
      <w:bookmarkEnd w:id="12"/>
    </w:p>
    <w:p w14:paraId="708A7915" w14:textId="77777777" w:rsidR="00604E83" w:rsidRDefault="00604E83" w:rsidP="00604E83">
      <w:pPr>
        <w:ind w:left="720" w:hanging="720"/>
        <w:rPr>
          <w:b/>
          <w:noProof/>
        </w:rPr>
      </w:pPr>
      <w:bookmarkStart w:id="13" w:name="_ENREF_13"/>
      <w:r>
        <w:rPr>
          <w:b/>
          <w:noProof/>
        </w:rPr>
        <w:t>13.</w:t>
      </w:r>
      <w:r>
        <w:rPr>
          <w:b/>
          <w:noProof/>
        </w:rPr>
        <w:tab/>
        <w:t>C. Seoighe</w:t>
      </w:r>
      <w:r w:rsidRPr="00604E83">
        <w:rPr>
          <w:b/>
          <w:i/>
          <w:noProof/>
        </w:rPr>
        <w:t xml:space="preserve"> et al.</w:t>
      </w:r>
      <w:r>
        <w:rPr>
          <w:b/>
          <w:noProof/>
        </w:rPr>
        <w:t xml:space="preserve">, A Model of Directional Selection Applied to the Evolution of Drug Resistance in HIV-1.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1025 (2007).</w:t>
      </w:r>
      <w:bookmarkEnd w:id="13"/>
    </w:p>
    <w:p w14:paraId="0B53FFDC" w14:textId="77777777" w:rsidR="00604E83" w:rsidRDefault="00604E83" w:rsidP="00604E83">
      <w:pPr>
        <w:ind w:left="720" w:hanging="720"/>
        <w:rPr>
          <w:b/>
          <w:noProof/>
        </w:rPr>
      </w:pPr>
      <w:bookmarkStart w:id="14" w:name="_ENREF_14"/>
      <w:r>
        <w:rPr>
          <w:b/>
          <w:noProof/>
        </w:rPr>
        <w:t>14.</w:t>
      </w:r>
      <w:r>
        <w:rPr>
          <w:b/>
          <w:noProof/>
        </w:rPr>
        <w:tab/>
        <w:t xml:space="preserve">S. L. Kosakovsky Pond, A. F. Y. Poon, A. J. Leigh Brown, S. D. W. Frost, A Maximum Likelihood Method for Detecting Directional Evolution in Protein Sequences and Its Application to Influenza A Virus. </w:t>
      </w:r>
      <w:r w:rsidRPr="00604E83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1809 (2008).</w:t>
      </w:r>
      <w:bookmarkEnd w:id="14"/>
    </w:p>
    <w:p w14:paraId="308B5DAF" w14:textId="77777777" w:rsidR="00604E83" w:rsidRDefault="00604E83" w:rsidP="00604E83">
      <w:pPr>
        <w:rPr>
          <w:b/>
          <w:noProof/>
        </w:rPr>
      </w:pPr>
    </w:p>
    <w:p w14:paraId="6D95D657" w14:textId="77777777" w:rsidR="000B61BF" w:rsidRPr="000B61BF" w:rsidRDefault="00604E83">
      <w:pPr>
        <w:rPr>
          <w:b/>
        </w:rPr>
      </w:pPr>
      <w:r>
        <w:rPr>
          <w:b/>
        </w:rPr>
        <w:fldChar w:fldCharType="end"/>
      </w:r>
    </w:p>
    <w:sectPr w:rsidR="000B61BF" w:rsidRPr="000B61BF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90fw9tzn52tt5e2dzm5edtsxv0se9dpzf9z&quot;&gt;OMeara6&lt;record-ids&gt;&lt;item&gt;22079&lt;/item&gt;&lt;item&gt;26371&lt;/item&gt;&lt;item&gt;26372&lt;/item&gt;&lt;item&gt;26375&lt;/item&gt;&lt;item&gt;26382&lt;/item&gt;&lt;item&gt;26399&lt;/item&gt;&lt;item&gt;26417&lt;/item&gt;&lt;item&gt;26420&lt;/item&gt;&lt;item&gt;26421&lt;/item&gt;&lt;item&gt;26431&lt;/item&gt;&lt;item&gt;26476&lt;/item&gt;&lt;item&gt;26477&lt;/item&gt;&lt;item&gt;26576&lt;/item&gt;&lt;item&gt;26577&lt;/item&gt;&lt;/record-ids&gt;&lt;/item&gt;&lt;/Libraries&gt;"/>
  </w:docVars>
  <w:rsids>
    <w:rsidRoot w:val="000B61BF"/>
    <w:rsid w:val="00040A75"/>
    <w:rsid w:val="000B61BF"/>
    <w:rsid w:val="000F546E"/>
    <w:rsid w:val="001511A2"/>
    <w:rsid w:val="0018199F"/>
    <w:rsid w:val="00197A5F"/>
    <w:rsid w:val="00604E83"/>
    <w:rsid w:val="007D25F2"/>
    <w:rsid w:val="00942FAE"/>
    <w:rsid w:val="00975D05"/>
    <w:rsid w:val="00B54AC4"/>
    <w:rsid w:val="00B61C99"/>
    <w:rsid w:val="00DF1A81"/>
    <w:rsid w:val="00EB6E4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075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1520</Words>
  <Characters>8664</Characters>
  <Application>Microsoft Macintosh Word</Application>
  <DocSecurity>0</DocSecurity>
  <Lines>72</Lines>
  <Paragraphs>20</Paragraphs>
  <ScaleCrop>false</ScaleCrop>
  <Company>University of Tennessee</Company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2</cp:revision>
  <dcterms:created xsi:type="dcterms:W3CDTF">2013-05-14T15:24:00Z</dcterms:created>
  <dcterms:modified xsi:type="dcterms:W3CDTF">2013-05-14T19:12:00Z</dcterms:modified>
</cp:coreProperties>
</file>