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BA1" w:rsidRDefault="00AA49D4" w:rsidP="00196902">
      <w:pPr>
        <w:pStyle w:val="PaperTitle"/>
        <w:spacing w:line="480" w:lineRule="auto"/>
        <w:rPr>
          <w:lang w:val="en-US"/>
        </w:rPr>
      </w:pPr>
      <w:r>
        <w:rPr>
          <w:lang w:val="en-US"/>
        </w:rPr>
        <w:t>Portfolio</w:t>
      </w:r>
      <w:r w:rsidR="00667B09">
        <w:rPr>
          <w:lang w:val="en-US"/>
        </w:rPr>
        <w:t xml:space="preserve"> Optimization with Conditional Value-at-Risk Budgets</w:t>
      </w:r>
      <w:r w:rsidR="00B136B3">
        <w:rPr>
          <w:rStyle w:val="FootnoteReference"/>
          <w:lang w:val="en-US"/>
        </w:rPr>
        <w:footnoteReference w:id="1"/>
      </w:r>
      <w:r w:rsidR="000D4DFB">
        <w:rPr>
          <w:lang w:val="en-US"/>
        </w:rPr>
        <w:t xml:space="preserve"> </w:t>
      </w:r>
    </w:p>
    <w:p w:rsidR="00BC56C2" w:rsidRDefault="00BC56C2" w:rsidP="00196902">
      <w:pPr>
        <w:pStyle w:val="PaperAuthor"/>
        <w:spacing w:line="480" w:lineRule="auto"/>
        <w:jc w:val="both"/>
        <w:rPr>
          <w:vertAlign w:val="superscript"/>
          <w:lang w:val="en-US"/>
        </w:rPr>
      </w:pPr>
      <w:r>
        <w:rPr>
          <w:lang w:val="en-US"/>
        </w:rPr>
        <w:t>Kris Boudt</w:t>
      </w:r>
      <w:r>
        <w:rPr>
          <w:vertAlign w:val="superscript"/>
          <w:lang w:val="en-US"/>
        </w:rPr>
        <w:t>a</w:t>
      </w:r>
      <w:r>
        <w:rPr>
          <w:vertAlign w:val="superscript"/>
          <w:lang w:val="en-US"/>
        </w:rPr>
        <w:tab/>
      </w:r>
      <w:r>
        <w:rPr>
          <w:vertAlign w:val="superscript"/>
          <w:lang w:val="en-US"/>
        </w:rPr>
        <w:tab/>
      </w:r>
      <w:r w:rsidR="00267225">
        <w:rPr>
          <w:vertAlign w:val="superscript"/>
          <w:lang w:val="en-US"/>
        </w:rPr>
        <w:t xml:space="preserve">  </w:t>
      </w:r>
      <w:r>
        <w:rPr>
          <w:vertAlign w:val="superscript"/>
          <w:lang w:val="en-US"/>
        </w:rPr>
        <w:tab/>
        <w:t xml:space="preserve">       </w:t>
      </w:r>
      <w:r w:rsidR="00267225">
        <w:rPr>
          <w:vertAlign w:val="superscript"/>
          <w:lang w:val="en-US"/>
        </w:rPr>
        <w:tab/>
      </w:r>
      <w:r>
        <w:rPr>
          <w:lang w:val="en-US"/>
        </w:rPr>
        <w:t>Peter Carl</w:t>
      </w:r>
      <w:r>
        <w:rPr>
          <w:vertAlign w:val="superscript"/>
          <w:lang w:val="en-US"/>
        </w:rPr>
        <w:t>b</w:t>
      </w:r>
      <w:r>
        <w:rPr>
          <w:lang w:val="en-US"/>
        </w:rPr>
        <w:t xml:space="preserve">   </w:t>
      </w:r>
      <w:r>
        <w:rPr>
          <w:lang w:val="en-US"/>
        </w:rPr>
        <w:tab/>
      </w:r>
      <w:r>
        <w:rPr>
          <w:lang w:val="en-US"/>
        </w:rPr>
        <w:tab/>
      </w:r>
      <w:r w:rsidR="00267225">
        <w:rPr>
          <w:lang w:val="en-US"/>
        </w:rPr>
        <w:tab/>
      </w:r>
      <w:r>
        <w:rPr>
          <w:lang w:val="en-US"/>
        </w:rPr>
        <w:tab/>
        <w:t>Brian G. Peterson</w:t>
      </w:r>
      <w:r>
        <w:rPr>
          <w:vertAlign w:val="superscript"/>
          <w:lang w:val="en-US"/>
        </w:rPr>
        <w:t>c</w:t>
      </w:r>
    </w:p>
    <w:p w:rsidR="00C91ED7" w:rsidRDefault="00C91ED7" w:rsidP="00196902">
      <w:pPr>
        <w:pStyle w:val="PaperAffliation"/>
        <w:spacing w:line="480" w:lineRule="auto"/>
        <w:jc w:val="both"/>
        <w:rPr>
          <w:vertAlign w:val="superscript"/>
          <w:lang w:val="en-US"/>
        </w:rPr>
      </w:pPr>
    </w:p>
    <w:p w:rsidR="00267225" w:rsidRPr="009F1CB6" w:rsidRDefault="00BC56C2" w:rsidP="00196902">
      <w:pPr>
        <w:pStyle w:val="PaperAffliation"/>
        <w:spacing w:line="480" w:lineRule="auto"/>
        <w:jc w:val="both"/>
        <w:rPr>
          <w:lang w:val="en-US"/>
        </w:rPr>
      </w:pPr>
      <w:r w:rsidRPr="009F1CB6">
        <w:rPr>
          <w:vertAlign w:val="superscript"/>
          <w:lang w:val="en-US"/>
        </w:rPr>
        <w:t>a</w:t>
      </w:r>
      <w:r w:rsidRPr="009F1CB6">
        <w:rPr>
          <w:lang w:val="en-US"/>
        </w:rPr>
        <w:t>K</w:t>
      </w:r>
      <w:r w:rsidR="00867632" w:rsidRPr="009F1CB6">
        <w:rPr>
          <w:lang w:val="en-US"/>
        </w:rPr>
        <w:t>.U.Leuven and Lessius</w:t>
      </w:r>
      <w:r w:rsidRPr="009F1CB6">
        <w:rPr>
          <w:lang w:val="en-US"/>
        </w:rPr>
        <w:t xml:space="preserve">, Naamsestraat 69, 3000 Leuven, Belgium. </w:t>
      </w:r>
    </w:p>
    <w:p w:rsidR="00BC56C2" w:rsidRDefault="00BC56C2" w:rsidP="00196902">
      <w:pPr>
        <w:pStyle w:val="PaperAffliation"/>
        <w:spacing w:line="480" w:lineRule="auto"/>
        <w:jc w:val="both"/>
        <w:rPr>
          <w:lang w:val="en-US"/>
        </w:rPr>
      </w:pPr>
      <w:r>
        <w:rPr>
          <w:lang w:val="en-US"/>
        </w:rPr>
        <w:t xml:space="preserve">Email: </w:t>
      </w:r>
      <w:r w:rsidRPr="00442C4D">
        <w:rPr>
          <w:lang w:val="en-US"/>
        </w:rPr>
        <w:t>kris.boudt@econ.kuleuven.be</w:t>
      </w:r>
      <w:r>
        <w:rPr>
          <w:lang w:val="en-US"/>
        </w:rPr>
        <w:t xml:space="preserve">  </w:t>
      </w:r>
    </w:p>
    <w:p w:rsidR="00BC56C2" w:rsidRPr="009660DA" w:rsidRDefault="00BC56C2" w:rsidP="00196902">
      <w:pPr>
        <w:pStyle w:val="PaperAffliation"/>
        <w:spacing w:line="480" w:lineRule="auto"/>
        <w:jc w:val="both"/>
        <w:rPr>
          <w:lang w:val="en-US"/>
        </w:rPr>
      </w:pPr>
      <w:r>
        <w:rPr>
          <w:vertAlign w:val="superscript"/>
          <w:lang w:val="en-US"/>
        </w:rPr>
        <w:t>b</w:t>
      </w:r>
      <w:r>
        <w:rPr>
          <w:lang w:val="en-US"/>
        </w:rPr>
        <w:t>Guidance Capital Managemen</w:t>
      </w:r>
      <w:r w:rsidR="001D483C">
        <w:rPr>
          <w:lang w:val="en-US"/>
        </w:rPr>
        <w:t>t, Chicago</w:t>
      </w:r>
      <w:r w:rsidR="001D6840">
        <w:rPr>
          <w:lang w:val="en-US"/>
        </w:rPr>
        <w:t>, IL</w:t>
      </w:r>
      <w:r>
        <w:rPr>
          <w:lang w:val="en-US"/>
        </w:rPr>
        <w:t xml:space="preserve">. Email: </w:t>
      </w:r>
      <w:r w:rsidRPr="009660DA">
        <w:rPr>
          <w:lang w:val="en-US"/>
        </w:rPr>
        <w:t>pcarl@gsb.uchicago.edu</w:t>
      </w:r>
    </w:p>
    <w:p w:rsidR="00BC56C2" w:rsidRDefault="00BC56C2" w:rsidP="00196902">
      <w:pPr>
        <w:pStyle w:val="PaperAffliation"/>
        <w:spacing w:line="480" w:lineRule="auto"/>
        <w:jc w:val="both"/>
      </w:pPr>
      <w:r>
        <w:rPr>
          <w:vertAlign w:val="superscript"/>
          <w:lang w:val="en-US"/>
        </w:rPr>
        <w:t>c</w:t>
      </w:r>
      <w:r w:rsidR="000E376B">
        <w:t>Cheiron</w:t>
      </w:r>
      <w:r w:rsidR="00C25F08">
        <w:t xml:space="preserve"> Trading</w:t>
      </w:r>
      <w:r w:rsidR="00B33679">
        <w:t xml:space="preserve">, Chicago, IL. </w:t>
      </w:r>
      <w:r>
        <w:t>Email: brian@braverock.com</w:t>
      </w:r>
    </w:p>
    <w:p w:rsidR="000D4DFB" w:rsidRPr="000D4DFB" w:rsidRDefault="000D4DFB" w:rsidP="000D4DFB"/>
    <w:tbl>
      <w:tblPr>
        <w:tblW w:w="9199" w:type="dxa"/>
        <w:tblLook w:val="01E0"/>
      </w:tblPr>
      <w:tblGrid>
        <w:gridCol w:w="1108"/>
        <w:gridCol w:w="8091"/>
      </w:tblGrid>
      <w:tr w:rsidR="000D4DFB" w:rsidRPr="00CD448D" w:rsidTr="004D275A">
        <w:trPr>
          <w:trHeight w:val="1285"/>
        </w:trPr>
        <w:tc>
          <w:tcPr>
            <w:tcW w:w="1108" w:type="dxa"/>
          </w:tcPr>
          <w:p w:rsidR="000D4DFB" w:rsidRPr="00CD448D" w:rsidRDefault="000D4DFB" w:rsidP="00CD3D46">
            <w:pPr>
              <w:spacing w:line="480" w:lineRule="auto"/>
              <w:rPr>
                <w:lang w:val="en-US"/>
              </w:rPr>
            </w:pPr>
            <w:r>
              <w:br w:type="page"/>
            </w:r>
          </w:p>
        </w:tc>
        <w:tc>
          <w:tcPr>
            <w:tcW w:w="8091" w:type="dxa"/>
          </w:tcPr>
          <w:p w:rsidR="000D4DFB" w:rsidRPr="00CD448D" w:rsidRDefault="000D4DFB" w:rsidP="004D275A">
            <w:pPr>
              <w:spacing w:line="480" w:lineRule="auto"/>
              <w:rPr>
                <w:lang w:val="en-US"/>
              </w:rPr>
            </w:pPr>
            <w:r w:rsidRPr="00CD448D">
              <w:rPr>
                <w:lang w:val="en-US"/>
              </w:rPr>
              <w:t>The art of successful portfolio management is not only to be able to identify opportunities, but also to balance them against the risks that they create in the context of the overall portfolio.</w:t>
            </w:r>
          </w:p>
          <w:p w:rsidR="000D4DFB" w:rsidRPr="00CD448D" w:rsidRDefault="000D4DFB" w:rsidP="00CD3D46">
            <w:pPr>
              <w:spacing w:line="480" w:lineRule="auto"/>
              <w:jc w:val="right"/>
              <w:rPr>
                <w:lang w:val="en-US"/>
              </w:rPr>
            </w:pPr>
            <w:r w:rsidRPr="00CD448D">
              <w:rPr>
                <w:lang w:val="en-US"/>
              </w:rPr>
              <w:t>- Robert Litterman [1996, p. 73]</w:t>
            </w:r>
          </w:p>
        </w:tc>
      </w:tr>
    </w:tbl>
    <w:p w:rsidR="000D4DFB" w:rsidRDefault="000D4DFB" w:rsidP="000D2029">
      <w:pPr>
        <w:spacing w:line="480" w:lineRule="auto"/>
        <w:rPr>
          <w:lang w:val="en-US"/>
        </w:rPr>
      </w:pPr>
    </w:p>
    <w:p w:rsidR="002A718C" w:rsidRDefault="00AA49D4" w:rsidP="00043143">
      <w:pPr>
        <w:spacing w:line="480" w:lineRule="auto"/>
        <w:ind w:firstLine="284"/>
        <w:rPr>
          <w:lang w:val="en-US"/>
        </w:rPr>
      </w:pPr>
      <w:r>
        <w:rPr>
          <w:lang w:val="en-US"/>
        </w:rPr>
        <w:t>Risk budgets are a central tool to estimat</w:t>
      </w:r>
      <w:r w:rsidR="00017AB3">
        <w:rPr>
          <w:lang w:val="en-US"/>
        </w:rPr>
        <w:t>ion</w:t>
      </w:r>
      <w:r>
        <w:rPr>
          <w:lang w:val="en-US"/>
        </w:rPr>
        <w:t xml:space="preserve"> and manage</w:t>
      </w:r>
      <w:r w:rsidR="00017AB3">
        <w:rPr>
          <w:lang w:val="en-US"/>
        </w:rPr>
        <w:t>ment of</w:t>
      </w:r>
      <w:r>
        <w:rPr>
          <w:lang w:val="en-US"/>
        </w:rPr>
        <w:t xml:space="preserve"> the portfolio risk allocation. </w:t>
      </w:r>
      <w:r w:rsidR="00945AFB">
        <w:rPr>
          <w:lang w:val="en-US"/>
        </w:rPr>
        <w:t xml:space="preserve">They </w:t>
      </w:r>
      <w:r w:rsidR="00043143">
        <w:rPr>
          <w:lang w:val="en-US"/>
        </w:rPr>
        <w:t>decompos</w:t>
      </w:r>
      <w:r w:rsidR="00945AFB">
        <w:rPr>
          <w:lang w:val="en-US"/>
        </w:rPr>
        <w:t xml:space="preserve">e total portfolio risk into the </w:t>
      </w:r>
      <w:r w:rsidR="00043143">
        <w:rPr>
          <w:lang w:val="en-US"/>
        </w:rPr>
        <w:t xml:space="preserve">risk contribution of each </w:t>
      </w:r>
      <w:r w:rsidR="00017AB3">
        <w:rPr>
          <w:lang w:val="en-US"/>
        </w:rPr>
        <w:t xml:space="preserve">component </w:t>
      </w:r>
      <w:r w:rsidR="00043143">
        <w:rPr>
          <w:lang w:val="en-US"/>
        </w:rPr>
        <w:t xml:space="preserve">position. </w:t>
      </w:r>
      <w:r w:rsidR="00945AFB">
        <w:rPr>
          <w:lang w:val="en-US"/>
        </w:rPr>
        <w:t xml:space="preserve">The focus of this paper is on the construction </w:t>
      </w:r>
      <w:r w:rsidR="00017AB3">
        <w:rPr>
          <w:lang w:val="en-US"/>
        </w:rPr>
        <w:t xml:space="preserve">and use of </w:t>
      </w:r>
      <w:r w:rsidR="00017AB3" w:rsidRPr="00147283">
        <w:rPr>
          <w:lang w:val="en-US"/>
        </w:rPr>
        <w:t>ex</w:t>
      </w:r>
      <w:r w:rsidR="00017AB3">
        <w:rPr>
          <w:i/>
          <w:lang w:val="en-US"/>
        </w:rPr>
        <w:t xml:space="preserve"> </w:t>
      </w:r>
      <w:r w:rsidR="00017AB3" w:rsidRPr="00017AB3">
        <w:rPr>
          <w:lang w:val="en-US"/>
        </w:rPr>
        <w:t>ante</w:t>
      </w:r>
      <w:r w:rsidR="00945AFB">
        <w:rPr>
          <w:lang w:val="en-US"/>
        </w:rPr>
        <w:t xml:space="preserve"> risk budgets for portfolio </w:t>
      </w:r>
      <w:r w:rsidR="00C25F08">
        <w:rPr>
          <w:lang w:val="en-US"/>
        </w:rPr>
        <w:t xml:space="preserve">allocation using portfolio (component) </w:t>
      </w:r>
      <w:r w:rsidR="00945AFB">
        <w:rPr>
          <w:lang w:val="en-US"/>
        </w:rPr>
        <w:t>Conditional Value at Risk</w:t>
      </w:r>
      <w:r w:rsidR="002A718C">
        <w:rPr>
          <w:lang w:val="en-US"/>
        </w:rPr>
        <w:t xml:space="preserve">. </w:t>
      </w:r>
      <w:r w:rsidR="00945AFB">
        <w:rPr>
          <w:lang w:val="en-US"/>
        </w:rPr>
        <w:t>T</w:t>
      </w:r>
      <w:r w:rsidR="002A718C">
        <w:rPr>
          <w:lang w:val="en-US"/>
        </w:rPr>
        <w:t xml:space="preserve">he minimum CVaR concentration portfolio </w:t>
      </w:r>
      <w:r w:rsidR="00945AFB">
        <w:rPr>
          <w:lang w:val="en-US"/>
        </w:rPr>
        <w:t>is proposed as the portfolio that minimizes</w:t>
      </w:r>
      <w:r w:rsidR="002A718C">
        <w:rPr>
          <w:lang w:val="en-US"/>
        </w:rPr>
        <w:t xml:space="preserve"> the largest </w:t>
      </w:r>
      <w:r w:rsidR="00C25F08">
        <w:rPr>
          <w:lang w:val="en-US"/>
        </w:rPr>
        <w:t xml:space="preserve">component </w:t>
      </w:r>
      <w:r w:rsidR="002A718C">
        <w:rPr>
          <w:lang w:val="en-US"/>
        </w:rPr>
        <w:t xml:space="preserve">CVaR </w:t>
      </w:r>
      <w:r w:rsidR="00C25F08">
        <w:rPr>
          <w:lang w:val="en-US"/>
        </w:rPr>
        <w:t>value</w:t>
      </w:r>
      <w:r w:rsidR="00945AFB">
        <w:rPr>
          <w:lang w:val="en-US"/>
        </w:rPr>
        <w:t xml:space="preserve">. This portfolio is shown to balance </w:t>
      </w:r>
      <w:r w:rsidR="002A718C">
        <w:rPr>
          <w:lang w:val="en-US"/>
        </w:rPr>
        <w:t xml:space="preserve">the </w:t>
      </w:r>
      <w:r w:rsidR="00945AFB">
        <w:rPr>
          <w:lang w:val="en-US"/>
        </w:rPr>
        <w:t xml:space="preserve">investor’s </w:t>
      </w:r>
      <w:r w:rsidR="002A718C">
        <w:rPr>
          <w:lang w:val="en-US"/>
        </w:rPr>
        <w:t>minimum risk</w:t>
      </w:r>
      <w:r w:rsidR="00C25F08">
        <w:rPr>
          <w:lang w:val="en-US"/>
        </w:rPr>
        <w:t>,</w:t>
      </w:r>
      <w:r w:rsidR="002A718C">
        <w:rPr>
          <w:lang w:val="en-US"/>
        </w:rPr>
        <w:t xml:space="preserve"> risk diversification</w:t>
      </w:r>
      <w:r w:rsidR="00C25F08">
        <w:rPr>
          <w:lang w:val="en-US"/>
        </w:rPr>
        <w:t>, and overall return</w:t>
      </w:r>
      <w:r w:rsidR="002A718C">
        <w:rPr>
          <w:lang w:val="en-US"/>
        </w:rPr>
        <w:t xml:space="preserve"> objectives. </w:t>
      </w:r>
      <w:r w:rsidR="00AC148C">
        <w:t xml:space="preserve">For a portfolio invested in bonds, equity and commodities, </w:t>
      </w:r>
      <w:r w:rsidR="00AC148C">
        <w:rPr>
          <w:lang w:val="en-US"/>
        </w:rPr>
        <w:t xml:space="preserve">the minimum CVaR </w:t>
      </w:r>
      <w:r w:rsidR="00945AFB">
        <w:rPr>
          <w:lang w:val="en-US"/>
        </w:rPr>
        <w:t xml:space="preserve">concentration </w:t>
      </w:r>
      <w:r w:rsidR="00AC148C">
        <w:rPr>
          <w:lang w:val="en-US"/>
        </w:rPr>
        <w:t xml:space="preserve">portfolio </w:t>
      </w:r>
      <w:r w:rsidR="00AC148C">
        <w:t>offers an attractive compromise between the good risk</w:t>
      </w:r>
      <w:r w:rsidR="00C25F08">
        <w:t>-adjusted return</w:t>
      </w:r>
      <w:r w:rsidR="00AC148C">
        <w:t xml:space="preserve"> properties of the minimum CVaR portfolio in down markets and the upward </w:t>
      </w:r>
      <w:r w:rsidR="00C25F08">
        <w:t xml:space="preserve">return </w:t>
      </w:r>
      <w:r w:rsidR="00AC148C">
        <w:t>potential and low portfolio turnover of the equal-weight portfolio.</w:t>
      </w:r>
    </w:p>
    <w:p w:rsidR="00075668" w:rsidRPr="00043143" w:rsidRDefault="002A718C" w:rsidP="00043143">
      <w:pPr>
        <w:spacing w:line="480" w:lineRule="auto"/>
        <w:ind w:firstLine="284"/>
      </w:pPr>
      <w:r>
        <w:rPr>
          <w:lang w:val="en-US"/>
        </w:rPr>
        <w:t xml:space="preserve"> </w:t>
      </w:r>
      <w:r w:rsidR="00043143">
        <w:rPr>
          <w:szCs w:val="20"/>
          <w:lang w:val="en-US"/>
        </w:rPr>
        <w:t xml:space="preserve">The </w:t>
      </w:r>
      <w:r w:rsidR="00AC148C">
        <w:rPr>
          <w:szCs w:val="20"/>
          <w:lang w:val="en-US"/>
        </w:rPr>
        <w:t xml:space="preserve">outline of the paper is as follows. Section 1 studies </w:t>
      </w:r>
      <w:r w:rsidR="00043143">
        <w:rPr>
          <w:szCs w:val="20"/>
          <w:lang w:val="en-US"/>
        </w:rPr>
        <w:t xml:space="preserve">the construction and interpretation of CVaR portfolio budgets. </w:t>
      </w:r>
      <w:r w:rsidR="002021CB">
        <w:rPr>
          <w:szCs w:val="20"/>
          <w:lang w:val="en-US"/>
        </w:rPr>
        <w:t>Section 2 develops s</w:t>
      </w:r>
      <w:r w:rsidR="00AA49D4">
        <w:rPr>
          <w:lang w:val="en-US"/>
        </w:rPr>
        <w:t xml:space="preserve">everal </w:t>
      </w:r>
      <w:r w:rsidR="007D4C05">
        <w:rPr>
          <w:lang w:val="en-US"/>
        </w:rPr>
        <w:t>portfolio allocation strategies</w:t>
      </w:r>
      <w:r w:rsidR="00AA49D4">
        <w:rPr>
          <w:lang w:val="en-US"/>
        </w:rPr>
        <w:t xml:space="preserve"> that use </w:t>
      </w:r>
      <w:r w:rsidR="00043143">
        <w:rPr>
          <w:lang w:val="en-US"/>
        </w:rPr>
        <w:t>the p</w:t>
      </w:r>
      <w:r w:rsidR="00AA49D4">
        <w:rPr>
          <w:lang w:val="en-US"/>
        </w:rPr>
        <w:t xml:space="preserve">ortfolio </w:t>
      </w:r>
      <w:r w:rsidR="00C25F08">
        <w:rPr>
          <w:lang w:val="en-US"/>
        </w:rPr>
        <w:t xml:space="preserve">component </w:t>
      </w:r>
      <w:r w:rsidR="00043143">
        <w:rPr>
          <w:lang w:val="en-US"/>
        </w:rPr>
        <w:t>CVaR</w:t>
      </w:r>
      <w:r w:rsidR="00AA49D4">
        <w:rPr>
          <w:lang w:val="en-US"/>
        </w:rPr>
        <w:t xml:space="preserve"> </w:t>
      </w:r>
      <w:r w:rsidR="00A50B58">
        <w:rPr>
          <w:lang w:val="en-US"/>
        </w:rPr>
        <w:t xml:space="preserve">risk </w:t>
      </w:r>
      <w:r w:rsidR="00043143">
        <w:rPr>
          <w:lang w:val="en-US"/>
        </w:rPr>
        <w:t xml:space="preserve">budget as an objective </w:t>
      </w:r>
      <w:r w:rsidR="00AA49D4">
        <w:rPr>
          <w:lang w:val="en-US"/>
        </w:rPr>
        <w:t xml:space="preserve">or constraint in the portfolio optimization problem. </w:t>
      </w:r>
      <w:r w:rsidR="002021CB">
        <w:rPr>
          <w:lang w:val="en-US"/>
        </w:rPr>
        <w:t xml:space="preserve">Section 3 evaluates the </w:t>
      </w:r>
      <w:r w:rsidR="002021CB">
        <w:rPr>
          <w:lang w:val="en-US"/>
        </w:rPr>
        <w:lastRenderedPageBreak/>
        <w:t xml:space="preserve">risk budget optimized portfolios on the January 1976 – </w:t>
      </w:r>
      <w:r w:rsidR="00A828BF">
        <w:rPr>
          <w:lang w:val="en-US"/>
        </w:rPr>
        <w:t>June 2010</w:t>
      </w:r>
      <w:r w:rsidR="002021CB">
        <w:rPr>
          <w:lang w:val="en-US"/>
        </w:rPr>
        <w:t xml:space="preserve"> monthly total USD returns of Merrill Lynch Domestic Master index, the S&amp;P 500 index, the MSCI EAFE index and the S&amp;P Goldman Sachs Commodity index. </w:t>
      </w:r>
    </w:p>
    <w:p w:rsidR="00BC56C2" w:rsidRDefault="00905CCB" w:rsidP="00196902">
      <w:pPr>
        <w:pStyle w:val="Heading1"/>
        <w:numPr>
          <w:ilvl w:val="0"/>
          <w:numId w:val="0"/>
        </w:numPr>
        <w:spacing w:line="480" w:lineRule="auto"/>
        <w:rPr>
          <w:lang w:val="en-US"/>
        </w:rPr>
      </w:pPr>
      <w:r>
        <w:rPr>
          <w:lang w:val="en-US"/>
        </w:rPr>
        <w:t xml:space="preserve">PORTFOLIO </w:t>
      </w:r>
      <w:r w:rsidR="000D4DFB">
        <w:rPr>
          <w:lang w:val="en-US"/>
        </w:rPr>
        <w:t>CVaR</w:t>
      </w:r>
      <w:r>
        <w:rPr>
          <w:lang w:val="en-US"/>
        </w:rPr>
        <w:t xml:space="preserve"> BUDGETS</w:t>
      </w:r>
    </w:p>
    <w:p w:rsidR="00C00844" w:rsidRDefault="00C068E7" w:rsidP="00C00844">
      <w:pPr>
        <w:pStyle w:val="Heading2"/>
        <w:numPr>
          <w:ilvl w:val="0"/>
          <w:numId w:val="0"/>
        </w:numPr>
        <w:ind w:left="340" w:hanging="340"/>
        <w:rPr>
          <w:lang w:val="en-US"/>
        </w:rPr>
      </w:pPr>
      <w:r>
        <w:rPr>
          <w:lang w:val="en-US"/>
        </w:rPr>
        <w:t>DEFINITIONS</w:t>
      </w:r>
    </w:p>
    <w:p w:rsidR="002D3B21" w:rsidRDefault="00E262A6" w:rsidP="00945AFB">
      <w:pPr>
        <w:spacing w:line="480" w:lineRule="auto"/>
        <w:ind w:firstLine="284"/>
        <w:rPr>
          <w:lang w:val="en-US"/>
        </w:rPr>
      </w:pPr>
      <w:r>
        <w:rPr>
          <w:lang w:val="en-US"/>
        </w:rPr>
        <w:t xml:space="preserve">The first step in the construction of </w:t>
      </w:r>
      <w:r w:rsidR="00F913D9">
        <w:rPr>
          <w:lang w:val="en-US"/>
        </w:rPr>
        <w:t xml:space="preserve">a </w:t>
      </w:r>
      <w:r>
        <w:rPr>
          <w:lang w:val="en-US"/>
        </w:rPr>
        <w:t>risk budget is the definition of how</w:t>
      </w:r>
      <w:r w:rsidR="005C442A">
        <w:rPr>
          <w:lang w:val="en-US"/>
        </w:rPr>
        <w:t xml:space="preserve"> portfolio</w:t>
      </w:r>
      <w:r>
        <w:rPr>
          <w:lang w:val="en-US"/>
        </w:rPr>
        <w:t xml:space="preserve"> </w:t>
      </w:r>
      <w:r w:rsidR="00D05832">
        <w:rPr>
          <w:lang w:val="en-US"/>
        </w:rPr>
        <w:t xml:space="preserve">risk and its </w:t>
      </w:r>
      <w:r>
        <w:rPr>
          <w:lang w:val="en-US"/>
        </w:rPr>
        <w:t xml:space="preserve">risk contributions should </w:t>
      </w:r>
      <w:r w:rsidR="00914D76">
        <w:rPr>
          <w:lang w:val="en-US"/>
        </w:rPr>
        <w:t xml:space="preserve">be measured. </w:t>
      </w:r>
      <w:r w:rsidR="001A15E8">
        <w:rPr>
          <w:lang w:val="en-US"/>
        </w:rPr>
        <w:t>Multiple risk decomposition approaches have been suggested in the literature. A naïve approach is to set the risk contribution equal to the stand-alone risk</w:t>
      </w:r>
      <w:r w:rsidR="00537DCE">
        <w:rPr>
          <w:lang w:val="en-US"/>
        </w:rPr>
        <w:t xml:space="preserve"> of each portfolio component</w:t>
      </w:r>
      <w:r w:rsidR="001A15E8">
        <w:rPr>
          <w:lang w:val="en-US"/>
        </w:rPr>
        <w:t xml:space="preserve">. </w:t>
      </w:r>
      <w:r w:rsidR="001A15E8">
        <w:t>This approach is overly simplistic and neglects important diversification</w:t>
      </w:r>
      <w:r w:rsidR="00537DCE">
        <w:t xml:space="preserve"> or multiplication</w:t>
      </w:r>
      <w:r w:rsidR="001A15E8">
        <w:t xml:space="preserve"> effects of the </w:t>
      </w:r>
      <w:r w:rsidR="00537DCE">
        <w:t xml:space="preserve">component </w:t>
      </w:r>
      <w:r w:rsidR="001A15E8">
        <w:t xml:space="preserve">units being exposed differently to the underlying risk factors. </w:t>
      </w:r>
      <w:r w:rsidR="002D3B21">
        <w:rPr>
          <w:lang w:val="en-US"/>
        </w:rPr>
        <w:t xml:space="preserve">An alternative approach is to measure the risk contribution as the weight of the position in the portfolio times the partial derivative of the portfolio risk </w:t>
      </w:r>
      <w:r w:rsidR="002D3B21" w:rsidRPr="00863AF2">
        <w:rPr>
          <w:position w:val="-12"/>
        </w:rPr>
        <w:object w:dxaOrig="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pt;height:19.1pt" o:ole="">
            <v:imagedata r:id="rId8" o:title=""/>
          </v:shape>
          <o:OLEObject Type="Embed" ProgID="Equation.3" ShapeID="_x0000_i1025" DrawAspect="Content" ObjectID="_1343657964" r:id="rId9"/>
        </w:object>
      </w:r>
      <w:r w:rsidR="002D3B21">
        <w:rPr>
          <w:lang w:val="en-US"/>
        </w:rPr>
        <w:t>with respect to that weight: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21"/>
        <w:gridCol w:w="593"/>
      </w:tblGrid>
      <w:tr w:rsidR="002D3B21" w:rsidTr="005F2725">
        <w:trPr>
          <w:trHeight w:val="776"/>
        </w:trPr>
        <w:tc>
          <w:tcPr>
            <w:tcW w:w="8621" w:type="dxa"/>
            <w:tcBorders>
              <w:top w:val="nil"/>
              <w:left w:val="nil"/>
              <w:bottom w:val="nil"/>
              <w:right w:val="nil"/>
            </w:tcBorders>
          </w:tcPr>
          <w:p w:rsidR="002D3B21" w:rsidRDefault="007166D7" w:rsidP="007649B9">
            <w:pPr>
              <w:spacing w:line="480" w:lineRule="auto"/>
              <w:jc w:val="center"/>
              <w:rPr>
                <w:lang w:val="en-US"/>
              </w:rPr>
            </w:pPr>
            <w:r w:rsidRPr="005C2F84">
              <w:rPr>
                <w:position w:val="-34"/>
                <w:lang w:val="en-US"/>
              </w:rPr>
              <w:object w:dxaOrig="1900" w:dyaOrig="760">
                <v:shape id="_x0000_i1026" type="#_x0000_t75" style="width:94.95pt;height:38.25pt" o:ole="">
                  <v:imagedata r:id="rId10" o:title=""/>
                </v:shape>
                <o:OLEObject Type="Embed" ProgID="Equation.3" ShapeID="_x0000_i1026" DrawAspect="Content" ObjectID="_1343657965" r:id="rId11"/>
              </w:object>
            </w:r>
          </w:p>
        </w:tc>
        <w:tc>
          <w:tcPr>
            <w:tcW w:w="593" w:type="dxa"/>
            <w:tcBorders>
              <w:top w:val="nil"/>
              <w:left w:val="nil"/>
              <w:bottom w:val="nil"/>
              <w:right w:val="nil"/>
            </w:tcBorders>
            <w:vAlign w:val="center"/>
          </w:tcPr>
          <w:p w:rsidR="002D3B21" w:rsidRDefault="002D3B21" w:rsidP="005F2725">
            <w:pPr>
              <w:spacing w:line="480" w:lineRule="auto"/>
              <w:jc w:val="center"/>
              <w:rPr>
                <w:lang w:val="en-US"/>
              </w:rPr>
            </w:pPr>
            <w:r>
              <w:rPr>
                <w:lang w:val="en-US"/>
              </w:rPr>
              <w:t>(</w:t>
            </w:r>
            <w:r w:rsidR="005F2725">
              <w:rPr>
                <w:lang w:val="en-US"/>
              </w:rPr>
              <w:t>1</w:t>
            </w:r>
            <w:r>
              <w:rPr>
                <w:lang w:val="en-US"/>
              </w:rPr>
              <w:t>)</w:t>
            </w:r>
          </w:p>
        </w:tc>
      </w:tr>
    </w:tbl>
    <w:p w:rsidR="000D0FB5" w:rsidRDefault="002D3B21" w:rsidP="00911B6F">
      <w:pPr>
        <w:spacing w:line="480" w:lineRule="auto"/>
        <w:rPr>
          <w:lang w:val="en-US"/>
        </w:rPr>
      </w:pPr>
      <w:r>
        <w:rPr>
          <w:lang w:val="en-US"/>
        </w:rPr>
        <w:t xml:space="preserve">The standard deviation, VaR and CVaR of a portfolio are all linear in position size. By Euler’s theorem we have that for such risk measures </w:t>
      </w:r>
      <w:r>
        <w:t xml:space="preserve">the total portfolio risk equals the sum of the risk contributions. </w:t>
      </w:r>
      <w:r w:rsidR="00911B6F">
        <w:t xml:space="preserve">Standard deviation and </w:t>
      </w:r>
      <w:r w:rsidR="000D0FB5">
        <w:t xml:space="preserve">CVaR </w:t>
      </w:r>
      <w:r w:rsidR="00911B6F">
        <w:t>are</w:t>
      </w:r>
      <w:r w:rsidR="000D0FB5">
        <w:t xml:space="preserve"> subadditive risk measure</w:t>
      </w:r>
      <w:r w:rsidR="00911B6F">
        <w:t>s</w:t>
      </w:r>
      <w:r w:rsidR="000D0FB5">
        <w:t xml:space="preserve">, meaning that the portfolio </w:t>
      </w:r>
      <w:r w:rsidR="00911B6F">
        <w:t>risk is always less than the sum of the risks of the underlying assets.</w:t>
      </w:r>
      <w:r w:rsidR="000D0FB5">
        <w:t xml:space="preserve"> </w:t>
      </w:r>
      <w:r w:rsidR="00911B6F">
        <w:t>The allocation problem is to apportion this diversification advantage to the assets in a fair manner, yielding, for each asset, a risk contribution that accounts for diversification. U</w:t>
      </w:r>
      <w:r w:rsidR="000D0FB5">
        <w:t xml:space="preserve">sing game theory, </w:t>
      </w:r>
      <w:r>
        <w:rPr>
          <w:lang w:val="en-US"/>
        </w:rPr>
        <w:t>Denault [2001] has shown that</w:t>
      </w:r>
      <w:r w:rsidR="00911B6F">
        <w:rPr>
          <w:lang w:val="en-US"/>
        </w:rPr>
        <w:t xml:space="preserve"> the risk contributions given in (1) are</w:t>
      </w:r>
      <w:r>
        <w:t xml:space="preserve"> the unique satisfactory risk allocation principle.</w:t>
      </w:r>
      <w:r w:rsidR="00537DCE">
        <w:t xml:space="preserve"> </w:t>
      </w:r>
    </w:p>
    <w:p w:rsidR="002A718C" w:rsidRDefault="00B52BB5" w:rsidP="002A718C">
      <w:pPr>
        <w:spacing w:line="480" w:lineRule="auto"/>
        <w:ind w:firstLine="284"/>
        <w:rPr>
          <w:szCs w:val="20"/>
          <w:lang w:val="en-US"/>
        </w:rPr>
      </w:pPr>
      <w:r>
        <w:rPr>
          <w:lang w:val="en-US"/>
        </w:rPr>
        <w:t>Previous work by Chow and Kritzman [2001], Litterman [1996]</w:t>
      </w:r>
      <w:r w:rsidR="009F7F95">
        <w:rPr>
          <w:lang w:val="en-US"/>
        </w:rPr>
        <w:t>,</w:t>
      </w:r>
      <w:r>
        <w:rPr>
          <w:lang w:val="en-US"/>
        </w:rPr>
        <w:t xml:space="preserve"> </w:t>
      </w:r>
      <w:r w:rsidR="00C92280">
        <w:rPr>
          <w:lang w:val="en-US"/>
        </w:rPr>
        <w:t xml:space="preserve">Maillard, Roncalli and Teiletche [2010], </w:t>
      </w:r>
      <w:r>
        <w:rPr>
          <w:lang w:val="en-US"/>
        </w:rPr>
        <w:t>Pe</w:t>
      </w:r>
      <w:r w:rsidR="0019172D">
        <w:rPr>
          <w:lang w:val="en-US"/>
        </w:rPr>
        <w:t>terson and Boudt [2009</w:t>
      </w:r>
      <w:r>
        <w:rPr>
          <w:lang w:val="en-US"/>
        </w:rPr>
        <w:t xml:space="preserve">] </w:t>
      </w:r>
      <w:r w:rsidR="009F7F95">
        <w:rPr>
          <w:lang w:val="en-US"/>
        </w:rPr>
        <w:t xml:space="preserve">and Scherer [2002] </w:t>
      </w:r>
      <w:r w:rsidR="00872743">
        <w:rPr>
          <w:lang w:val="en-US"/>
        </w:rPr>
        <w:t xml:space="preserve">study the use of portfolio </w:t>
      </w:r>
      <w:r w:rsidR="009F7F95">
        <w:rPr>
          <w:lang w:val="en-US"/>
        </w:rPr>
        <w:t xml:space="preserve">standard deviation and </w:t>
      </w:r>
      <w:r w:rsidR="00872743">
        <w:rPr>
          <w:lang w:val="en-US"/>
        </w:rPr>
        <w:t xml:space="preserve">value-at-risk (VaR) </w:t>
      </w:r>
      <w:r w:rsidR="00872743" w:rsidRPr="00627E9E">
        <w:rPr>
          <w:szCs w:val="20"/>
          <w:lang w:val="en-US"/>
        </w:rPr>
        <w:t>budgets.</w:t>
      </w:r>
      <w:r w:rsidR="00627E9E" w:rsidRPr="00627E9E">
        <w:rPr>
          <w:szCs w:val="20"/>
          <w:lang w:val="en-US"/>
        </w:rPr>
        <w:t xml:space="preserve"> </w:t>
      </w:r>
      <w:r w:rsidR="002A718C">
        <w:rPr>
          <w:lang w:val="en-US"/>
        </w:rPr>
        <w:t xml:space="preserve">In his book “Risk budgeting”, Pearson [2002, p.7] notes that “value-at-risk has some well known limitations, and it may be that some other risk measure eventually supplants value-at-risk in the risk budgeting process”. Unlike value-at-risk, conditional value-at-risk (CVaR) </w:t>
      </w:r>
      <w:r w:rsidR="002A718C">
        <w:rPr>
          <w:szCs w:val="20"/>
          <w:lang w:val="en-US"/>
        </w:rPr>
        <w:t>has all the prop</w:t>
      </w:r>
      <w:r w:rsidR="002A718C" w:rsidRPr="00627E9E">
        <w:rPr>
          <w:szCs w:val="20"/>
          <w:lang w:val="en-US"/>
        </w:rPr>
        <w:t xml:space="preserve">erties a risk measure should have to be </w:t>
      </w:r>
      <w:r w:rsidR="002A718C">
        <w:rPr>
          <w:szCs w:val="20"/>
          <w:lang w:val="en-US"/>
        </w:rPr>
        <w:t>coherent</w:t>
      </w:r>
      <w:r w:rsidR="002A718C" w:rsidRPr="00627E9E">
        <w:rPr>
          <w:szCs w:val="20"/>
          <w:lang w:val="en-US"/>
        </w:rPr>
        <w:t xml:space="preserve"> and is a convex function</w:t>
      </w:r>
      <w:r w:rsidR="002A718C">
        <w:rPr>
          <w:szCs w:val="20"/>
          <w:lang w:val="en-US"/>
        </w:rPr>
        <w:t xml:space="preserve"> </w:t>
      </w:r>
      <w:r w:rsidR="002A718C" w:rsidRPr="00627E9E">
        <w:rPr>
          <w:szCs w:val="20"/>
          <w:lang w:val="en-US"/>
        </w:rPr>
        <w:t>of the portfolio weights (</w:t>
      </w:r>
      <w:r w:rsidR="002A718C">
        <w:rPr>
          <w:szCs w:val="20"/>
          <w:lang w:val="en-US"/>
        </w:rPr>
        <w:t xml:space="preserve">see Artzner, Delbaen, Eber and Heath [1999] and Pflug </w:t>
      </w:r>
      <w:r w:rsidR="002A718C" w:rsidRPr="00627E9E">
        <w:rPr>
          <w:szCs w:val="20"/>
          <w:lang w:val="en-US"/>
        </w:rPr>
        <w:t>[</w:t>
      </w:r>
      <w:r w:rsidR="002A718C">
        <w:rPr>
          <w:szCs w:val="20"/>
          <w:lang w:val="en-US"/>
        </w:rPr>
        <w:t>2000</w:t>
      </w:r>
      <w:r w:rsidR="002A718C" w:rsidRPr="00627E9E">
        <w:rPr>
          <w:szCs w:val="20"/>
          <w:lang w:val="en-US"/>
        </w:rPr>
        <w:t>]).</w:t>
      </w:r>
      <w:r w:rsidR="002A718C">
        <w:rPr>
          <w:szCs w:val="20"/>
          <w:lang w:val="en-US"/>
        </w:rPr>
        <w:t xml:space="preserve"> Moreover, </w:t>
      </w:r>
      <w:r w:rsidR="00537DCE">
        <w:rPr>
          <w:szCs w:val="20"/>
          <w:lang w:val="en-US"/>
        </w:rPr>
        <w:t xml:space="preserve">CVaR </w:t>
      </w:r>
      <w:r w:rsidR="002A718C">
        <w:rPr>
          <w:szCs w:val="20"/>
          <w:lang w:val="en-US"/>
        </w:rPr>
        <w:t xml:space="preserve">provides less incentive to load on to tail risk above the VaR level. </w:t>
      </w:r>
    </w:p>
    <w:p w:rsidR="00826F0D" w:rsidRPr="00DD4D88" w:rsidRDefault="00627E9E" w:rsidP="004B1A49">
      <w:pPr>
        <w:autoSpaceDE w:val="0"/>
        <w:autoSpaceDN w:val="0"/>
        <w:adjustRightInd w:val="0"/>
        <w:spacing w:line="480" w:lineRule="auto"/>
        <w:ind w:firstLine="340"/>
        <w:rPr>
          <w:lang w:val="en-US"/>
        </w:rPr>
      </w:pPr>
      <w:r>
        <w:rPr>
          <w:lang w:val="en-US"/>
        </w:rPr>
        <w:lastRenderedPageBreak/>
        <w:t xml:space="preserve">We develop a risk budgeting framework for portfolio Conditional Value at Risk (CVaR). </w:t>
      </w:r>
      <w:r w:rsidR="00E55CB8">
        <w:rPr>
          <w:lang w:val="en-US"/>
        </w:rPr>
        <w:t>Portfolio CVaR can be expressed in monetary value or percentage returns. O</w:t>
      </w:r>
      <w:r w:rsidR="00DD4D88">
        <w:rPr>
          <w:lang w:val="en-US"/>
        </w:rPr>
        <w:t>ur goal is to apply the CVaR</w:t>
      </w:r>
      <w:r w:rsidR="00E55CB8">
        <w:rPr>
          <w:lang w:val="en-US"/>
        </w:rPr>
        <w:t xml:space="preserve"> budget in </w:t>
      </w:r>
      <w:r w:rsidR="003265A5">
        <w:rPr>
          <w:lang w:val="en-US"/>
        </w:rPr>
        <w:t>an investment</w:t>
      </w:r>
      <w:r w:rsidR="00DD4D88">
        <w:rPr>
          <w:lang w:val="en-US"/>
        </w:rPr>
        <w:t xml:space="preserve"> strategy</w:t>
      </w:r>
      <w:r w:rsidR="00E55CB8">
        <w:rPr>
          <w:lang w:val="en-US"/>
        </w:rPr>
        <w:t xml:space="preserve"> based on quantitative analysis of the assets returns. W</w:t>
      </w:r>
      <w:r w:rsidR="00DD4D88">
        <w:rPr>
          <w:lang w:val="en-US"/>
        </w:rPr>
        <w:t xml:space="preserve">e </w:t>
      </w:r>
      <w:r w:rsidR="00E55CB8">
        <w:rPr>
          <w:lang w:val="en-US"/>
        </w:rPr>
        <w:t xml:space="preserve">therefore choose to </w:t>
      </w:r>
      <w:r w:rsidR="00DD4D88">
        <w:rPr>
          <w:lang w:val="en-US"/>
        </w:rPr>
        <w:t xml:space="preserve">define CVaR in percentage returns.  </w:t>
      </w:r>
    </w:p>
    <w:p w:rsidR="00983C88" w:rsidRPr="0008291B" w:rsidRDefault="00826F0D" w:rsidP="007F62B3">
      <w:pPr>
        <w:autoSpaceDE w:val="0"/>
        <w:autoSpaceDN w:val="0"/>
        <w:adjustRightInd w:val="0"/>
        <w:spacing w:line="480" w:lineRule="auto"/>
        <w:ind w:firstLine="340"/>
      </w:pPr>
      <w:r>
        <w:rPr>
          <w:lang w:val="en-US"/>
        </w:rPr>
        <w:t xml:space="preserve">Denote </w:t>
      </w:r>
      <w:r>
        <w:t xml:space="preserve">by </w:t>
      </w:r>
      <w:r w:rsidRPr="00863AF2">
        <w:rPr>
          <w:position w:val="-12"/>
        </w:rPr>
        <w:object w:dxaOrig="300" w:dyaOrig="380">
          <v:shape id="_x0000_i1027" type="#_x0000_t75" style="width:15.3pt;height:19.1pt" o:ole="">
            <v:imagedata r:id="rId12" o:title=""/>
          </v:shape>
          <o:OLEObject Type="Embed" ProgID="Equation.3" ShapeID="_x0000_i1027" DrawAspect="Content" ObjectID="_1343657966" r:id="rId13"/>
        </w:object>
      </w:r>
      <w:r>
        <w:t xml:space="preserve"> </w:t>
      </w:r>
      <w:r>
        <w:rPr>
          <w:lang w:val="en-US"/>
        </w:rPr>
        <w:t xml:space="preserve">the return at time </w:t>
      </w:r>
      <w:r w:rsidRPr="002B63AB">
        <w:rPr>
          <w:position w:val="-6"/>
        </w:rPr>
        <w:object w:dxaOrig="139" w:dyaOrig="240">
          <v:shape id="_x0000_i1028" type="#_x0000_t75" style="width:7pt;height:12.1pt" o:ole="">
            <v:imagedata r:id="rId14" o:title=""/>
          </v:shape>
          <o:OLEObject Type="Embed" ProgID="Equation.3" ShapeID="_x0000_i1028" DrawAspect="Content" ObjectID="_1343657967" r:id="rId15"/>
        </w:object>
      </w:r>
      <w:r>
        <w:t xml:space="preserve"> </w:t>
      </w:r>
      <w:r>
        <w:rPr>
          <w:lang w:val="en-US"/>
        </w:rPr>
        <w:t xml:space="preserve">on the portfolio with weight vector </w:t>
      </w:r>
      <w:r w:rsidRPr="002B63AB">
        <w:rPr>
          <w:position w:val="-6"/>
        </w:rPr>
        <w:object w:dxaOrig="240" w:dyaOrig="220">
          <v:shape id="_x0000_i1029" type="#_x0000_t75" style="width:12.1pt;height:10.85pt" o:ole="">
            <v:imagedata r:id="rId16" o:title=""/>
          </v:shape>
          <o:OLEObject Type="Embed" ProgID="Equation.3" ShapeID="_x0000_i1029" DrawAspect="Content" ObjectID="_1343657968" r:id="rId17"/>
        </w:object>
      </w:r>
      <w:r>
        <w:t>. To simplify notation, we omit the time index whenever no confusion is possible</w:t>
      </w:r>
      <w:r w:rsidR="00B819AD">
        <w:t xml:space="preserve"> and assume that the density function of </w:t>
      </w:r>
      <w:r w:rsidR="00B819AD" w:rsidRPr="00863AF2">
        <w:rPr>
          <w:position w:val="-12"/>
        </w:rPr>
        <w:object w:dxaOrig="260" w:dyaOrig="380">
          <v:shape id="_x0000_i1030" type="#_x0000_t75" style="width:12.75pt;height:19.1pt" o:ole="">
            <v:imagedata r:id="rId18" o:title=""/>
          </v:shape>
          <o:OLEObject Type="Embed" ProgID="Equation.3" ShapeID="_x0000_i1030" DrawAspect="Content" ObjectID="_1343657969" r:id="rId19"/>
        </w:object>
      </w:r>
      <w:r w:rsidR="00B819AD">
        <w:t>is continuous</w:t>
      </w:r>
      <w:r>
        <w:t xml:space="preserve">. </w:t>
      </w:r>
      <w:r w:rsidR="00983C88">
        <w:t xml:space="preserve">At </w:t>
      </w:r>
      <w:r w:rsidR="00983C88" w:rsidRPr="00925048">
        <w:rPr>
          <w:lang w:val="en-US"/>
        </w:rPr>
        <w:t xml:space="preserve">a preset probability level </w:t>
      </w:r>
      <w:r w:rsidR="003265A5" w:rsidRPr="00925048">
        <w:rPr>
          <w:lang w:val="en-US"/>
        </w:rPr>
        <w:t>denoted</w:t>
      </w:r>
      <w:r w:rsidR="00983C88" w:rsidRPr="00B116B0">
        <w:rPr>
          <w:position w:val="-6"/>
        </w:rPr>
        <w:object w:dxaOrig="240" w:dyaOrig="220">
          <v:shape id="_x0000_i1031" type="#_x0000_t75" style="width:12.1pt;height:10.85pt" o:ole="">
            <v:imagedata r:id="rId20" o:title=""/>
          </v:shape>
          <o:OLEObject Type="Embed" ProgID="Equation.3" ShapeID="_x0000_i1031" DrawAspect="Content" ObjectID="_1343657970" r:id="rId21"/>
        </w:object>
      </w:r>
      <w:r w:rsidR="00983C88">
        <w:t xml:space="preserve">, </w:t>
      </w:r>
      <w:r w:rsidR="00983C88" w:rsidRPr="00925048">
        <w:rPr>
          <w:lang w:val="en-US"/>
        </w:rPr>
        <w:t>which typically is between 1 and 5 percent</w:t>
      </w:r>
      <w:r w:rsidR="00983C88">
        <w:rPr>
          <w:lang w:val="en-US"/>
        </w:rPr>
        <w:t>, t</w:t>
      </w:r>
      <w:r w:rsidR="00983C88">
        <w:t xml:space="preserve">he portfolio </w:t>
      </w:r>
      <w:r w:rsidR="003474AF">
        <w:t xml:space="preserve">VaR </w:t>
      </w:r>
      <w:r w:rsidR="003474AF" w:rsidRPr="00925048">
        <w:rPr>
          <w:lang w:val="en-US"/>
        </w:rPr>
        <w:t>is the negative</w:t>
      </w:r>
      <w:r w:rsidR="003474AF">
        <w:rPr>
          <w:lang w:val="en-US"/>
        </w:rPr>
        <w:t xml:space="preserve"> </w:t>
      </w:r>
      <w:r w:rsidR="003474AF" w:rsidRPr="00925048">
        <w:rPr>
          <w:lang w:val="en-US"/>
        </w:rPr>
        <w:t xml:space="preserve">value </w:t>
      </w:r>
      <w:r w:rsidR="003474AF">
        <w:rPr>
          <w:lang w:val="en-US"/>
        </w:rPr>
        <w:t xml:space="preserve">of the </w:t>
      </w:r>
      <w:r w:rsidR="003474AF" w:rsidRPr="00B116B0">
        <w:rPr>
          <w:position w:val="-6"/>
        </w:rPr>
        <w:object w:dxaOrig="240" w:dyaOrig="220">
          <v:shape id="_x0000_i1032" type="#_x0000_t75" style="width:12.1pt;height:10.85pt" o:ole="">
            <v:imagedata r:id="rId20" o:title=""/>
          </v:shape>
          <o:OLEObject Type="Embed" ProgID="Equation.3" ShapeID="_x0000_i1032" DrawAspect="Content" ObjectID="_1343657971" r:id="rId22"/>
        </w:object>
      </w:r>
      <w:r w:rsidR="003474AF">
        <w:t xml:space="preserve">-quantile of the portfolio returns. The portfolio </w:t>
      </w:r>
      <w:r w:rsidR="00983C88">
        <w:t>C</w:t>
      </w:r>
      <w:r w:rsidR="00983C88" w:rsidRPr="00925048">
        <w:rPr>
          <w:lang w:val="en-US"/>
        </w:rPr>
        <w:t>VaR is the negative</w:t>
      </w:r>
      <w:r w:rsidR="00983C88">
        <w:rPr>
          <w:lang w:val="en-US"/>
        </w:rPr>
        <w:t xml:space="preserve"> </w:t>
      </w:r>
      <w:r w:rsidR="00983C88" w:rsidRPr="00925048">
        <w:rPr>
          <w:lang w:val="en-US"/>
        </w:rPr>
        <w:t xml:space="preserve">value of the </w:t>
      </w:r>
      <w:r w:rsidR="00983C88">
        <w:rPr>
          <w:lang w:val="en-US"/>
        </w:rPr>
        <w:t xml:space="preserve">expected </w:t>
      </w:r>
      <w:r w:rsidR="00983C88" w:rsidRPr="00925048">
        <w:rPr>
          <w:lang w:val="en-US"/>
        </w:rPr>
        <w:t>portfolio return</w:t>
      </w:r>
      <w:r w:rsidR="00983C88">
        <w:rPr>
          <w:lang w:val="en-US"/>
        </w:rPr>
        <w:t xml:space="preserve"> when </w:t>
      </w:r>
      <w:r w:rsidR="003474AF">
        <w:rPr>
          <w:lang w:val="en-US"/>
        </w:rPr>
        <w:t>that</w:t>
      </w:r>
      <w:r w:rsidR="00983C88">
        <w:rPr>
          <w:lang w:val="en-US"/>
        </w:rPr>
        <w:t xml:space="preserve"> return is less </w:t>
      </w:r>
      <w:r w:rsidR="00F11827">
        <w:rPr>
          <w:lang w:val="en-US"/>
        </w:rPr>
        <w:t>than</w:t>
      </w:r>
      <w:r w:rsidR="00983C88">
        <w:rPr>
          <w:lang w:val="en-US"/>
        </w:rPr>
        <w:t xml:space="preserve"> its </w:t>
      </w:r>
      <w:r w:rsidR="00983C88" w:rsidRPr="00B116B0">
        <w:rPr>
          <w:position w:val="-6"/>
        </w:rPr>
        <w:object w:dxaOrig="240" w:dyaOrig="220">
          <v:shape id="_x0000_i1033" type="#_x0000_t75" style="width:12.1pt;height:10.85pt" o:ole="">
            <v:imagedata r:id="rId20" o:title=""/>
          </v:shape>
          <o:OLEObject Type="Embed" ProgID="Equation.3" ShapeID="_x0000_i1033" DrawAspect="Content" ObjectID="_1343657972" r:id="rId23"/>
        </w:object>
      </w:r>
      <w:r w:rsidR="00983C88">
        <w:t>-quantile</w:t>
      </w:r>
      <w:r>
        <w:t xml:space="preserve">: </w:t>
      </w:r>
      <w:r w:rsidR="00983C8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93"/>
        <w:gridCol w:w="591"/>
      </w:tblGrid>
      <w:tr w:rsidR="00983C88" w:rsidTr="00F11827">
        <w:trPr>
          <w:trHeight w:val="631"/>
        </w:trPr>
        <w:tc>
          <w:tcPr>
            <w:tcW w:w="8593" w:type="dxa"/>
            <w:tcBorders>
              <w:top w:val="nil"/>
              <w:left w:val="nil"/>
              <w:bottom w:val="nil"/>
              <w:right w:val="nil"/>
            </w:tcBorders>
          </w:tcPr>
          <w:p w:rsidR="00983C88" w:rsidRDefault="00A02888" w:rsidP="00011156">
            <w:pPr>
              <w:spacing w:line="480" w:lineRule="auto"/>
              <w:jc w:val="center"/>
              <w:rPr>
                <w:lang w:val="en-US"/>
              </w:rPr>
            </w:pPr>
            <w:r w:rsidRPr="00627E9E">
              <w:rPr>
                <w:position w:val="-12"/>
                <w:sz w:val="22"/>
                <w:lang w:val="en-US"/>
              </w:rPr>
              <w:object w:dxaOrig="3879" w:dyaOrig="380">
                <v:shape id="_x0000_i1034" type="#_x0000_t75" style="width:193.7pt;height:19.1pt" o:ole="">
                  <v:imagedata r:id="rId24" o:title=""/>
                </v:shape>
                <o:OLEObject Type="Embed" ProgID="Equation.3" ShapeID="_x0000_i1034" DrawAspect="Content" ObjectID="_1343657973" r:id="rId25"/>
              </w:object>
            </w:r>
            <w:r w:rsidR="00983C88">
              <w:rPr>
                <w:lang w:val="en-US"/>
              </w:rPr>
              <w:t>,</w:t>
            </w:r>
          </w:p>
        </w:tc>
        <w:tc>
          <w:tcPr>
            <w:tcW w:w="591" w:type="dxa"/>
            <w:tcBorders>
              <w:top w:val="nil"/>
              <w:left w:val="nil"/>
              <w:bottom w:val="nil"/>
              <w:right w:val="nil"/>
            </w:tcBorders>
            <w:vAlign w:val="center"/>
          </w:tcPr>
          <w:p w:rsidR="00983C88" w:rsidRDefault="00983C88" w:rsidP="005F2725">
            <w:pPr>
              <w:spacing w:line="480" w:lineRule="auto"/>
              <w:jc w:val="right"/>
              <w:rPr>
                <w:lang w:val="en-US"/>
              </w:rPr>
            </w:pPr>
            <w:r>
              <w:rPr>
                <w:lang w:val="en-US"/>
              </w:rPr>
              <w:t>(</w:t>
            </w:r>
            <w:r w:rsidR="005F2725">
              <w:rPr>
                <w:lang w:val="en-US"/>
              </w:rPr>
              <w:t>2</w:t>
            </w:r>
            <w:r>
              <w:rPr>
                <w:lang w:val="en-US"/>
              </w:rPr>
              <w:t>)</w:t>
            </w:r>
          </w:p>
        </w:tc>
      </w:tr>
    </w:tbl>
    <w:p w:rsidR="005C442A" w:rsidRDefault="00983C88" w:rsidP="002D3B21">
      <w:pPr>
        <w:spacing w:line="480" w:lineRule="auto"/>
        <w:rPr>
          <w:lang w:val="en-US"/>
        </w:rPr>
      </w:pPr>
      <w:r>
        <w:rPr>
          <w:lang w:val="en-US"/>
        </w:rPr>
        <w:t xml:space="preserve">with </w:t>
      </w:r>
      <w:r w:rsidRPr="00312712">
        <w:rPr>
          <w:position w:val="-4"/>
        </w:rPr>
        <w:object w:dxaOrig="240" w:dyaOrig="260">
          <v:shape id="_x0000_i1035" type="#_x0000_t75" style="width:12.1pt;height:12.75pt" o:ole="">
            <v:imagedata r:id="rId26" o:title=""/>
          </v:shape>
          <o:OLEObject Type="Embed" ProgID="Equation.3" ShapeID="_x0000_i1035" DrawAspect="Content" ObjectID="_1343657974" r:id="rId27"/>
        </w:object>
      </w:r>
      <w:r>
        <w:t xml:space="preserve"> the expectation operator. </w:t>
      </w:r>
      <w:r w:rsidR="002D3B21">
        <w:t xml:space="preserve">The </w:t>
      </w:r>
      <w:r w:rsidR="005C39AF">
        <w:rPr>
          <w:lang w:val="en-US"/>
        </w:rPr>
        <w:t xml:space="preserve">CVaR </w:t>
      </w:r>
      <w:r w:rsidR="005C442A">
        <w:rPr>
          <w:lang w:val="en-US"/>
        </w:rPr>
        <w:t xml:space="preserve">contribution </w:t>
      </w:r>
      <w:r w:rsidR="002D3B21">
        <w:rPr>
          <w:lang w:val="en-US"/>
        </w:rPr>
        <w:t>is the</w:t>
      </w:r>
      <w:r w:rsidR="005C442A">
        <w:rPr>
          <w:lang w:val="en-US"/>
        </w:rPr>
        <w:t xml:space="preserve"> weight of the position in the portfolio times the partial derivative of the portfolio </w:t>
      </w:r>
      <w:r w:rsidR="005C39AF">
        <w:rPr>
          <w:lang w:val="en-US"/>
        </w:rPr>
        <w:t>CVaR</w:t>
      </w:r>
      <w:r w:rsidR="005C39AF">
        <w:t xml:space="preserve"> </w:t>
      </w:r>
      <w:r w:rsidR="005C442A">
        <w:rPr>
          <w:lang w:val="en-US"/>
        </w:rPr>
        <w:t>with respect to that weight: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35"/>
        <w:gridCol w:w="594"/>
      </w:tblGrid>
      <w:tr w:rsidR="005C442A" w:rsidTr="00BA172B">
        <w:trPr>
          <w:trHeight w:val="1127"/>
        </w:trPr>
        <w:tc>
          <w:tcPr>
            <w:tcW w:w="8635" w:type="dxa"/>
            <w:tcBorders>
              <w:top w:val="nil"/>
              <w:left w:val="nil"/>
              <w:bottom w:val="nil"/>
              <w:right w:val="nil"/>
            </w:tcBorders>
          </w:tcPr>
          <w:p w:rsidR="005C442A" w:rsidRDefault="00A02888" w:rsidP="00563D21">
            <w:pPr>
              <w:spacing w:line="480" w:lineRule="auto"/>
              <w:jc w:val="center"/>
              <w:rPr>
                <w:lang w:val="en-US"/>
              </w:rPr>
            </w:pPr>
            <w:r w:rsidRPr="005C2F84">
              <w:rPr>
                <w:position w:val="-34"/>
                <w:lang w:val="en-US"/>
              </w:rPr>
              <w:object w:dxaOrig="2680" w:dyaOrig="760">
                <v:shape id="_x0000_i1036" type="#_x0000_t75" style="width:133.8pt;height:38.25pt" o:ole="">
                  <v:imagedata r:id="rId28" o:title=""/>
                </v:shape>
                <o:OLEObject Type="Embed" ProgID="Equation.3" ShapeID="_x0000_i1036" DrawAspect="Content" ObjectID="_1343657975" r:id="rId29"/>
              </w:object>
            </w:r>
          </w:p>
        </w:tc>
        <w:tc>
          <w:tcPr>
            <w:tcW w:w="594" w:type="dxa"/>
            <w:tcBorders>
              <w:top w:val="nil"/>
              <w:left w:val="nil"/>
              <w:bottom w:val="nil"/>
              <w:right w:val="nil"/>
            </w:tcBorders>
            <w:vAlign w:val="center"/>
          </w:tcPr>
          <w:p w:rsidR="005C442A" w:rsidRDefault="005C442A" w:rsidP="005F2725">
            <w:pPr>
              <w:spacing w:line="480" w:lineRule="auto"/>
              <w:jc w:val="right"/>
              <w:rPr>
                <w:lang w:val="en-US"/>
              </w:rPr>
            </w:pPr>
            <w:r>
              <w:rPr>
                <w:lang w:val="en-US"/>
              </w:rPr>
              <w:t>(</w:t>
            </w:r>
            <w:r w:rsidR="005F2725">
              <w:rPr>
                <w:lang w:val="en-US"/>
              </w:rPr>
              <w:t>3</w:t>
            </w:r>
            <w:r>
              <w:rPr>
                <w:lang w:val="en-US"/>
              </w:rPr>
              <w:t>)</w:t>
            </w:r>
          </w:p>
        </w:tc>
      </w:tr>
    </w:tbl>
    <w:p w:rsidR="002D3B21" w:rsidRDefault="005C442A" w:rsidP="002D3B21">
      <w:pPr>
        <w:spacing w:line="480" w:lineRule="auto"/>
        <w:rPr>
          <w:lang w:val="en-US"/>
        </w:rPr>
      </w:pPr>
      <w:r>
        <w:rPr>
          <w:lang w:val="en-US"/>
        </w:rPr>
        <w:t>where</w:t>
      </w:r>
      <w:r w:rsidRPr="008435D6">
        <w:rPr>
          <w:position w:val="-14"/>
        </w:rPr>
        <w:object w:dxaOrig="400" w:dyaOrig="400">
          <v:shape id="_x0000_i1037" type="#_x0000_t75" style="width:19.75pt;height:19.75pt" o:ole="">
            <v:imagedata r:id="rId30" o:title=""/>
          </v:shape>
          <o:OLEObject Type="Embed" ProgID="Equation.3" ShapeID="_x0000_i1037" DrawAspect="Content" ObjectID="_1343657976" r:id="rId31"/>
        </w:object>
      </w:r>
      <w:r>
        <w:t>is</w:t>
      </w:r>
      <w:r w:rsidR="00863AF2">
        <w:t xml:space="preserve"> the</w:t>
      </w:r>
      <w:r>
        <w:t xml:space="preserve"> portfolio weight of position </w:t>
      </w:r>
      <w:r w:rsidR="00C67213" w:rsidRPr="005C2F84">
        <w:rPr>
          <w:position w:val="-6"/>
        </w:rPr>
        <w:object w:dxaOrig="139" w:dyaOrig="260">
          <v:shape id="_x0000_i1038" type="#_x0000_t75" style="width:6.35pt;height:12.75pt" o:ole="">
            <v:imagedata r:id="rId32" o:title=""/>
          </v:shape>
          <o:OLEObject Type="Embed" ProgID="Equation.3" ShapeID="_x0000_i1038" DrawAspect="Content" ObjectID="_1343657977" r:id="rId33"/>
        </w:object>
      </w:r>
      <w:r>
        <w:t xml:space="preserve"> and </w:t>
      </w:r>
      <w:r w:rsidR="00F913D9">
        <w:t xml:space="preserve">there </w:t>
      </w:r>
      <w:r w:rsidR="000D2ABE">
        <w:t>are</w:t>
      </w:r>
      <w:r w:rsidR="00F913D9" w:rsidRPr="00F913D9">
        <w:rPr>
          <w:position w:val="-6"/>
        </w:rPr>
        <w:object w:dxaOrig="279" w:dyaOrig="279">
          <v:shape id="_x0000_i1039" type="#_x0000_t75" style="width:14pt;height:14pt" o:ole="">
            <v:imagedata r:id="rId34" o:title=""/>
          </v:shape>
          <o:OLEObject Type="Embed" ProgID="Equation.3" ShapeID="_x0000_i1039" DrawAspect="Content" ObjectID="_1343657978" r:id="rId35"/>
        </w:object>
      </w:r>
      <w:r w:rsidR="00F913D9">
        <w:t>assets in the investment universe (</w:t>
      </w:r>
      <w:r w:rsidR="00F913D9" w:rsidRPr="00B85829">
        <w:rPr>
          <w:position w:val="-10"/>
        </w:rPr>
        <w:object w:dxaOrig="999" w:dyaOrig="320">
          <v:shape id="_x0000_i1040" type="#_x0000_t75" style="width:49.7pt;height:15.95pt" o:ole="">
            <v:imagedata r:id="rId36" o:title=""/>
          </v:shape>
          <o:OLEObject Type="Embed" ProgID="Equation.3" ShapeID="_x0000_i1040" DrawAspect="Content" ObjectID="_1343657979" r:id="rId37"/>
        </w:object>
      </w:r>
      <w:r w:rsidR="00F913D9">
        <w:t>).</w:t>
      </w:r>
      <w:r>
        <w:rPr>
          <w:lang w:val="en-US"/>
        </w:rPr>
        <w:t xml:space="preserve">  </w:t>
      </w:r>
    </w:p>
    <w:p w:rsidR="00914D76" w:rsidRDefault="00863AF2" w:rsidP="00863AF2">
      <w:pPr>
        <w:spacing w:line="480" w:lineRule="auto"/>
        <w:rPr>
          <w:lang w:val="en-US"/>
        </w:rPr>
      </w:pPr>
      <w:r>
        <w:rPr>
          <w:lang w:val="en-US"/>
        </w:rPr>
        <w:t>For ease of interpretation</w:t>
      </w:r>
      <w:r w:rsidR="00FE4618">
        <w:rPr>
          <w:lang w:val="en-US"/>
        </w:rPr>
        <w:t>,</w:t>
      </w:r>
      <w:r>
        <w:rPr>
          <w:lang w:val="en-US"/>
        </w:rPr>
        <w:t xml:space="preserve"> the</w:t>
      </w:r>
      <w:r w:rsidR="00914D76">
        <w:rPr>
          <w:lang w:val="en-US"/>
        </w:rPr>
        <w:t xml:space="preserve"> </w:t>
      </w:r>
      <w:r w:rsidR="005C39AF">
        <w:rPr>
          <w:lang w:val="en-US"/>
        </w:rPr>
        <w:t>CVaR</w:t>
      </w:r>
      <w:r>
        <w:rPr>
          <w:lang w:val="en-US"/>
        </w:rPr>
        <w:t xml:space="preserve"> contributions </w:t>
      </w:r>
      <w:r w:rsidR="00914D76">
        <w:rPr>
          <w:lang w:val="en-US"/>
        </w:rPr>
        <w:t>are standardized by t</w:t>
      </w:r>
      <w:r w:rsidR="005C39AF">
        <w:rPr>
          <w:lang w:val="en-US"/>
        </w:rPr>
        <w:t>he total CVaR</w:t>
      </w:r>
      <w:r w:rsidR="00914D76">
        <w:rPr>
          <w:lang w:val="en-US"/>
        </w:rPr>
        <w:t xml:space="preserve">. This yields the percentage </w:t>
      </w:r>
      <w:r w:rsidR="005C39AF">
        <w:rPr>
          <w:lang w:val="en-US"/>
        </w:rPr>
        <w:t>CVaR</w:t>
      </w:r>
      <w:r w:rsidR="00914D76">
        <w:rPr>
          <w:lang w:val="en-US"/>
        </w:rPr>
        <w:t xml:space="preserve"> </w:t>
      </w:r>
      <w:r>
        <w:rPr>
          <w:lang w:val="en-US"/>
        </w:rPr>
        <w:t>contributions</w:t>
      </w:r>
      <w:r w:rsidR="00A02888">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36"/>
        <w:gridCol w:w="595"/>
      </w:tblGrid>
      <w:tr w:rsidR="00914D76" w:rsidTr="009C2F50">
        <w:trPr>
          <w:trHeight w:val="1066"/>
        </w:trPr>
        <w:tc>
          <w:tcPr>
            <w:tcW w:w="8636" w:type="dxa"/>
            <w:tcBorders>
              <w:top w:val="nil"/>
              <w:left w:val="nil"/>
              <w:bottom w:val="nil"/>
              <w:right w:val="nil"/>
            </w:tcBorders>
          </w:tcPr>
          <w:p w:rsidR="00914D76" w:rsidRDefault="00C374E2" w:rsidP="00563D21">
            <w:pPr>
              <w:spacing w:line="480" w:lineRule="auto"/>
              <w:jc w:val="center"/>
              <w:rPr>
                <w:lang w:val="en-US"/>
              </w:rPr>
            </w:pPr>
            <w:r w:rsidRPr="00863AF2">
              <w:rPr>
                <w:position w:val="-30"/>
                <w:lang w:val="en-US"/>
              </w:rPr>
              <w:object w:dxaOrig="2640" w:dyaOrig="760">
                <v:shape id="_x0000_i1041" type="#_x0000_t75" style="width:131.9pt;height:38.25pt" o:ole="">
                  <v:imagedata r:id="rId38" o:title=""/>
                </v:shape>
                <o:OLEObject Type="Embed" ProgID="Equation.3" ShapeID="_x0000_i1041" DrawAspect="Content" ObjectID="_1343657980" r:id="rId39"/>
              </w:object>
            </w:r>
            <w:r w:rsidR="00914D76">
              <w:rPr>
                <w:lang w:val="en-US"/>
              </w:rPr>
              <w:t>.</w:t>
            </w:r>
          </w:p>
        </w:tc>
        <w:tc>
          <w:tcPr>
            <w:tcW w:w="595" w:type="dxa"/>
            <w:tcBorders>
              <w:top w:val="nil"/>
              <w:left w:val="nil"/>
              <w:bottom w:val="nil"/>
              <w:right w:val="nil"/>
            </w:tcBorders>
            <w:vAlign w:val="center"/>
          </w:tcPr>
          <w:p w:rsidR="00914D76" w:rsidRDefault="00914D76" w:rsidP="00B80762">
            <w:pPr>
              <w:spacing w:line="480" w:lineRule="auto"/>
              <w:jc w:val="right"/>
              <w:rPr>
                <w:lang w:val="en-US"/>
              </w:rPr>
            </w:pPr>
            <w:r>
              <w:rPr>
                <w:lang w:val="en-US"/>
              </w:rPr>
              <w:t>(</w:t>
            </w:r>
            <w:r w:rsidR="00B80762">
              <w:rPr>
                <w:lang w:val="en-US"/>
              </w:rPr>
              <w:t>4</w:t>
            </w:r>
            <w:r>
              <w:rPr>
                <w:lang w:val="en-US"/>
              </w:rPr>
              <w:t>)</w:t>
            </w:r>
          </w:p>
        </w:tc>
      </w:tr>
    </w:tbl>
    <w:p w:rsidR="004C074C" w:rsidRDefault="004C074C" w:rsidP="004C074C">
      <w:pPr>
        <w:spacing w:line="480" w:lineRule="auto"/>
        <w:rPr>
          <w:lang w:val="en-US"/>
        </w:rPr>
      </w:pPr>
      <w:r>
        <w:rPr>
          <w:lang w:val="en-US"/>
        </w:rPr>
        <w:t xml:space="preserve">An interesting summary statistic of the portfolio’s CVaR allocation is what we call the portfolio CVaR Concentration, defined </w:t>
      </w:r>
      <w:r>
        <w:t xml:space="preserve">as the </w:t>
      </w:r>
      <w:r>
        <w:rPr>
          <w:lang w:val="en-US"/>
        </w:rPr>
        <w:t>largest Component CVaR of all positions:</w:t>
      </w:r>
    </w:p>
    <w:tbl>
      <w:tblPr>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85"/>
        <w:gridCol w:w="583"/>
      </w:tblGrid>
      <w:tr w:rsidR="004C074C" w:rsidTr="004C074C">
        <w:trPr>
          <w:trHeight w:val="599"/>
        </w:trPr>
        <w:tc>
          <w:tcPr>
            <w:tcW w:w="8685" w:type="dxa"/>
            <w:tcBorders>
              <w:top w:val="nil"/>
              <w:left w:val="nil"/>
              <w:bottom w:val="nil"/>
              <w:right w:val="nil"/>
            </w:tcBorders>
          </w:tcPr>
          <w:p w:rsidR="004C074C" w:rsidRDefault="004C074C" w:rsidP="004C074C">
            <w:pPr>
              <w:spacing w:line="480" w:lineRule="auto"/>
              <w:jc w:val="center"/>
              <w:rPr>
                <w:lang w:val="en-US"/>
              </w:rPr>
            </w:pPr>
            <w:r w:rsidRPr="00F356CE">
              <w:rPr>
                <w:position w:val="-14"/>
                <w:lang w:val="en-US"/>
              </w:rPr>
              <w:object w:dxaOrig="2860" w:dyaOrig="400">
                <v:shape id="_x0000_i1042" type="#_x0000_t75" style="width:142.75pt;height:19.75pt" o:ole="">
                  <v:imagedata r:id="rId40" o:title=""/>
                </v:shape>
                <o:OLEObject Type="Embed" ProgID="Equation.3" ShapeID="_x0000_i1042" DrawAspect="Content" ObjectID="_1343657981" r:id="rId41"/>
              </w:object>
            </w:r>
            <w:r>
              <w:rPr>
                <w:lang w:val="en-US"/>
              </w:rPr>
              <w:t xml:space="preserve">     </w:t>
            </w:r>
          </w:p>
        </w:tc>
        <w:tc>
          <w:tcPr>
            <w:tcW w:w="583" w:type="dxa"/>
            <w:tcBorders>
              <w:top w:val="nil"/>
              <w:left w:val="nil"/>
              <w:bottom w:val="nil"/>
              <w:right w:val="nil"/>
            </w:tcBorders>
            <w:vAlign w:val="center"/>
          </w:tcPr>
          <w:p w:rsidR="004C074C" w:rsidRDefault="008D4EF6" w:rsidP="004C074C">
            <w:pPr>
              <w:spacing w:line="480" w:lineRule="auto"/>
              <w:jc w:val="center"/>
              <w:rPr>
                <w:lang w:val="en-US"/>
              </w:rPr>
            </w:pPr>
            <w:r>
              <w:rPr>
                <w:lang w:val="en-US"/>
              </w:rPr>
              <w:t>(5</w:t>
            </w:r>
            <w:r w:rsidR="004C074C">
              <w:rPr>
                <w:lang w:val="en-US"/>
              </w:rPr>
              <w:t>)</w:t>
            </w:r>
          </w:p>
        </w:tc>
      </w:tr>
    </w:tbl>
    <w:p w:rsidR="004C074C" w:rsidRDefault="008D4EF6" w:rsidP="004C074C">
      <w:pPr>
        <w:spacing w:line="480" w:lineRule="auto"/>
        <w:rPr>
          <w:lang w:val="en-US"/>
        </w:rPr>
      </w:pPr>
      <w:r>
        <w:rPr>
          <w:lang w:val="en-US"/>
        </w:rPr>
        <w:t xml:space="preserve"> As we will show later, minimizing the portfolio CVaR concentration leads to portfolios with a realatively low CVaR and a balanced CVaR allocation.   </w:t>
      </w:r>
    </w:p>
    <w:p w:rsidR="007C066F" w:rsidRDefault="007C066F" w:rsidP="001946C9">
      <w:pPr>
        <w:pStyle w:val="Heading2"/>
        <w:numPr>
          <w:ilvl w:val="0"/>
          <w:numId w:val="0"/>
        </w:numPr>
        <w:rPr>
          <w:lang w:val="en-US"/>
        </w:rPr>
      </w:pPr>
      <w:r>
        <w:rPr>
          <w:lang w:val="en-US"/>
        </w:rPr>
        <w:t xml:space="preserve">INTERPRETATION </w:t>
      </w:r>
    </w:p>
    <w:p w:rsidR="005151B7" w:rsidRDefault="005151B7" w:rsidP="004B1A49">
      <w:pPr>
        <w:spacing w:line="480" w:lineRule="auto"/>
        <w:ind w:firstLine="284"/>
        <w:rPr>
          <w:lang w:val="en-US"/>
        </w:rPr>
      </w:pPr>
      <w:r>
        <w:rPr>
          <w:lang w:val="en-US"/>
        </w:rPr>
        <w:t>The risk contributions in (</w:t>
      </w:r>
      <w:r w:rsidR="00693F2B">
        <w:rPr>
          <w:lang w:val="en-US"/>
        </w:rPr>
        <w:t>1</w:t>
      </w:r>
      <w:r>
        <w:rPr>
          <w:lang w:val="en-US"/>
        </w:rPr>
        <w:t xml:space="preserve">) can be interpreted as the marginal risk impact of the corresponding position. </w:t>
      </w:r>
      <w:r w:rsidR="00642E36">
        <w:t>B</w:t>
      </w:r>
      <w:r>
        <w:t>ecause of transaction costs, traders and portfolio managers often update their portfolios incrementally</w:t>
      </w:r>
      <w:r w:rsidR="00642E36">
        <w:t xml:space="preserve">, which </w:t>
      </w:r>
      <w:r w:rsidR="00642E36">
        <w:lastRenderedPageBreak/>
        <w:t>makes the marginal interpretation of risk contribution useful in practice</w:t>
      </w:r>
      <w:r>
        <w:t xml:space="preserve"> (Litterman [1996]</w:t>
      </w:r>
      <w:r w:rsidR="00DD5A18">
        <w:t>, Stoyanov, Rachev and Fabozzi [2009]</w:t>
      </w:r>
      <w:r>
        <w:t xml:space="preserve">).  </w:t>
      </w:r>
      <w:r w:rsidRPr="00F913D9">
        <w:rPr>
          <w:szCs w:val="20"/>
        </w:rPr>
        <w:t xml:space="preserve">Our proposal to </w:t>
      </w:r>
      <w:r>
        <w:rPr>
          <w:szCs w:val="20"/>
        </w:rPr>
        <w:t xml:space="preserve">use </w:t>
      </w:r>
      <w:r w:rsidR="003200F8">
        <w:rPr>
          <w:szCs w:val="20"/>
        </w:rPr>
        <w:t xml:space="preserve">the </w:t>
      </w:r>
      <w:r>
        <w:rPr>
          <w:szCs w:val="20"/>
        </w:rPr>
        <w:t xml:space="preserve">CVaR contributions </w:t>
      </w:r>
      <w:r w:rsidR="003200F8">
        <w:rPr>
          <w:szCs w:val="20"/>
        </w:rPr>
        <w:t xml:space="preserve">as an objective or constraint </w:t>
      </w:r>
      <w:r>
        <w:rPr>
          <w:szCs w:val="20"/>
        </w:rPr>
        <w:t xml:space="preserve">in portfolio optimization is based on the result </w:t>
      </w:r>
      <w:r w:rsidR="00A02888">
        <w:rPr>
          <w:szCs w:val="20"/>
        </w:rPr>
        <w:t xml:space="preserve">of </w:t>
      </w:r>
      <w:r w:rsidR="00A02888">
        <w:t xml:space="preserve">Scaillet [2002] </w:t>
      </w:r>
      <w:r>
        <w:rPr>
          <w:szCs w:val="20"/>
        </w:rPr>
        <w:t xml:space="preserve">that the contributions to </w:t>
      </w:r>
      <w:r>
        <w:rPr>
          <w:lang w:val="en-US"/>
        </w:rPr>
        <w:t xml:space="preserve">CVaR can also be interpreted as </w:t>
      </w:r>
      <w:r w:rsidR="007C581F">
        <w:rPr>
          <w:lang w:val="en-US"/>
        </w:rPr>
        <w:t xml:space="preserve">the </w:t>
      </w:r>
      <w:r w:rsidR="00642E36">
        <w:rPr>
          <w:lang w:val="en-US"/>
        </w:rPr>
        <w:t xml:space="preserve">conditional </w:t>
      </w:r>
      <w:r w:rsidR="007C581F">
        <w:rPr>
          <w:lang w:val="en-US"/>
        </w:rPr>
        <w:t xml:space="preserve">expectation of the </w:t>
      </w:r>
      <w:r>
        <w:rPr>
          <w:lang w:val="en-US"/>
        </w:rPr>
        <w:t xml:space="preserve">return </w:t>
      </w:r>
      <w:r w:rsidR="00642E36">
        <w:rPr>
          <w:lang w:val="en-US"/>
        </w:rPr>
        <w:t xml:space="preserve">of </w:t>
      </w:r>
      <w:r w:rsidR="007C581F">
        <w:rPr>
          <w:lang w:val="en-US"/>
        </w:rPr>
        <w:t xml:space="preserve">the portfolio component </w:t>
      </w:r>
      <w:r w:rsidR="00642E36">
        <w:rPr>
          <w:lang w:val="en-US"/>
        </w:rPr>
        <w:t>when</w:t>
      </w:r>
      <w:r>
        <w:rPr>
          <w:lang w:val="en-US"/>
        </w:rPr>
        <w:t xml:space="preserve"> the portfolio </w:t>
      </w:r>
      <w:r w:rsidR="00642E36">
        <w:rPr>
          <w:lang w:val="en-US"/>
        </w:rPr>
        <w:t>loss is</w:t>
      </w:r>
      <w:r>
        <w:rPr>
          <w:lang w:val="en-US"/>
        </w:rPr>
        <w:t xml:space="preserve"> </w:t>
      </w:r>
      <w:r w:rsidR="00642E36">
        <w:rPr>
          <w:lang w:val="en-US"/>
        </w:rPr>
        <w:t>larger</w:t>
      </w:r>
      <w:r>
        <w:rPr>
          <w:lang w:val="en-US"/>
        </w:rPr>
        <w:t xml:space="preserve"> than its VaR loss</w:t>
      </w:r>
      <w:r>
        <w:rPr>
          <w:szCs w:val="20"/>
        </w:rPr>
        <w:t xml:space="preserve">. More formally, let </w:t>
      </w:r>
      <w:r w:rsidRPr="008435D6">
        <w:rPr>
          <w:position w:val="-14"/>
        </w:rPr>
        <w:object w:dxaOrig="320" w:dyaOrig="400">
          <v:shape id="_x0000_i1043" type="#_x0000_t75" style="width:15.95pt;height:19.75pt" o:ole="">
            <v:imagedata r:id="rId42" o:title=""/>
          </v:shape>
          <o:OLEObject Type="Embed" ProgID="Equation.3" ShapeID="_x0000_i1043" DrawAspect="Content" ObjectID="_1343657982" r:id="rId43"/>
        </w:object>
      </w:r>
      <w:r>
        <w:t xml:space="preserve"> be the return on </w:t>
      </w:r>
      <w:r w:rsidR="00A02888">
        <w:t>position</w:t>
      </w:r>
      <w:r w:rsidRPr="008435D6">
        <w:rPr>
          <w:position w:val="-6"/>
        </w:rPr>
        <w:object w:dxaOrig="139" w:dyaOrig="260">
          <v:shape id="_x0000_i1044" type="#_x0000_t75" style="width:7pt;height:12.75pt" o:ole="">
            <v:imagedata r:id="rId44" o:title=""/>
          </v:shape>
          <o:OLEObject Type="Embed" ProgID="Equation.3" ShapeID="_x0000_i1044" DrawAspect="Content" ObjectID="_1343657983" r:id="rId45"/>
        </w:object>
      </w:r>
      <w:r w:rsidR="00A02888">
        <w:t>. We have that</w:t>
      </w:r>
      <w:r w:rsidR="00A02888">
        <w:rPr>
          <w:lang w:val="en-US"/>
        </w:rPr>
        <w:t>:</w:t>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6"/>
        <w:gridCol w:w="588"/>
      </w:tblGrid>
      <w:tr w:rsidR="00F11827" w:rsidTr="00D979F6">
        <w:trPr>
          <w:trHeight w:val="534"/>
        </w:trPr>
        <w:tc>
          <w:tcPr>
            <w:tcW w:w="8526" w:type="dxa"/>
            <w:tcBorders>
              <w:top w:val="nil"/>
              <w:left w:val="nil"/>
              <w:bottom w:val="nil"/>
              <w:right w:val="nil"/>
            </w:tcBorders>
          </w:tcPr>
          <w:p w:rsidR="00F11827" w:rsidRDefault="00F11827" w:rsidP="00CD3D46">
            <w:pPr>
              <w:spacing w:line="480" w:lineRule="auto"/>
              <w:jc w:val="center"/>
              <w:rPr>
                <w:lang w:val="en-US"/>
              </w:rPr>
            </w:pPr>
            <w:r w:rsidRPr="005C2F84">
              <w:rPr>
                <w:position w:val="-14"/>
                <w:lang w:val="en-US"/>
              </w:rPr>
              <w:object w:dxaOrig="4599" w:dyaOrig="400">
                <v:shape id="_x0000_i1045" type="#_x0000_t75" style="width:230pt;height:19.75pt" o:ole="">
                  <v:imagedata r:id="rId46" o:title=""/>
                </v:shape>
                <o:OLEObject Type="Embed" ProgID="Equation.3" ShapeID="_x0000_i1045" DrawAspect="Content" ObjectID="_1343657984" r:id="rId47"/>
              </w:object>
            </w:r>
            <w:r>
              <w:rPr>
                <w:lang w:val="en-US"/>
              </w:rPr>
              <w:t>.</w:t>
            </w:r>
          </w:p>
        </w:tc>
        <w:tc>
          <w:tcPr>
            <w:tcW w:w="588" w:type="dxa"/>
            <w:tcBorders>
              <w:top w:val="nil"/>
              <w:left w:val="nil"/>
              <w:bottom w:val="nil"/>
              <w:right w:val="nil"/>
            </w:tcBorders>
            <w:vAlign w:val="center"/>
          </w:tcPr>
          <w:p w:rsidR="00F11827" w:rsidRDefault="00F11827" w:rsidP="00B80762">
            <w:pPr>
              <w:spacing w:line="480" w:lineRule="auto"/>
              <w:jc w:val="center"/>
              <w:rPr>
                <w:lang w:val="en-US"/>
              </w:rPr>
            </w:pPr>
            <w:r>
              <w:rPr>
                <w:lang w:val="en-US"/>
              </w:rPr>
              <w:t>(</w:t>
            </w:r>
            <w:r w:rsidR="00B80762">
              <w:rPr>
                <w:lang w:val="en-US"/>
              </w:rPr>
              <w:t>6</w:t>
            </w:r>
            <w:r>
              <w:rPr>
                <w:lang w:val="en-US"/>
              </w:rPr>
              <w:t>)</w:t>
            </w:r>
          </w:p>
        </w:tc>
      </w:tr>
    </w:tbl>
    <w:p w:rsidR="001C60DA" w:rsidRDefault="001C60DA" w:rsidP="001C60DA">
      <w:pPr>
        <w:spacing w:line="480" w:lineRule="auto"/>
        <w:rPr>
          <w:lang w:val="en-US"/>
        </w:rPr>
      </w:pPr>
      <w:r>
        <w:rPr>
          <w:lang w:val="en-US"/>
        </w:rPr>
        <w:t>From (1) and (</w:t>
      </w:r>
      <w:r w:rsidR="00693F2B">
        <w:rPr>
          <w:lang w:val="en-US"/>
        </w:rPr>
        <w:t>6</w:t>
      </w:r>
      <w:r>
        <w:rPr>
          <w:lang w:val="en-US"/>
        </w:rPr>
        <w:t xml:space="preserve">) it follows that the percentage CVaR contribution can be rewritten as the ratio </w:t>
      </w:r>
      <w:r w:rsidR="00A02888">
        <w:rPr>
          <w:lang w:val="en-US"/>
        </w:rPr>
        <w:t>between</w:t>
      </w:r>
      <w:r>
        <w:rPr>
          <w:lang w:val="en-US"/>
        </w:rPr>
        <w:t xml:space="preserve"> the expected return on the position at the time the portfolio experiences a beyond VaR loss </w:t>
      </w:r>
      <w:r w:rsidR="00A02888">
        <w:rPr>
          <w:lang w:val="en-US"/>
        </w:rPr>
        <w:t>and</w:t>
      </w:r>
      <w:r>
        <w:rPr>
          <w:lang w:val="en-US"/>
        </w:rPr>
        <w:t xml:space="preserve"> the expected value of these beyond VaR </w:t>
      </w:r>
      <w:r w:rsidR="00A02888">
        <w:rPr>
          <w:lang w:val="en-US"/>
        </w:rPr>
        <w:t>portfolio losses:</w:t>
      </w:r>
      <w:r>
        <w:rPr>
          <w:lang w:val="en-US"/>
        </w:rPr>
        <w:t xml:space="preserve"> </w:t>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6"/>
        <w:gridCol w:w="588"/>
      </w:tblGrid>
      <w:tr w:rsidR="001C60DA" w:rsidTr="004003E1">
        <w:trPr>
          <w:trHeight w:val="534"/>
        </w:trPr>
        <w:tc>
          <w:tcPr>
            <w:tcW w:w="8526" w:type="dxa"/>
            <w:tcBorders>
              <w:top w:val="nil"/>
              <w:left w:val="nil"/>
              <w:bottom w:val="nil"/>
              <w:right w:val="nil"/>
            </w:tcBorders>
          </w:tcPr>
          <w:p w:rsidR="001C60DA" w:rsidRDefault="001A6FB3" w:rsidP="001C60DA">
            <w:pPr>
              <w:spacing w:line="480" w:lineRule="auto"/>
              <w:jc w:val="center"/>
              <w:rPr>
                <w:lang w:val="en-US"/>
              </w:rPr>
            </w:pPr>
            <w:r w:rsidRPr="00C068E7">
              <w:rPr>
                <w:position w:val="-30"/>
                <w:lang w:val="en-US"/>
              </w:rPr>
              <w:object w:dxaOrig="4640" w:dyaOrig="760">
                <v:shape id="_x0000_i1046" type="#_x0000_t75" style="width:231.95pt;height:38.25pt" o:ole="">
                  <v:imagedata r:id="rId48" o:title=""/>
                </v:shape>
                <o:OLEObject Type="Embed" ProgID="Equation.3" ShapeID="_x0000_i1046" DrawAspect="Content" ObjectID="_1343657985" r:id="rId49"/>
              </w:object>
            </w:r>
            <w:r w:rsidR="001C60DA">
              <w:rPr>
                <w:lang w:val="en-US"/>
              </w:rPr>
              <w:t>.</w:t>
            </w:r>
          </w:p>
        </w:tc>
        <w:tc>
          <w:tcPr>
            <w:tcW w:w="588" w:type="dxa"/>
            <w:tcBorders>
              <w:top w:val="nil"/>
              <w:left w:val="nil"/>
              <w:bottom w:val="nil"/>
              <w:right w:val="nil"/>
            </w:tcBorders>
            <w:vAlign w:val="center"/>
          </w:tcPr>
          <w:p w:rsidR="001C60DA" w:rsidRDefault="001C60DA" w:rsidP="00B80762">
            <w:pPr>
              <w:spacing w:line="480" w:lineRule="auto"/>
              <w:jc w:val="center"/>
              <w:rPr>
                <w:lang w:val="en-US"/>
              </w:rPr>
            </w:pPr>
            <w:r>
              <w:rPr>
                <w:lang w:val="en-US"/>
              </w:rPr>
              <w:t>(</w:t>
            </w:r>
            <w:r w:rsidR="00B80762">
              <w:rPr>
                <w:lang w:val="en-US"/>
              </w:rPr>
              <w:t>7</w:t>
            </w:r>
            <w:r>
              <w:rPr>
                <w:lang w:val="en-US"/>
              </w:rPr>
              <w:t>)</w:t>
            </w:r>
          </w:p>
        </w:tc>
      </w:tr>
    </w:tbl>
    <w:p w:rsidR="00C068E7" w:rsidRDefault="001C60DA" w:rsidP="001C60DA">
      <w:pPr>
        <w:spacing w:line="480" w:lineRule="auto"/>
      </w:pPr>
      <w:r>
        <w:t>I</w:t>
      </w:r>
      <w:r>
        <w:rPr>
          <w:lang w:val="en-US"/>
        </w:rPr>
        <w:t xml:space="preserve">n almost all practical cases, </w:t>
      </w:r>
      <w:r>
        <w:t>the denominator in (</w:t>
      </w:r>
      <w:r w:rsidR="009C2F50">
        <w:t>7</w:t>
      </w:r>
      <w:r>
        <w:t xml:space="preserve">) is negative such that a high positive percentage CVaR </w:t>
      </w:r>
      <w:r w:rsidR="009C2F50">
        <w:t xml:space="preserve">contribution </w:t>
      </w:r>
      <w:r>
        <w:t>indicates that the posi</w:t>
      </w:r>
      <w:r w:rsidR="009C2F50">
        <w:t xml:space="preserve">tion has a large loss when </w:t>
      </w:r>
      <w:r>
        <w:t xml:space="preserve">the portfolio </w:t>
      </w:r>
      <w:r w:rsidR="009C2F50">
        <w:t xml:space="preserve">also </w:t>
      </w:r>
      <w:r>
        <w:t xml:space="preserve">has a large loss. The higher the percentage CVaR, the more the portfolio downside risk is concentrated on that asset and vice versa. </w:t>
      </w:r>
    </w:p>
    <w:p w:rsidR="009F6FCA" w:rsidRPr="009F6FCA" w:rsidRDefault="009F6FCA" w:rsidP="00C00844">
      <w:pPr>
        <w:pStyle w:val="Heading2"/>
        <w:numPr>
          <w:ilvl w:val="0"/>
          <w:numId w:val="0"/>
        </w:numPr>
        <w:ind w:left="340" w:hanging="340"/>
      </w:pPr>
      <w:r w:rsidRPr="009F6FCA">
        <w:rPr>
          <w:lang w:val="en-US"/>
        </w:rPr>
        <w:t xml:space="preserve">ESTIMATION </w:t>
      </w:r>
    </w:p>
    <w:p w:rsidR="00CF66CF" w:rsidRDefault="00AB368B" w:rsidP="007F62B3">
      <w:pPr>
        <w:spacing w:line="480" w:lineRule="auto"/>
      </w:pPr>
      <w:r>
        <w:t xml:space="preserve">The actual risk contributions </w:t>
      </w:r>
      <w:r w:rsidR="002E6C2F">
        <w:t>can be estimated in two ways. A first approach is</w:t>
      </w:r>
      <w:r w:rsidR="00235628">
        <w:t xml:space="preserve"> </w:t>
      </w:r>
      <w:r w:rsidR="00C068E7">
        <w:t>to estimate the risk contributions in (</w:t>
      </w:r>
      <w:r w:rsidR="00693F2B">
        <w:t>6</w:t>
      </w:r>
      <w:r w:rsidR="00C068E7">
        <w:t xml:space="preserve">) by replacing the expectations with the sample counterparts evaluated at historical or simulated data.  </w:t>
      </w:r>
      <w:r w:rsidR="002B7873">
        <w:t>In a portfolio optimization setting the risk contributions need</w:t>
      </w:r>
      <w:r w:rsidR="00351E53">
        <w:t>s</w:t>
      </w:r>
      <w:r w:rsidR="002B7873">
        <w:t xml:space="preserve"> to be evaluated for a large number of possible weights and therefore fast and explicit estimators are needed.  A more elegant approach </w:t>
      </w:r>
      <w:r w:rsidR="00351E53">
        <w:t xml:space="preserve">for optimization problems </w:t>
      </w:r>
      <w:r w:rsidR="002B7873">
        <w:t>is therefore to</w:t>
      </w:r>
      <w:r w:rsidR="002E6C2F">
        <w:t xml:space="preserve"> derive the </w:t>
      </w:r>
      <w:r>
        <w:t xml:space="preserve">analytical formulae </w:t>
      </w:r>
      <w:r w:rsidR="002E6C2F">
        <w:t xml:space="preserve">of the risk contributions. </w:t>
      </w:r>
      <w:r w:rsidR="002A0E76">
        <w:t xml:space="preserve"> </w:t>
      </w:r>
      <w:r w:rsidR="00567EF7">
        <w:t>If</w:t>
      </w:r>
      <w:r w:rsidR="003D55AE">
        <w:t xml:space="preserve"> </w:t>
      </w:r>
      <w:r w:rsidR="00CF66CF">
        <w:t xml:space="preserve">the returns at time </w:t>
      </w:r>
      <w:r w:rsidR="002B63AB" w:rsidRPr="002B63AB">
        <w:rPr>
          <w:position w:val="-6"/>
        </w:rPr>
        <w:object w:dxaOrig="139" w:dyaOrig="240">
          <v:shape id="_x0000_i1047" type="#_x0000_t75" style="width:7pt;height:12.1pt" o:ole="">
            <v:imagedata r:id="rId50" o:title=""/>
          </v:shape>
          <o:OLEObject Type="Embed" ProgID="Equation.3" ShapeID="_x0000_i1047" DrawAspect="Content" ObjectID="_1343657986" r:id="rId51"/>
        </w:object>
      </w:r>
      <w:r w:rsidR="00CF66CF">
        <w:t xml:space="preserve">are conditionally normally distributed with mean </w:t>
      </w:r>
      <w:r w:rsidR="00CF66CF" w:rsidRPr="00305F92">
        <w:rPr>
          <w:position w:val="-12"/>
        </w:rPr>
        <w:object w:dxaOrig="320" w:dyaOrig="380">
          <v:shape id="_x0000_i1048" type="#_x0000_t75" style="width:15.95pt;height:19.1pt" o:ole="">
            <v:imagedata r:id="rId52" o:title=""/>
          </v:shape>
          <o:OLEObject Type="Embed" ProgID="Equation.3" ShapeID="_x0000_i1048" DrawAspect="Content" ObjectID="_1343657987" r:id="rId53"/>
        </w:object>
      </w:r>
      <w:r w:rsidR="00CF66CF">
        <w:t xml:space="preserve"> and covariance matrix </w:t>
      </w:r>
      <w:r w:rsidR="00D55CFB" w:rsidRPr="00305F92">
        <w:rPr>
          <w:position w:val="-12"/>
        </w:rPr>
        <w:object w:dxaOrig="380" w:dyaOrig="380">
          <v:shape id="_x0000_i1049" type="#_x0000_t75" style="width:19.1pt;height:19.1pt" o:ole="">
            <v:imagedata r:id="rId54" o:title=""/>
          </v:shape>
          <o:OLEObject Type="Embed" ProgID="Equation.3" ShapeID="_x0000_i1049" DrawAspect="Content" ObjectID="_1343657988" r:id="rId55"/>
        </w:object>
      </w:r>
      <w:r w:rsidR="00567EF7">
        <w:t>t</w:t>
      </w:r>
      <w:r w:rsidR="00CF66CF">
        <w:t>hen CVaR at time t is given by:</w:t>
      </w:r>
    </w:p>
    <w:tbl>
      <w:tblPr>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92"/>
        <w:gridCol w:w="598"/>
      </w:tblGrid>
      <w:tr w:rsidR="00CF66CF" w:rsidTr="002B7873">
        <w:trPr>
          <w:trHeight w:val="976"/>
        </w:trPr>
        <w:tc>
          <w:tcPr>
            <w:tcW w:w="8692" w:type="dxa"/>
            <w:tcBorders>
              <w:top w:val="nil"/>
              <w:left w:val="nil"/>
              <w:bottom w:val="nil"/>
              <w:right w:val="nil"/>
            </w:tcBorders>
          </w:tcPr>
          <w:p w:rsidR="00CF66CF" w:rsidRDefault="001A6FB3" w:rsidP="000E5064">
            <w:pPr>
              <w:spacing w:line="480" w:lineRule="auto"/>
              <w:jc w:val="center"/>
              <w:rPr>
                <w:lang w:val="en-US"/>
              </w:rPr>
            </w:pPr>
            <w:r w:rsidRPr="00CF66CF">
              <w:rPr>
                <w:position w:val="-24"/>
                <w:lang w:val="en-US"/>
              </w:rPr>
              <w:object w:dxaOrig="3879" w:dyaOrig="660">
                <v:shape id="_x0000_i1050" type="#_x0000_t75" style="width:193.7pt;height:33.15pt" o:ole="">
                  <v:imagedata r:id="rId56" o:title=""/>
                </v:shape>
                <o:OLEObject Type="Embed" ProgID="Equation.3" ShapeID="_x0000_i1050" DrawAspect="Content" ObjectID="_1343657989" r:id="rId57"/>
              </w:object>
            </w:r>
            <w:r w:rsidR="00CF66CF">
              <w:rPr>
                <w:lang w:val="en-US"/>
              </w:rPr>
              <w:t>,</w:t>
            </w:r>
          </w:p>
        </w:tc>
        <w:tc>
          <w:tcPr>
            <w:tcW w:w="598" w:type="dxa"/>
            <w:tcBorders>
              <w:top w:val="nil"/>
              <w:left w:val="nil"/>
              <w:bottom w:val="nil"/>
              <w:right w:val="nil"/>
            </w:tcBorders>
            <w:vAlign w:val="center"/>
          </w:tcPr>
          <w:p w:rsidR="00CF66CF" w:rsidRDefault="00CF66CF" w:rsidP="00B80762">
            <w:pPr>
              <w:spacing w:line="480" w:lineRule="auto"/>
              <w:jc w:val="center"/>
              <w:rPr>
                <w:lang w:val="en-US"/>
              </w:rPr>
            </w:pPr>
            <w:r>
              <w:rPr>
                <w:lang w:val="en-US"/>
              </w:rPr>
              <w:t>(</w:t>
            </w:r>
            <w:r w:rsidR="00B80762">
              <w:rPr>
                <w:lang w:val="en-US"/>
              </w:rPr>
              <w:t>8</w:t>
            </w:r>
            <w:r>
              <w:rPr>
                <w:lang w:val="en-US"/>
              </w:rPr>
              <w:t>)</w:t>
            </w:r>
          </w:p>
        </w:tc>
      </w:tr>
    </w:tbl>
    <w:p w:rsidR="00CF66CF" w:rsidRDefault="00CF66CF" w:rsidP="00CF66CF">
      <w:pPr>
        <w:spacing w:line="480" w:lineRule="auto"/>
      </w:pPr>
      <w:r>
        <w:t xml:space="preserve">with </w:t>
      </w:r>
      <w:r w:rsidRPr="00305F92">
        <w:rPr>
          <w:position w:val="-12"/>
        </w:rPr>
        <w:object w:dxaOrig="279" w:dyaOrig="380">
          <v:shape id="_x0000_i1051" type="#_x0000_t75" style="width:14pt;height:19.1pt" o:ole="">
            <v:imagedata r:id="rId58" o:title=""/>
          </v:shape>
          <o:OLEObject Type="Embed" ProgID="Equation.3" ShapeID="_x0000_i1051" DrawAspect="Content" ObjectID="_1343657990" r:id="rId59"/>
        </w:object>
      </w:r>
      <w:r>
        <w:t xml:space="preserve"> the </w:t>
      </w:r>
      <w:r w:rsidRPr="00305F92">
        <w:rPr>
          <w:position w:val="-6"/>
        </w:rPr>
        <w:object w:dxaOrig="240" w:dyaOrig="220">
          <v:shape id="_x0000_i1052" type="#_x0000_t75" style="width:12.1pt;height:10.85pt" o:ole="">
            <v:imagedata r:id="rId60" o:title=""/>
          </v:shape>
          <o:OLEObject Type="Embed" ProgID="Equation.3" ShapeID="_x0000_i1052" DrawAspect="Content" ObjectID="_1343657991" r:id="rId61"/>
        </w:object>
      </w:r>
      <w:r>
        <w:t xml:space="preserve">-quantile of the standard normal distribution and </w:t>
      </w:r>
      <w:r w:rsidR="00BA6C14" w:rsidRPr="00CF66CF">
        <w:rPr>
          <w:position w:val="-10"/>
        </w:rPr>
        <w:object w:dxaOrig="200" w:dyaOrig="320">
          <v:shape id="_x0000_i1053" type="#_x0000_t75" style="width:10.2pt;height:15.95pt" o:ole="">
            <v:imagedata r:id="rId62" o:title=""/>
          </v:shape>
          <o:OLEObject Type="Embed" ProgID="Equation.3" ShapeID="_x0000_i1053" DrawAspect="Content" ObjectID="_1343657992" r:id="rId63"/>
        </w:object>
      </w:r>
      <w:r w:rsidR="003D55AE">
        <w:t xml:space="preserve"> </w:t>
      </w:r>
      <w:r>
        <w:t>the sta</w:t>
      </w:r>
      <w:r w:rsidR="00BA6C14">
        <w:t>ndard normal density function. The contribution to CVaR is</w:t>
      </w:r>
      <w:r w:rsidR="003D55AE">
        <w:t xml:space="preserve"> then</w:t>
      </w:r>
      <w:r w:rsidR="00A02888">
        <w:t>:</w:t>
      </w:r>
      <w:r w:rsidR="003D55AE">
        <w:t xml:space="preserve"> </w:t>
      </w:r>
      <w:r w:rsidR="00BA6C14">
        <w:t xml:space="preserve"> </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49"/>
        <w:gridCol w:w="595"/>
      </w:tblGrid>
      <w:tr w:rsidR="00BA6C14" w:rsidTr="009C49CC">
        <w:trPr>
          <w:trHeight w:val="1228"/>
        </w:trPr>
        <w:tc>
          <w:tcPr>
            <w:tcW w:w="8649" w:type="dxa"/>
            <w:tcBorders>
              <w:top w:val="nil"/>
              <w:left w:val="nil"/>
              <w:bottom w:val="nil"/>
              <w:right w:val="nil"/>
            </w:tcBorders>
          </w:tcPr>
          <w:p w:rsidR="00BA6C14" w:rsidRDefault="000C4137" w:rsidP="000E5064">
            <w:pPr>
              <w:spacing w:line="480" w:lineRule="auto"/>
              <w:jc w:val="center"/>
              <w:rPr>
                <w:lang w:val="en-US"/>
              </w:rPr>
            </w:pPr>
            <w:r w:rsidRPr="000C4137">
              <w:rPr>
                <w:position w:val="-40"/>
                <w:lang w:val="en-US"/>
              </w:rPr>
              <w:object w:dxaOrig="4660" w:dyaOrig="920">
                <v:shape id="_x0000_i1054" type="#_x0000_t75" style="width:233.2pt;height:45.9pt" o:ole="">
                  <v:imagedata r:id="rId64" o:title=""/>
                </v:shape>
                <o:OLEObject Type="Embed" ProgID="Equation.3" ShapeID="_x0000_i1054" DrawAspect="Content" ObjectID="_1343657993" r:id="rId65"/>
              </w:object>
            </w:r>
            <w:r w:rsidR="00BA6C14">
              <w:rPr>
                <w:lang w:val="en-US"/>
              </w:rPr>
              <w:t>.</w:t>
            </w:r>
          </w:p>
        </w:tc>
        <w:tc>
          <w:tcPr>
            <w:tcW w:w="595" w:type="dxa"/>
            <w:tcBorders>
              <w:top w:val="nil"/>
              <w:left w:val="nil"/>
              <w:bottom w:val="nil"/>
              <w:right w:val="nil"/>
            </w:tcBorders>
            <w:vAlign w:val="center"/>
          </w:tcPr>
          <w:p w:rsidR="00BA6C14" w:rsidRDefault="00BA6C14" w:rsidP="00B80762">
            <w:pPr>
              <w:spacing w:line="480" w:lineRule="auto"/>
              <w:jc w:val="center"/>
              <w:rPr>
                <w:lang w:val="en-US"/>
              </w:rPr>
            </w:pPr>
            <w:r>
              <w:rPr>
                <w:lang w:val="en-US"/>
              </w:rPr>
              <w:t>(</w:t>
            </w:r>
            <w:r w:rsidR="00B80762">
              <w:rPr>
                <w:lang w:val="en-US"/>
              </w:rPr>
              <w:t>9</w:t>
            </w:r>
            <w:r>
              <w:rPr>
                <w:lang w:val="en-US"/>
              </w:rPr>
              <w:t>)</w:t>
            </w:r>
          </w:p>
        </w:tc>
      </w:tr>
    </w:tbl>
    <w:p w:rsidR="00D86B7B" w:rsidRDefault="00D86B7B" w:rsidP="00D86B7B">
      <w:pPr>
        <w:spacing w:line="480" w:lineRule="auto"/>
        <w:ind w:firstLine="284"/>
      </w:pPr>
      <w:r>
        <w:lastRenderedPageBreak/>
        <w:t xml:space="preserve">Financial returns are usually non-normally distributed. In Boudt, Peterson and Croux [2008] we used Cornish-Fisher expansions to construct an explicit estimator of portfolio CVaR and its contributions that accounts for the observed skewness and </w:t>
      </w:r>
      <w:r w:rsidR="00002D35">
        <w:t xml:space="preserve">excess </w:t>
      </w:r>
      <w:r>
        <w:t xml:space="preserve">kurtosis in the data. To save space, we refer the reader to Boudt, Peterson and Croux [2008] for the exact definition of this “Cornish-Fisher CVaR” estimator and to the Appendix for details on the implementation of this estimation method </w:t>
      </w:r>
      <w:r w:rsidR="00351E53">
        <w:t xml:space="preserve">as </w:t>
      </w:r>
      <w:r>
        <w:t>used in this paper.  Throughout the paper, we set the loss probability</w:t>
      </w:r>
      <w:r w:rsidRPr="00305F92">
        <w:rPr>
          <w:position w:val="-6"/>
        </w:rPr>
        <w:object w:dxaOrig="240" w:dyaOrig="220">
          <v:shape id="_x0000_i1055" type="#_x0000_t75" style="width:12.1pt;height:10.85pt" o:ole="">
            <v:imagedata r:id="rId66" o:title=""/>
          </v:shape>
          <o:OLEObject Type="Embed" ProgID="Equation.3" ShapeID="_x0000_i1055" DrawAspect="Content" ObjectID="_1343657994" r:id="rId67"/>
        </w:object>
      </w:r>
      <w:r>
        <w:t>to 5%.</w:t>
      </w:r>
    </w:p>
    <w:p w:rsidR="00FA5CDE" w:rsidRDefault="00013344" w:rsidP="00FA5CDE">
      <w:pPr>
        <w:pStyle w:val="Heading1"/>
        <w:numPr>
          <w:ilvl w:val="0"/>
          <w:numId w:val="0"/>
        </w:numPr>
        <w:spacing w:line="480" w:lineRule="auto"/>
        <w:rPr>
          <w:lang w:val="en-US"/>
        </w:rPr>
      </w:pPr>
      <w:r>
        <w:rPr>
          <w:lang w:val="en-US"/>
        </w:rPr>
        <w:t xml:space="preserve">CVaR </w:t>
      </w:r>
      <w:r w:rsidR="006D1B4D">
        <w:rPr>
          <w:lang w:val="en-US"/>
        </w:rPr>
        <w:t xml:space="preserve">RISK </w:t>
      </w:r>
      <w:r w:rsidR="00FA5CDE">
        <w:rPr>
          <w:lang w:val="en-US"/>
        </w:rPr>
        <w:t>BUDGET</w:t>
      </w:r>
      <w:r>
        <w:rPr>
          <w:lang w:val="en-US"/>
        </w:rPr>
        <w:t xml:space="preserve">S </w:t>
      </w:r>
      <w:r w:rsidR="00FA5CDE">
        <w:rPr>
          <w:lang w:val="en-US"/>
        </w:rPr>
        <w:t>IN PORTFOLIO OPTIMIZATION</w:t>
      </w:r>
    </w:p>
    <w:p w:rsidR="00CA4E35" w:rsidRDefault="00CA4E35" w:rsidP="00CA4E35">
      <w:pPr>
        <w:spacing w:line="480" w:lineRule="auto"/>
        <w:ind w:firstLine="284"/>
        <w:rPr>
          <w:lang w:val="en-US"/>
        </w:rPr>
      </w:pPr>
      <w:r>
        <w:rPr>
          <w:lang w:val="en-US"/>
        </w:rPr>
        <w:t>Previously, risk budget</w:t>
      </w:r>
      <w:r w:rsidR="007166D7">
        <w:rPr>
          <w:lang w:val="en-US"/>
        </w:rPr>
        <w:t>s</w:t>
      </w:r>
      <w:r>
        <w:rPr>
          <w:lang w:val="en-US"/>
        </w:rPr>
        <w:t xml:space="preserve"> based on portfolio standard deviation and value-at-risk have been used either as an </w:t>
      </w:r>
      <w:r w:rsidRPr="00351E53">
        <w:rPr>
          <w:i/>
          <w:lang w:val="en-US"/>
        </w:rPr>
        <w:t>ex post</w:t>
      </w:r>
      <w:r>
        <w:rPr>
          <w:lang w:val="en-US"/>
        </w:rPr>
        <w:t xml:space="preserve"> or </w:t>
      </w:r>
      <w:r w:rsidRPr="00351E53">
        <w:rPr>
          <w:i/>
          <w:lang w:val="en-US"/>
        </w:rPr>
        <w:t>ex ante</w:t>
      </w:r>
      <w:r>
        <w:rPr>
          <w:lang w:val="en-US"/>
        </w:rPr>
        <w:t xml:space="preserve"> </w:t>
      </w:r>
      <w:r w:rsidR="006D1B4D">
        <w:rPr>
          <w:lang w:val="en-US"/>
        </w:rPr>
        <w:t>tool for</w:t>
      </w:r>
      <w:r>
        <w:rPr>
          <w:lang w:val="en-US"/>
        </w:rPr>
        <w:t xml:space="preserve"> tun</w:t>
      </w:r>
      <w:r w:rsidR="006D1B4D">
        <w:rPr>
          <w:lang w:val="en-US"/>
        </w:rPr>
        <w:t>ing</w:t>
      </w:r>
      <w:r>
        <w:rPr>
          <w:lang w:val="en-US"/>
        </w:rPr>
        <w:t xml:space="preserve"> the portfolio allocation.</w:t>
      </w:r>
    </w:p>
    <w:p w:rsidR="00CA4E35" w:rsidRDefault="00CA4E35" w:rsidP="00CA4E35">
      <w:pPr>
        <w:spacing w:line="480" w:lineRule="auto"/>
        <w:ind w:firstLine="284"/>
        <w:rPr>
          <w:lang w:val="en-US"/>
        </w:rPr>
      </w:pPr>
      <w:r>
        <w:rPr>
          <w:lang w:val="en-US"/>
        </w:rPr>
        <w:t xml:space="preserve">In the ex post approach, the portfolio is first optimized without taking the risk allocation </w:t>
      </w:r>
      <w:r w:rsidR="009C2F50">
        <w:rPr>
          <w:lang w:val="en-US"/>
        </w:rPr>
        <w:t>into</w:t>
      </w:r>
      <w:r>
        <w:rPr>
          <w:lang w:val="en-US"/>
        </w:rPr>
        <w:t xml:space="preserve"> account. Next the risk budget of the optimal portfolio is estimated and risk budget violations are adjusted on a marginal basis. This process is described by Litterman [1996].  He notes that by definition, component risk measures are proportional to the marginal impact of that position on portfolio risk.  </w:t>
      </w:r>
      <w:r>
        <w:t>When the risk contribution of a position is zero, Litterman [1996] calls this the “best hedge” position for that portfolio component. The positions with the largest risk contributions are called “hot spots</w:t>
      </w:r>
      <w:r>
        <w:rPr>
          <w:vertAlign w:val="superscript"/>
          <w:lang w:val="en-US"/>
        </w:rPr>
        <w:t>TM</w:t>
      </w:r>
      <w:r>
        <w:rPr>
          <w:lang w:val="en-US"/>
        </w:rPr>
        <w:t xml:space="preserve">”. If a risk contribution is negative, a small increase in the corresponding portfolio weight leads to a decrease in the portfolio risk.  Keel and Ardia [2009] show however that reallocation of the portfolio based on these risk contributions is limited in two ways. First of all, as a sensitivity measure, they are only precise for infinitesimal changes, but for realistic reallocations, these approximations can be poor. Second, they assume changing a single position keeping fixed all other positions. In the presence of a full investment constraint, this is unrealistic. </w:t>
      </w:r>
    </w:p>
    <w:p w:rsidR="001E620F" w:rsidRDefault="00CA4E35" w:rsidP="00102779">
      <w:pPr>
        <w:spacing w:line="480" w:lineRule="auto"/>
        <w:ind w:firstLine="284"/>
        <w:rPr>
          <w:lang w:val="en-US"/>
        </w:rPr>
      </w:pPr>
      <w:r>
        <w:rPr>
          <w:lang w:val="en-US"/>
        </w:rPr>
        <w:t>The ex ante use of risk budgets in portfolio allocation is more recent and has focused on constructing a portfolio that allocates portfolio variance equally across asset classes, including stocks, bonds and commodities. Qian [2005] calls this the “Risk Parity Portfolio” and Maillard, Roncalli and Teileche [</w:t>
      </w:r>
      <w:r w:rsidR="003E269B">
        <w:rPr>
          <w:lang w:val="en-US"/>
        </w:rPr>
        <w:t>2010</w:t>
      </w:r>
      <w:r>
        <w:rPr>
          <w:lang w:val="en-US"/>
        </w:rPr>
        <w:t>] describe it as the “Equally-Weighted Risk Contribution Portfolio”</w:t>
      </w:r>
      <w:r w:rsidR="009978B9">
        <w:rPr>
          <w:lang w:val="en-US"/>
        </w:rPr>
        <w:t xml:space="preserve"> or, simply, the Equal-Risk Contribution (ERC) portfolio</w:t>
      </w:r>
      <w:r>
        <w:rPr>
          <w:lang w:val="en-US"/>
        </w:rPr>
        <w:t xml:space="preserve">.  </w:t>
      </w:r>
      <w:r w:rsidR="00102779">
        <w:rPr>
          <w:lang w:val="en-US"/>
        </w:rPr>
        <w:t xml:space="preserve">We follow the latter </w:t>
      </w:r>
      <w:r w:rsidR="00866B6A">
        <w:rPr>
          <w:lang w:val="en-US"/>
        </w:rPr>
        <w:t>approach and</w:t>
      </w:r>
      <w:r w:rsidR="00351E53">
        <w:rPr>
          <w:lang w:val="en-US"/>
        </w:rPr>
        <w:t xml:space="preserve"> </w:t>
      </w:r>
      <w:r w:rsidR="00102779">
        <w:rPr>
          <w:lang w:val="en-US"/>
        </w:rPr>
        <w:t xml:space="preserve">focus on the use of </w:t>
      </w:r>
      <w:r w:rsidR="00351E53">
        <w:rPr>
          <w:lang w:val="en-US"/>
        </w:rPr>
        <w:t xml:space="preserve">ex ante </w:t>
      </w:r>
      <w:r w:rsidR="00102779">
        <w:rPr>
          <w:lang w:val="en-US"/>
        </w:rPr>
        <w:t xml:space="preserve">CVaR budgets to control the downside risk allocation. </w:t>
      </w:r>
    </w:p>
    <w:p w:rsidR="004C074C" w:rsidRDefault="004C074C" w:rsidP="00102779">
      <w:pPr>
        <w:spacing w:line="480" w:lineRule="auto"/>
        <w:ind w:firstLine="284"/>
        <w:rPr>
          <w:lang w:val="en-US"/>
        </w:rPr>
      </w:pPr>
      <w:r>
        <w:rPr>
          <w:lang w:val="en-US"/>
        </w:rPr>
        <w:t xml:space="preserve">For realistic portfolio optimization problems, the ERC constraint that </w:t>
      </w: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55"/>
        <w:gridCol w:w="588"/>
      </w:tblGrid>
      <w:tr w:rsidR="004C074C" w:rsidTr="004C074C">
        <w:trPr>
          <w:trHeight w:val="534"/>
        </w:trPr>
        <w:tc>
          <w:tcPr>
            <w:tcW w:w="8755" w:type="dxa"/>
            <w:tcBorders>
              <w:top w:val="nil"/>
              <w:left w:val="nil"/>
              <w:bottom w:val="nil"/>
              <w:right w:val="nil"/>
            </w:tcBorders>
          </w:tcPr>
          <w:p w:rsidR="004C074C" w:rsidRDefault="004C074C" w:rsidP="004C074C">
            <w:pPr>
              <w:spacing w:line="480" w:lineRule="auto"/>
              <w:jc w:val="center"/>
              <w:rPr>
                <w:lang w:val="en-US"/>
              </w:rPr>
            </w:pPr>
            <w:r w:rsidRPr="004C01C0">
              <w:rPr>
                <w:position w:val="-14"/>
                <w:lang w:val="en-US"/>
              </w:rPr>
              <w:object w:dxaOrig="4520" w:dyaOrig="400">
                <v:shape id="_x0000_i1056" type="#_x0000_t75" style="width:226.2pt;height:19.75pt" o:ole="">
                  <v:imagedata r:id="rId68" o:title=""/>
                </v:shape>
                <o:OLEObject Type="Embed" ProgID="Equation.3" ShapeID="_x0000_i1056" DrawAspect="Content" ObjectID="_1343657995" r:id="rId69"/>
              </w:object>
            </w:r>
            <w:r>
              <w:rPr>
                <w:lang w:val="en-US"/>
              </w:rPr>
              <w:t xml:space="preserve"> </w:t>
            </w:r>
          </w:p>
        </w:tc>
        <w:tc>
          <w:tcPr>
            <w:tcW w:w="588" w:type="dxa"/>
            <w:tcBorders>
              <w:top w:val="nil"/>
              <w:left w:val="nil"/>
              <w:bottom w:val="nil"/>
              <w:right w:val="nil"/>
            </w:tcBorders>
            <w:vAlign w:val="center"/>
          </w:tcPr>
          <w:p w:rsidR="004C074C" w:rsidRDefault="004C074C" w:rsidP="005C7D24">
            <w:pPr>
              <w:spacing w:line="480" w:lineRule="auto"/>
              <w:jc w:val="center"/>
              <w:rPr>
                <w:lang w:val="en-US"/>
              </w:rPr>
            </w:pPr>
            <w:r>
              <w:rPr>
                <w:lang w:val="en-US"/>
              </w:rPr>
              <w:t>(1</w:t>
            </w:r>
            <w:r w:rsidR="005C7D24">
              <w:rPr>
                <w:lang w:val="en-US"/>
              </w:rPr>
              <w:t>0</w:t>
            </w:r>
            <w:r>
              <w:rPr>
                <w:lang w:val="en-US"/>
              </w:rPr>
              <w:t>)</w:t>
            </w:r>
          </w:p>
        </w:tc>
      </w:tr>
    </w:tbl>
    <w:p w:rsidR="008D4EF6" w:rsidRDefault="004C074C" w:rsidP="008D4EF6">
      <w:pPr>
        <w:spacing w:line="480" w:lineRule="auto"/>
      </w:pPr>
      <w:r>
        <w:t xml:space="preserve">may be too restrictive and even incompatible with other constraints such as a minimum return target constraint or a weight or position weight limits. </w:t>
      </w:r>
      <w:r w:rsidR="008D4EF6">
        <w:t xml:space="preserve">We study next two alternative strategies. </w:t>
      </w:r>
    </w:p>
    <w:p w:rsidR="008D4EF6" w:rsidRDefault="008D4EF6" w:rsidP="008D4EF6">
      <w:pPr>
        <w:spacing w:line="480" w:lineRule="auto"/>
        <w:ind w:firstLine="284"/>
        <w:rPr>
          <w:lang w:val="en-US"/>
        </w:rPr>
      </w:pPr>
      <w:r>
        <w:lastRenderedPageBreak/>
        <w:t>As a first</w:t>
      </w:r>
      <w:r w:rsidR="004C074C">
        <w:t xml:space="preserve"> alternative, we propose </w:t>
      </w:r>
      <w:r w:rsidR="004C074C">
        <w:rPr>
          <w:lang w:val="en-US"/>
        </w:rPr>
        <w:t xml:space="preserve">the Minimum CVaR Concentration portfolio (MCC), which </w:t>
      </w:r>
      <w:r w:rsidR="004C074C">
        <w:t xml:space="preserve">uses the ERC criterion as an objective rather than a constraint. </w:t>
      </w:r>
      <w:r>
        <w:t xml:space="preserve">More formally, the </w:t>
      </w:r>
      <w:r>
        <w:rPr>
          <w:lang w:val="en-US"/>
        </w:rPr>
        <w:t>MCC portfolio allocation is given by:</w:t>
      </w:r>
    </w:p>
    <w:tbl>
      <w:tblPr>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85"/>
        <w:gridCol w:w="583"/>
      </w:tblGrid>
      <w:tr w:rsidR="008D4EF6" w:rsidTr="002130AF">
        <w:trPr>
          <w:trHeight w:val="599"/>
        </w:trPr>
        <w:tc>
          <w:tcPr>
            <w:tcW w:w="8685" w:type="dxa"/>
            <w:tcBorders>
              <w:top w:val="nil"/>
              <w:left w:val="nil"/>
              <w:bottom w:val="nil"/>
              <w:right w:val="nil"/>
            </w:tcBorders>
          </w:tcPr>
          <w:p w:rsidR="008D4EF6" w:rsidRDefault="008D4EF6" w:rsidP="002130AF">
            <w:pPr>
              <w:spacing w:line="480" w:lineRule="auto"/>
              <w:jc w:val="center"/>
              <w:rPr>
                <w:lang w:val="en-US"/>
              </w:rPr>
            </w:pPr>
            <w:r w:rsidRPr="00F356CE">
              <w:rPr>
                <w:position w:val="-14"/>
                <w:lang w:val="en-US"/>
              </w:rPr>
              <w:object w:dxaOrig="2360" w:dyaOrig="400">
                <v:shape id="_x0000_i1057" type="#_x0000_t75" style="width:117.9pt;height:19.75pt" o:ole="">
                  <v:imagedata r:id="rId70" o:title=""/>
                </v:shape>
                <o:OLEObject Type="Embed" ProgID="Equation.3" ShapeID="_x0000_i1057" DrawAspect="Content" ObjectID="_1343657996" r:id="rId71"/>
              </w:object>
            </w:r>
            <w:r>
              <w:rPr>
                <w:lang w:val="en-US"/>
              </w:rPr>
              <w:t xml:space="preserve">     </w:t>
            </w:r>
          </w:p>
        </w:tc>
        <w:tc>
          <w:tcPr>
            <w:tcW w:w="583" w:type="dxa"/>
            <w:tcBorders>
              <w:top w:val="nil"/>
              <w:left w:val="nil"/>
              <w:bottom w:val="nil"/>
              <w:right w:val="nil"/>
            </w:tcBorders>
            <w:vAlign w:val="center"/>
          </w:tcPr>
          <w:p w:rsidR="008D4EF6" w:rsidRDefault="008D4EF6" w:rsidP="002130AF">
            <w:pPr>
              <w:spacing w:line="480" w:lineRule="auto"/>
              <w:jc w:val="center"/>
              <w:rPr>
                <w:lang w:val="en-US"/>
              </w:rPr>
            </w:pPr>
            <w:r>
              <w:rPr>
                <w:lang w:val="en-US"/>
              </w:rPr>
              <w:t>(11)</w:t>
            </w:r>
          </w:p>
        </w:tc>
      </w:tr>
    </w:tbl>
    <w:p w:rsidR="00147283" w:rsidRPr="008D4EF6" w:rsidRDefault="008D4EF6" w:rsidP="008D4EF6">
      <w:pPr>
        <w:spacing w:line="480" w:lineRule="auto"/>
      </w:pPr>
      <w:r>
        <w:t xml:space="preserve">with the portfolio’s CVaR concentration  </w:t>
      </w:r>
      <w:r w:rsidRPr="00D87282">
        <w:rPr>
          <w:position w:val="-12"/>
        </w:rPr>
        <w:object w:dxaOrig="680" w:dyaOrig="380">
          <v:shape id="_x0000_i1058" type="#_x0000_t75" style="width:33.75pt;height:19.1pt" o:ole="">
            <v:imagedata r:id="rId72" o:title=""/>
          </v:shape>
          <o:OLEObject Type="Embed" ProgID="Equation.3" ShapeID="_x0000_i1058" DrawAspect="Content" ObjectID="_1343657997" r:id="rId73"/>
        </w:object>
      </w:r>
      <w:r>
        <w:t xml:space="preserve"> as defined in (5). </w:t>
      </w:r>
      <w:r w:rsidR="00337EC6">
        <w:t xml:space="preserve">Throughout the paper, in all optimisations we impose the full investment constraint and exclude short sales, unless it is otherwise mentioned. </w:t>
      </w:r>
      <w:r w:rsidR="001D69EC">
        <w:rPr>
          <w:lang w:val="en-US"/>
        </w:rPr>
        <w:t xml:space="preserve">The second strategy consists of </w:t>
      </w:r>
      <w:r w:rsidR="001D69EC">
        <w:rPr>
          <w:szCs w:val="20"/>
        </w:rPr>
        <w:t xml:space="preserve">imposing bound constraints on the percentage CVaR contributions. This may be viewed as a direct substitute for a risk diversification approach based on position limits. </w:t>
      </w:r>
      <w:r w:rsidR="00A07478">
        <w:rPr>
          <w:szCs w:val="20"/>
        </w:rPr>
        <w:t>The next paragraph</w:t>
      </w:r>
      <w:r w:rsidR="001D69EC">
        <w:rPr>
          <w:szCs w:val="20"/>
        </w:rPr>
        <w:t>s develop the pr</w:t>
      </w:r>
      <w:r>
        <w:rPr>
          <w:szCs w:val="20"/>
        </w:rPr>
        <w:t>operties of these two approaches</w:t>
      </w:r>
      <w:r w:rsidR="001D69EC">
        <w:rPr>
          <w:szCs w:val="20"/>
        </w:rPr>
        <w:t xml:space="preserve"> in more detail. </w:t>
      </w:r>
      <w:r w:rsidR="00CE2658">
        <w:rPr>
          <w:szCs w:val="20"/>
        </w:rPr>
        <w:t>In the empirical section, w</w:t>
      </w:r>
      <w:r w:rsidR="00147283">
        <w:rPr>
          <w:szCs w:val="20"/>
        </w:rPr>
        <w:t>e will compare th</w:t>
      </w:r>
      <w:r w:rsidR="001D69EC">
        <w:rPr>
          <w:szCs w:val="20"/>
        </w:rPr>
        <w:t>e</w:t>
      </w:r>
      <w:r w:rsidR="00147283">
        <w:rPr>
          <w:szCs w:val="20"/>
        </w:rPr>
        <w:t>s</w:t>
      </w:r>
      <w:r w:rsidR="001D69EC">
        <w:rPr>
          <w:szCs w:val="20"/>
        </w:rPr>
        <w:t xml:space="preserve">e CVaR budget based portfolio allocation rules </w:t>
      </w:r>
      <w:r w:rsidR="00147283">
        <w:rPr>
          <w:szCs w:val="20"/>
        </w:rPr>
        <w:t xml:space="preserve">with the </w:t>
      </w:r>
      <w:r w:rsidR="001D69EC">
        <w:rPr>
          <w:szCs w:val="20"/>
        </w:rPr>
        <w:t xml:space="preserve">more standard </w:t>
      </w:r>
      <w:r w:rsidR="00147283">
        <w:rPr>
          <w:szCs w:val="20"/>
        </w:rPr>
        <w:t>Minimum CVaR (MC)</w:t>
      </w:r>
      <w:r w:rsidR="00102779">
        <w:rPr>
          <w:szCs w:val="20"/>
        </w:rPr>
        <w:t xml:space="preserve"> </w:t>
      </w:r>
      <w:r w:rsidR="00147283">
        <w:rPr>
          <w:szCs w:val="20"/>
        </w:rPr>
        <w:t>and Equal-Weight (EW) portfolios:</w:t>
      </w:r>
    </w:p>
    <w:tbl>
      <w:tblPr>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85"/>
        <w:gridCol w:w="583"/>
      </w:tblGrid>
      <w:tr w:rsidR="00147283" w:rsidTr="004C074C">
        <w:trPr>
          <w:trHeight w:val="599"/>
        </w:trPr>
        <w:tc>
          <w:tcPr>
            <w:tcW w:w="8685" w:type="dxa"/>
            <w:tcBorders>
              <w:top w:val="nil"/>
              <w:left w:val="nil"/>
              <w:bottom w:val="nil"/>
              <w:right w:val="nil"/>
            </w:tcBorders>
          </w:tcPr>
          <w:p w:rsidR="00147283" w:rsidRDefault="00AD6F81" w:rsidP="004C074C">
            <w:pPr>
              <w:spacing w:line="480" w:lineRule="auto"/>
              <w:jc w:val="center"/>
              <w:rPr>
                <w:lang w:val="en-US"/>
              </w:rPr>
            </w:pPr>
            <w:r w:rsidRPr="00F356CE">
              <w:rPr>
                <w:position w:val="-14"/>
                <w:lang w:val="en-US"/>
              </w:rPr>
              <w:object w:dxaOrig="2640" w:dyaOrig="400">
                <v:shape id="_x0000_i1059" type="#_x0000_t75" style="width:131.9pt;height:19.75pt" o:ole="">
                  <v:imagedata r:id="rId74" o:title=""/>
                </v:shape>
                <o:OLEObject Type="Embed" ProgID="Equation.3" ShapeID="_x0000_i1059" DrawAspect="Content" ObjectID="_1343657998" r:id="rId75"/>
              </w:object>
            </w:r>
            <w:r w:rsidR="00945660">
              <w:rPr>
                <w:lang w:val="en-US"/>
              </w:rPr>
              <w:t xml:space="preserve">and </w:t>
            </w:r>
            <w:r w:rsidR="00945660" w:rsidRPr="00147283">
              <w:rPr>
                <w:position w:val="-14"/>
                <w:lang w:val="en-US"/>
              </w:rPr>
              <w:object w:dxaOrig="2100" w:dyaOrig="400">
                <v:shape id="_x0000_i1060" type="#_x0000_t75" style="width:105.15pt;height:19.75pt" o:ole="">
                  <v:imagedata r:id="rId76" o:title=""/>
                </v:shape>
                <o:OLEObject Type="Embed" ProgID="Equation.3" ShapeID="_x0000_i1060" DrawAspect="Content" ObjectID="_1343657999" r:id="rId77"/>
              </w:object>
            </w:r>
            <w:r w:rsidR="00147283">
              <w:rPr>
                <w:lang w:val="en-US"/>
              </w:rPr>
              <w:t xml:space="preserve">     </w:t>
            </w:r>
          </w:p>
        </w:tc>
        <w:tc>
          <w:tcPr>
            <w:tcW w:w="583" w:type="dxa"/>
            <w:tcBorders>
              <w:top w:val="nil"/>
              <w:left w:val="nil"/>
              <w:bottom w:val="nil"/>
              <w:right w:val="nil"/>
            </w:tcBorders>
            <w:vAlign w:val="center"/>
          </w:tcPr>
          <w:p w:rsidR="00147283" w:rsidRDefault="00147283" w:rsidP="005C7D24">
            <w:pPr>
              <w:spacing w:line="480" w:lineRule="auto"/>
              <w:jc w:val="center"/>
              <w:rPr>
                <w:lang w:val="en-US"/>
              </w:rPr>
            </w:pPr>
            <w:r>
              <w:rPr>
                <w:lang w:val="en-US"/>
              </w:rPr>
              <w:t>(1</w:t>
            </w:r>
            <w:r w:rsidR="005C7D24">
              <w:rPr>
                <w:lang w:val="en-US"/>
              </w:rPr>
              <w:t>2</w:t>
            </w:r>
            <w:r>
              <w:rPr>
                <w:lang w:val="en-US"/>
              </w:rPr>
              <w:t>)</w:t>
            </w:r>
          </w:p>
        </w:tc>
      </w:tr>
    </w:tbl>
    <w:p w:rsidR="00906200" w:rsidRDefault="00906200" w:rsidP="00906200">
      <w:pPr>
        <w:pStyle w:val="Heading2"/>
        <w:numPr>
          <w:ilvl w:val="0"/>
          <w:numId w:val="0"/>
        </w:numPr>
        <w:ind w:left="340" w:hanging="340"/>
        <w:rPr>
          <w:lang w:val="en-US"/>
        </w:rPr>
      </w:pPr>
      <w:r>
        <w:rPr>
          <w:lang w:val="en-US"/>
        </w:rPr>
        <w:t>PROPERTIES OF THE MINIMUM CVaR CONCENTRATION PORTFOLIO</w:t>
      </w:r>
    </w:p>
    <w:p w:rsidR="009B68A3" w:rsidRDefault="009B68A3" w:rsidP="00CE2658">
      <w:pPr>
        <w:autoSpaceDE w:val="0"/>
        <w:autoSpaceDN w:val="0"/>
        <w:adjustRightInd w:val="0"/>
        <w:spacing w:line="480" w:lineRule="auto"/>
        <w:ind w:firstLine="284"/>
        <w:rPr>
          <w:lang w:val="en-US"/>
        </w:rPr>
      </w:pPr>
      <w:r>
        <w:rPr>
          <w:lang w:val="en-US"/>
        </w:rPr>
        <w:t xml:space="preserve">Minimizing the portfolio CVaR </w:t>
      </w:r>
      <w:r w:rsidR="0013534F">
        <w:rPr>
          <w:lang w:val="en-US"/>
        </w:rPr>
        <w:t xml:space="preserve">concentration </w:t>
      </w:r>
      <w:r>
        <w:rPr>
          <w:lang w:val="en-US"/>
        </w:rPr>
        <w:t xml:space="preserve">strikes </w:t>
      </w:r>
      <w:r w:rsidR="0013534F">
        <w:rPr>
          <w:lang w:val="en-US"/>
        </w:rPr>
        <w:t xml:space="preserve">a </w:t>
      </w:r>
      <w:r>
        <w:rPr>
          <w:lang w:val="en-US"/>
        </w:rPr>
        <w:t>balance between the objective</w:t>
      </w:r>
      <w:r w:rsidR="0013534F">
        <w:rPr>
          <w:lang w:val="en-US"/>
        </w:rPr>
        <w:t>s</w:t>
      </w:r>
      <w:r>
        <w:rPr>
          <w:lang w:val="en-US"/>
        </w:rPr>
        <w:t xml:space="preserve"> of portfolio risk diversification and total risk minimization. To see this, we rewrite the portfolio CVaR concentration as the portfolio CVaR times the largest percentage CVaR contribution:</w:t>
      </w: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55"/>
        <w:gridCol w:w="588"/>
      </w:tblGrid>
      <w:tr w:rsidR="009B68A3" w:rsidTr="00124EF0">
        <w:trPr>
          <w:trHeight w:val="534"/>
        </w:trPr>
        <w:tc>
          <w:tcPr>
            <w:tcW w:w="8755" w:type="dxa"/>
            <w:tcBorders>
              <w:top w:val="nil"/>
              <w:left w:val="nil"/>
              <w:bottom w:val="nil"/>
              <w:right w:val="nil"/>
            </w:tcBorders>
          </w:tcPr>
          <w:p w:rsidR="009B68A3" w:rsidRDefault="00260B5F" w:rsidP="00124EF0">
            <w:pPr>
              <w:spacing w:line="480" w:lineRule="auto"/>
              <w:jc w:val="center"/>
              <w:rPr>
                <w:lang w:val="en-US"/>
              </w:rPr>
            </w:pPr>
            <w:r w:rsidRPr="00911C9E">
              <w:rPr>
                <w:position w:val="-14"/>
                <w:lang w:val="en-US"/>
              </w:rPr>
              <w:object w:dxaOrig="6140" w:dyaOrig="400">
                <v:shape id="_x0000_i1061" type="#_x0000_t75" style="width:307.1pt;height:19.75pt" o:ole="">
                  <v:imagedata r:id="rId78" o:title=""/>
                </v:shape>
                <o:OLEObject Type="Embed" ProgID="Equation.3" ShapeID="_x0000_i1061" DrawAspect="Content" ObjectID="_1343658000" r:id="rId79"/>
              </w:object>
            </w:r>
          </w:p>
        </w:tc>
        <w:tc>
          <w:tcPr>
            <w:tcW w:w="588" w:type="dxa"/>
            <w:tcBorders>
              <w:top w:val="nil"/>
              <w:left w:val="nil"/>
              <w:bottom w:val="nil"/>
              <w:right w:val="nil"/>
            </w:tcBorders>
            <w:vAlign w:val="center"/>
          </w:tcPr>
          <w:p w:rsidR="009B68A3" w:rsidRDefault="009B68A3" w:rsidP="00124EF0">
            <w:pPr>
              <w:spacing w:line="480" w:lineRule="auto"/>
              <w:jc w:val="center"/>
              <w:rPr>
                <w:lang w:val="en-US"/>
              </w:rPr>
            </w:pPr>
            <w:r>
              <w:rPr>
                <w:lang w:val="en-US"/>
              </w:rPr>
              <w:t>(12)</w:t>
            </w:r>
          </w:p>
        </w:tc>
      </w:tr>
    </w:tbl>
    <w:p w:rsidR="00260B5F" w:rsidRDefault="00573CA5" w:rsidP="00260B5F">
      <w:pPr>
        <w:tabs>
          <w:tab w:val="left" w:pos="284"/>
        </w:tabs>
        <w:autoSpaceDE w:val="0"/>
        <w:autoSpaceDN w:val="0"/>
        <w:adjustRightInd w:val="0"/>
        <w:spacing w:line="480" w:lineRule="auto"/>
      </w:pPr>
      <w:r>
        <w:rPr>
          <w:lang w:val="en-US"/>
        </w:rPr>
        <w:t xml:space="preserve">The first factor in (12) </w:t>
      </w:r>
      <w:r>
        <w:t xml:space="preserve">is minimum at the MC portfolio.  The second factor attains its lowest value when the portfolio has the ERC property, since </w:t>
      </w:r>
      <w:r w:rsidRPr="005D63D3">
        <w:rPr>
          <w:position w:val="-14"/>
        </w:rPr>
        <w:object w:dxaOrig="4880" w:dyaOrig="400">
          <v:shape id="_x0000_i1062" type="#_x0000_t75" style="width:244.05pt;height:19.75pt" o:ole="">
            <v:imagedata r:id="rId80" o:title=""/>
          </v:shape>
          <o:OLEObject Type="Embed" ProgID="Equation.3" ShapeID="_x0000_i1062" DrawAspect="Content" ObjectID="_1343658001" r:id="rId81"/>
        </w:object>
      </w:r>
      <w:r w:rsidR="009750A7">
        <w:t xml:space="preserve">. </w:t>
      </w:r>
    </w:p>
    <w:p w:rsidR="00260B5F" w:rsidRDefault="00260B5F" w:rsidP="00260B5F">
      <w:pPr>
        <w:autoSpaceDE w:val="0"/>
        <w:autoSpaceDN w:val="0"/>
        <w:adjustRightInd w:val="0"/>
        <w:spacing w:line="480" w:lineRule="auto"/>
        <w:ind w:firstLine="284"/>
      </w:pPr>
      <w:r>
        <w:t>The first order conditions of the MCC portfolio give some interesting insights:</w:t>
      </w: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13"/>
        <w:gridCol w:w="730"/>
      </w:tblGrid>
      <w:tr w:rsidR="00260B5F" w:rsidTr="002130AF">
        <w:trPr>
          <w:trHeight w:val="534"/>
        </w:trPr>
        <w:tc>
          <w:tcPr>
            <w:tcW w:w="8613" w:type="dxa"/>
            <w:tcBorders>
              <w:top w:val="nil"/>
              <w:left w:val="nil"/>
              <w:bottom w:val="nil"/>
              <w:right w:val="nil"/>
            </w:tcBorders>
          </w:tcPr>
          <w:p w:rsidR="00260B5F" w:rsidRDefault="00260B5F" w:rsidP="002130AF">
            <w:pPr>
              <w:spacing w:line="480" w:lineRule="auto"/>
              <w:jc w:val="left"/>
              <w:rPr>
                <w:lang w:val="en-US"/>
              </w:rPr>
            </w:pPr>
            <w:r w:rsidRPr="00260B5F">
              <w:rPr>
                <w:position w:val="-24"/>
                <w:lang w:val="en-US"/>
              </w:rPr>
              <w:object w:dxaOrig="6420" w:dyaOrig="680">
                <v:shape id="_x0000_i1063" type="#_x0000_t75" style="width:320.5pt;height:33.75pt" o:ole="">
                  <v:imagedata r:id="rId82" o:title=""/>
                </v:shape>
                <o:OLEObject Type="Embed" ProgID="Equation.3" ShapeID="_x0000_i1063" DrawAspect="Content" ObjectID="_1343658002" r:id="rId83"/>
              </w:object>
            </w:r>
          </w:p>
          <w:p w:rsidR="00260B5F" w:rsidRDefault="00260B5F" w:rsidP="002130AF">
            <w:pPr>
              <w:spacing w:line="480" w:lineRule="auto"/>
              <w:jc w:val="center"/>
              <w:rPr>
                <w:lang w:val="en-US"/>
              </w:rPr>
            </w:pPr>
            <w:r w:rsidRPr="00A26A8C">
              <w:rPr>
                <w:position w:val="-24"/>
              </w:rPr>
              <w:object w:dxaOrig="5539" w:dyaOrig="660">
                <v:shape id="_x0000_i1064" type="#_x0000_t75" style="width:277.15pt;height:33.15pt" o:ole="">
                  <v:imagedata r:id="rId84" o:title=""/>
                </v:shape>
                <o:OLEObject Type="Embed" ProgID="Equation.3" ShapeID="_x0000_i1064" DrawAspect="Content" ObjectID="_1343658003" r:id="rId85"/>
              </w:object>
            </w:r>
            <w:r>
              <w:t>= 0</w:t>
            </w:r>
          </w:p>
        </w:tc>
        <w:tc>
          <w:tcPr>
            <w:tcW w:w="730" w:type="dxa"/>
            <w:tcBorders>
              <w:top w:val="nil"/>
              <w:left w:val="nil"/>
              <w:bottom w:val="nil"/>
              <w:right w:val="nil"/>
            </w:tcBorders>
            <w:vAlign w:val="center"/>
          </w:tcPr>
          <w:p w:rsidR="00260B5F" w:rsidRDefault="00260B5F" w:rsidP="002130AF">
            <w:pPr>
              <w:spacing w:line="480" w:lineRule="auto"/>
              <w:jc w:val="center"/>
              <w:rPr>
                <w:lang w:val="en-US"/>
              </w:rPr>
            </w:pPr>
          </w:p>
          <w:p w:rsidR="00260B5F" w:rsidRDefault="00260B5F" w:rsidP="002130AF">
            <w:pPr>
              <w:spacing w:line="480" w:lineRule="auto"/>
              <w:jc w:val="center"/>
              <w:rPr>
                <w:lang w:val="en-US"/>
              </w:rPr>
            </w:pPr>
          </w:p>
          <w:p w:rsidR="00260B5F" w:rsidRDefault="00260B5F" w:rsidP="005C7D24">
            <w:pPr>
              <w:spacing w:line="480" w:lineRule="auto"/>
              <w:rPr>
                <w:lang w:val="en-US"/>
              </w:rPr>
            </w:pPr>
            <w:r>
              <w:rPr>
                <w:lang w:val="en-US"/>
              </w:rPr>
              <w:t>(</w:t>
            </w:r>
            <w:r w:rsidR="005C7D24">
              <w:rPr>
                <w:lang w:val="en-US"/>
              </w:rPr>
              <w:t>13</w:t>
            </w:r>
            <w:r>
              <w:rPr>
                <w:lang w:val="en-US"/>
              </w:rPr>
              <w:t>)</w:t>
            </w:r>
          </w:p>
        </w:tc>
      </w:tr>
    </w:tbl>
    <w:p w:rsidR="00073DD1" w:rsidRDefault="00260B5F" w:rsidP="00073DD1">
      <w:pPr>
        <w:spacing w:line="480" w:lineRule="auto"/>
        <w:ind w:firstLine="284"/>
        <w:rPr>
          <w:lang w:val="en-US"/>
        </w:rPr>
      </w:pPr>
      <w:r>
        <w:t>We see that a necessary condition for t</w:t>
      </w:r>
      <w:r>
        <w:rPr>
          <w:lang w:val="en-US"/>
        </w:rPr>
        <w:t>he MCC portfolio to have the exact ERC property i</w:t>
      </w:r>
      <w:r w:rsidR="00992824">
        <w:rPr>
          <w:lang w:val="en-US"/>
        </w:rPr>
        <w:t>s that also the derivative of the portfolio CVaR is zero. Since CVaR is a convex function, this only happens if</w:t>
      </w:r>
      <w:r w:rsidR="00992824">
        <w:t xml:space="preserve"> the (unconstrained) </w:t>
      </w:r>
      <w:r w:rsidR="00B03C06">
        <w:t>minimum CVaR</w:t>
      </w:r>
      <w:r w:rsidR="00992824">
        <w:t xml:space="preserve"> portfolio has the ERC characteristic, in which case it coincides with the MCC portfolio. </w:t>
      </w:r>
      <w:r w:rsidR="00073DD1">
        <w:rPr>
          <w:lang w:val="en-US"/>
        </w:rPr>
        <w:t xml:space="preserve">Compared with the unconstrained </w:t>
      </w:r>
      <w:r w:rsidR="00B03C06">
        <w:rPr>
          <w:lang w:val="en-US"/>
        </w:rPr>
        <w:t>minimum CVaR</w:t>
      </w:r>
      <w:r w:rsidR="00073DD1">
        <w:rPr>
          <w:lang w:val="en-US"/>
        </w:rPr>
        <w:t xml:space="preserve"> portfolio, we have that the CVaR of the MCC </w:t>
      </w:r>
      <w:r w:rsidR="00073DD1">
        <w:rPr>
          <w:lang w:val="en-US"/>
        </w:rPr>
        <w:lastRenderedPageBreak/>
        <w:t xml:space="preserve">portfolio is higher, but the risk is less concentrated. In fact, we show in Appendix that the </w:t>
      </w:r>
      <w:r w:rsidR="00002D35">
        <w:rPr>
          <w:lang w:val="en-US"/>
        </w:rPr>
        <w:t xml:space="preserve">percentage CVaR of the </w:t>
      </w:r>
      <w:r w:rsidR="00B03C06">
        <w:rPr>
          <w:lang w:val="en-US"/>
        </w:rPr>
        <w:t xml:space="preserve">minimum CVaR </w:t>
      </w:r>
      <w:r w:rsidR="00002D35">
        <w:rPr>
          <w:lang w:val="en-US"/>
        </w:rPr>
        <w:t>portfolio coincides</w:t>
      </w:r>
      <w:r w:rsidR="00073DD1">
        <w:rPr>
          <w:lang w:val="en-US"/>
        </w:rPr>
        <w:t xml:space="preserve"> with the component</w:t>
      </w:r>
      <w:r w:rsidR="00002D35">
        <w:rPr>
          <w:lang w:val="en-US"/>
        </w:rPr>
        <w:t>’</w:t>
      </w:r>
      <w:r w:rsidR="00073DD1">
        <w:rPr>
          <w:lang w:val="en-US"/>
        </w:rPr>
        <w:t>s portfolio weight:</w:t>
      </w: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50"/>
        <w:gridCol w:w="595"/>
      </w:tblGrid>
      <w:tr w:rsidR="00073DD1" w:rsidTr="002130AF">
        <w:trPr>
          <w:trHeight w:val="732"/>
        </w:trPr>
        <w:tc>
          <w:tcPr>
            <w:tcW w:w="8650" w:type="dxa"/>
            <w:tcBorders>
              <w:top w:val="nil"/>
              <w:left w:val="nil"/>
              <w:bottom w:val="nil"/>
              <w:right w:val="nil"/>
            </w:tcBorders>
          </w:tcPr>
          <w:p w:rsidR="00073DD1" w:rsidRDefault="00073DD1" w:rsidP="002130AF">
            <w:pPr>
              <w:spacing w:line="480" w:lineRule="auto"/>
              <w:jc w:val="center"/>
              <w:rPr>
                <w:lang w:val="en-US"/>
              </w:rPr>
            </w:pPr>
            <w:r w:rsidRPr="00757240">
              <w:rPr>
                <w:position w:val="-20"/>
                <w:lang w:val="en-US"/>
              </w:rPr>
              <w:object w:dxaOrig="2100" w:dyaOrig="460">
                <v:shape id="_x0000_i1065" type="#_x0000_t75" style="width:105.15pt;height:22.95pt" o:ole="">
                  <v:imagedata r:id="rId86" o:title=""/>
                </v:shape>
                <o:OLEObject Type="Embed" ProgID="Equation.3" ShapeID="_x0000_i1065" DrawAspect="Content" ObjectID="_1343658004" r:id="rId87"/>
              </w:object>
            </w:r>
            <w:r>
              <w:rPr>
                <w:lang w:val="en-US"/>
              </w:rPr>
              <w:t>.</w:t>
            </w:r>
          </w:p>
        </w:tc>
        <w:tc>
          <w:tcPr>
            <w:tcW w:w="595" w:type="dxa"/>
            <w:tcBorders>
              <w:top w:val="nil"/>
              <w:left w:val="nil"/>
              <w:bottom w:val="nil"/>
              <w:right w:val="nil"/>
            </w:tcBorders>
            <w:vAlign w:val="center"/>
          </w:tcPr>
          <w:p w:rsidR="00073DD1" w:rsidRDefault="00073DD1" w:rsidP="005C7D24">
            <w:pPr>
              <w:spacing w:line="480" w:lineRule="auto"/>
              <w:jc w:val="right"/>
              <w:rPr>
                <w:lang w:val="en-US"/>
              </w:rPr>
            </w:pPr>
            <w:r>
              <w:rPr>
                <w:lang w:val="en-US"/>
              </w:rPr>
              <w:t>(</w:t>
            </w:r>
            <w:r w:rsidR="005C7D24">
              <w:rPr>
                <w:lang w:val="en-US"/>
              </w:rPr>
              <w:t>14</w:t>
            </w:r>
            <w:r>
              <w:rPr>
                <w:lang w:val="en-US"/>
              </w:rPr>
              <w:t>)</w:t>
            </w:r>
          </w:p>
        </w:tc>
      </w:tr>
    </w:tbl>
    <w:p w:rsidR="00073DD1" w:rsidRDefault="00073DD1" w:rsidP="00073DD1">
      <w:pPr>
        <w:tabs>
          <w:tab w:val="left" w:pos="284"/>
        </w:tabs>
        <w:autoSpaceDE w:val="0"/>
        <w:autoSpaceDN w:val="0"/>
        <w:adjustRightInd w:val="0"/>
        <w:spacing w:line="480" w:lineRule="auto"/>
      </w:pPr>
      <w:r>
        <w:rPr>
          <w:lang w:val="en-US"/>
        </w:rPr>
        <w:t xml:space="preserve">It is well known that the </w:t>
      </w:r>
      <w:r w:rsidR="00B03C06">
        <w:rPr>
          <w:lang w:val="en-US"/>
        </w:rPr>
        <w:t xml:space="preserve">minimum CVaR </w:t>
      </w:r>
      <w:r>
        <w:rPr>
          <w:lang w:val="en-US"/>
        </w:rPr>
        <w:t>portfolio generally suffers from the drawback of portfolio concentration. By (</w:t>
      </w:r>
      <w:r w:rsidR="002558AC">
        <w:rPr>
          <w:lang w:val="en-US"/>
        </w:rPr>
        <w:t>14</w:t>
      </w:r>
      <w:r>
        <w:rPr>
          <w:lang w:val="en-US"/>
        </w:rPr>
        <w:t xml:space="preserve">) this carries directly over to the CVaR allocation. </w:t>
      </w:r>
      <w:r>
        <w:t xml:space="preserve"> </w:t>
      </w:r>
    </w:p>
    <w:p w:rsidR="00260B5F" w:rsidRDefault="00073DD1" w:rsidP="00073DD1">
      <w:pPr>
        <w:tabs>
          <w:tab w:val="left" w:pos="284"/>
        </w:tabs>
        <w:spacing w:line="480" w:lineRule="auto"/>
        <w:rPr>
          <w:lang w:val="en-US"/>
        </w:rPr>
      </w:pPr>
      <w:r>
        <w:tab/>
      </w:r>
      <w:r w:rsidR="00992824">
        <w:t xml:space="preserve">Note also </w:t>
      </w:r>
      <w:r>
        <w:t>in (</w:t>
      </w:r>
      <w:r w:rsidR="005C7D24">
        <w:t>13</w:t>
      </w:r>
      <w:r>
        <w:t xml:space="preserve">) </w:t>
      </w:r>
      <w:r w:rsidR="00992824">
        <w:t xml:space="preserve">that </w:t>
      </w:r>
      <w:r w:rsidR="00260B5F">
        <w:rPr>
          <w:lang w:val="en-US"/>
        </w:rPr>
        <w:t xml:space="preserve">there can be multiple portfolio weights for which the first order conditions are satisfied. For this reason, a global optimizer is needed to find the MCC portfolio. We used the differential evolution algorithm developed by Price, </w:t>
      </w:r>
      <w:r w:rsidR="00260B5F">
        <w:t>Storn and Lampinen [2008]</w:t>
      </w:r>
      <w:r w:rsidR="00260B5F">
        <w:rPr>
          <w:lang w:val="en-US"/>
        </w:rPr>
        <w:t xml:space="preserve">.   </w:t>
      </w:r>
    </w:p>
    <w:p w:rsidR="00265F88" w:rsidRDefault="00265F88" w:rsidP="00265F88">
      <w:pPr>
        <w:autoSpaceDE w:val="0"/>
        <w:autoSpaceDN w:val="0"/>
        <w:adjustRightInd w:val="0"/>
        <w:spacing w:line="480" w:lineRule="auto"/>
        <w:ind w:firstLine="284"/>
        <w:rPr>
          <w:lang w:val="en-US"/>
        </w:rPr>
      </w:pPr>
      <w:r>
        <w:t xml:space="preserve">The minimum CVaR portfolio under the ERC constraint is an alternative way to the MCC portfolio for attaining a balance </w:t>
      </w:r>
      <w:r>
        <w:rPr>
          <w:lang w:val="en-US"/>
        </w:rPr>
        <w:t xml:space="preserve">between the objectives of portfolio risk diversification and total risk minimization. </w:t>
      </w:r>
      <w:r>
        <w:t xml:space="preserve"> </w:t>
      </w:r>
      <w:r>
        <w:rPr>
          <w:lang w:val="en-US"/>
        </w:rPr>
        <w:t xml:space="preserve">On our data examples, the two portfolios were always very similar. </w:t>
      </w:r>
    </w:p>
    <w:p w:rsidR="00265F88" w:rsidRDefault="00265F88" w:rsidP="00265F88">
      <w:pPr>
        <w:tabs>
          <w:tab w:val="left" w:pos="284"/>
        </w:tabs>
        <w:autoSpaceDE w:val="0"/>
        <w:autoSpaceDN w:val="0"/>
        <w:adjustRightInd w:val="0"/>
        <w:spacing w:line="480" w:lineRule="auto"/>
        <w:rPr>
          <w:lang w:val="en-US"/>
        </w:rPr>
      </w:pPr>
      <w:r>
        <w:rPr>
          <w:lang w:val="en-US"/>
        </w:rPr>
        <w:tab/>
        <w:t xml:space="preserve">The advantage of the </w:t>
      </w:r>
      <w:r w:rsidR="00B03C06">
        <w:rPr>
          <w:lang w:val="en-US"/>
        </w:rPr>
        <w:t>MCC</w:t>
      </w:r>
      <w:r>
        <w:rPr>
          <w:lang w:val="en-US"/>
        </w:rPr>
        <w:t xml:space="preserve"> portfolio over the ERC constrained minimum CVaR portfolio is that it is computationally simpler and also will yield a solution if the ERC constraint is not feasible or conflicts with other constraints. E.g. t</w:t>
      </w:r>
      <w:r>
        <w:t>he minimum CVaR concentration objective can easily be combined with a return target. This serves the general purpose of maximizing return subject to some level of risk, while also minimizing risk concentration at that risk level. We define t</w:t>
      </w:r>
      <w:r>
        <w:rPr>
          <w:lang w:val="en-US"/>
        </w:rPr>
        <w:t xml:space="preserve">he mean/CVaR concentration efficient frontier as the collection of all portfolios that achieve the lowest degree of CVaR concentration for a return objective. For a given return target </w:t>
      </w:r>
      <w:r w:rsidRPr="00D5120A">
        <w:rPr>
          <w:position w:val="-10"/>
        </w:rPr>
        <w:object w:dxaOrig="260" w:dyaOrig="300">
          <v:shape id="_x0000_i1066" type="#_x0000_t75" style="width:12.75pt;height:15.3pt" o:ole="">
            <v:imagedata r:id="rId88" o:title=""/>
          </v:shape>
          <o:OLEObject Type="Embed" ProgID="Equation.3" ShapeID="_x0000_i1066" DrawAspect="Content" ObjectID="_1343658005" r:id="rId89"/>
        </w:object>
      </w:r>
      <w:r>
        <w:t>the mean/CVaR concentration efficient portfolio solves:</w:t>
      </w:r>
      <w:r>
        <w:rPr>
          <w:lang w:val="en-US"/>
        </w:rPr>
        <w:t xml:space="preserve"> </w:t>
      </w: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55"/>
        <w:gridCol w:w="588"/>
      </w:tblGrid>
      <w:tr w:rsidR="00265F88" w:rsidTr="003F46DF">
        <w:trPr>
          <w:trHeight w:val="534"/>
        </w:trPr>
        <w:tc>
          <w:tcPr>
            <w:tcW w:w="8755" w:type="dxa"/>
            <w:tcBorders>
              <w:top w:val="nil"/>
              <w:left w:val="nil"/>
              <w:bottom w:val="nil"/>
              <w:right w:val="nil"/>
            </w:tcBorders>
          </w:tcPr>
          <w:p w:rsidR="00265F88" w:rsidRDefault="00265F88" w:rsidP="003F46DF">
            <w:pPr>
              <w:spacing w:line="480" w:lineRule="auto"/>
              <w:jc w:val="center"/>
              <w:rPr>
                <w:lang w:val="en-US"/>
              </w:rPr>
            </w:pPr>
            <w:r w:rsidRPr="00EB3EFA">
              <w:rPr>
                <w:position w:val="-12"/>
                <w:lang w:val="en-US"/>
              </w:rPr>
              <w:object w:dxaOrig="1260" w:dyaOrig="380">
                <v:shape id="_x0000_i1067" type="#_x0000_t75" style="width:63.1pt;height:19.1pt" o:ole="">
                  <v:imagedata r:id="rId90" o:title=""/>
                </v:shape>
                <o:OLEObject Type="Embed" ProgID="Equation.3" ShapeID="_x0000_i1067" DrawAspect="Content" ObjectID="_1343658006" r:id="rId91"/>
              </w:object>
            </w:r>
            <w:r>
              <w:rPr>
                <w:lang w:val="en-US"/>
              </w:rPr>
              <w:t xml:space="preserve">     s.t.    </w:t>
            </w:r>
            <w:r w:rsidRPr="00D5120A">
              <w:rPr>
                <w:position w:val="-10"/>
                <w:lang w:val="en-US"/>
              </w:rPr>
              <w:object w:dxaOrig="880" w:dyaOrig="320">
                <v:shape id="_x0000_i1068" type="#_x0000_t75" style="width:43.95pt;height:15.95pt" o:ole="">
                  <v:imagedata r:id="rId92" o:title=""/>
                </v:shape>
                <o:OLEObject Type="Embed" ProgID="Equation.3" ShapeID="_x0000_i1068" DrawAspect="Content" ObjectID="_1343658007" r:id="rId93"/>
              </w:object>
            </w:r>
            <w:r>
              <w:rPr>
                <w:lang w:val="en-US"/>
              </w:rPr>
              <w:t xml:space="preserve"> </w:t>
            </w:r>
          </w:p>
        </w:tc>
        <w:tc>
          <w:tcPr>
            <w:tcW w:w="588" w:type="dxa"/>
            <w:tcBorders>
              <w:top w:val="nil"/>
              <w:left w:val="nil"/>
              <w:bottom w:val="nil"/>
              <w:right w:val="nil"/>
            </w:tcBorders>
            <w:vAlign w:val="center"/>
          </w:tcPr>
          <w:p w:rsidR="00265F88" w:rsidRDefault="00265F88" w:rsidP="003F46DF">
            <w:pPr>
              <w:spacing w:line="480" w:lineRule="auto"/>
              <w:jc w:val="center"/>
              <w:rPr>
                <w:lang w:val="en-US"/>
              </w:rPr>
            </w:pPr>
            <w:r>
              <w:rPr>
                <w:lang w:val="en-US"/>
              </w:rPr>
              <w:t>(20)</w:t>
            </w:r>
          </w:p>
        </w:tc>
      </w:tr>
    </w:tbl>
    <w:p w:rsidR="00906200" w:rsidRDefault="00477C32" w:rsidP="00906200">
      <w:pPr>
        <w:pStyle w:val="Heading2"/>
        <w:numPr>
          <w:ilvl w:val="0"/>
          <w:numId w:val="0"/>
        </w:numPr>
        <w:ind w:left="340" w:hanging="340"/>
        <w:rPr>
          <w:lang w:val="en-US"/>
        </w:rPr>
      </w:pPr>
      <w:r>
        <w:rPr>
          <w:lang w:val="en-US"/>
        </w:rPr>
        <w:t xml:space="preserve">PORTFOLIO ALLOCATION USING </w:t>
      </w:r>
      <w:r w:rsidR="00906200">
        <w:rPr>
          <w:lang w:val="en-US"/>
        </w:rPr>
        <w:t xml:space="preserve">PERCENTAGE CVaR CONSTRAINTS </w:t>
      </w:r>
    </w:p>
    <w:p w:rsidR="00E93F8F" w:rsidRDefault="00B05BCD" w:rsidP="00E93F8F">
      <w:pPr>
        <w:autoSpaceDE w:val="0"/>
        <w:autoSpaceDN w:val="0"/>
        <w:adjustRightInd w:val="0"/>
        <w:spacing w:line="480" w:lineRule="auto"/>
        <w:ind w:firstLine="284"/>
      </w:pPr>
      <w:r>
        <w:t xml:space="preserve">The risk allocation can also be controlled by imposing </w:t>
      </w:r>
      <w:r w:rsidR="00866B6A">
        <w:t>explicit</w:t>
      </w:r>
      <w:r w:rsidR="00431E38">
        <w:t xml:space="preserve"> </w:t>
      </w:r>
      <w:r>
        <w:t>constraints</w:t>
      </w:r>
      <w:r w:rsidR="001E5342">
        <w:t xml:space="preserve"> on the percentage CVaR allocations. </w:t>
      </w:r>
      <w:r>
        <w:t xml:space="preserve"> </w:t>
      </w:r>
      <w:r w:rsidR="00052D8C">
        <w:t>This process operates in much the same way</w:t>
      </w:r>
      <w:r w:rsidR="00E93F8F">
        <w:t xml:space="preserve"> that portfolio managers impose</w:t>
      </w:r>
      <w:r w:rsidR="00052D8C">
        <w:t xml:space="preserve"> weight constraints on portfolios. </w:t>
      </w:r>
    </w:p>
    <w:p w:rsidR="00E93F8F" w:rsidRDefault="00E93F8F" w:rsidP="00E93F8F">
      <w:pPr>
        <w:autoSpaceDE w:val="0"/>
        <w:autoSpaceDN w:val="0"/>
        <w:adjustRightInd w:val="0"/>
        <w:spacing w:line="480" w:lineRule="auto"/>
        <w:ind w:firstLine="284"/>
      </w:pPr>
      <w:r>
        <w:t>As an example of a percentage CVaR constraint, consider first the ERC constraint as an alternative to the equal-weight portfolio:</w:t>
      </w: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55"/>
        <w:gridCol w:w="588"/>
      </w:tblGrid>
      <w:tr w:rsidR="00E93F8F" w:rsidTr="004C074C">
        <w:trPr>
          <w:trHeight w:val="534"/>
        </w:trPr>
        <w:tc>
          <w:tcPr>
            <w:tcW w:w="8755" w:type="dxa"/>
            <w:tcBorders>
              <w:top w:val="nil"/>
              <w:left w:val="nil"/>
              <w:bottom w:val="nil"/>
              <w:right w:val="nil"/>
            </w:tcBorders>
          </w:tcPr>
          <w:p w:rsidR="00E93F8F" w:rsidRDefault="00E93F8F" w:rsidP="004C074C">
            <w:pPr>
              <w:spacing w:line="480" w:lineRule="auto"/>
              <w:jc w:val="center"/>
              <w:rPr>
                <w:lang w:val="en-US"/>
              </w:rPr>
            </w:pPr>
            <w:r w:rsidRPr="00EB3EFA">
              <w:rPr>
                <w:position w:val="-12"/>
                <w:lang w:val="en-US"/>
              </w:rPr>
              <w:object w:dxaOrig="1660" w:dyaOrig="380">
                <v:shape id="_x0000_i1069" type="#_x0000_t75" style="width:82.85pt;height:19.1pt" o:ole="">
                  <v:imagedata r:id="rId94" o:title=""/>
                </v:shape>
                <o:OLEObject Type="Embed" ProgID="Equation.3" ShapeID="_x0000_i1069" DrawAspect="Content" ObjectID="_1343658008" r:id="rId95"/>
              </w:object>
            </w:r>
            <w:r>
              <w:rPr>
                <w:lang w:val="en-US"/>
              </w:rPr>
              <w:t xml:space="preserve">     s.t.    </w:t>
            </w:r>
            <w:r w:rsidR="001607F1" w:rsidRPr="004C01C0">
              <w:rPr>
                <w:position w:val="-14"/>
                <w:lang w:val="en-US"/>
              </w:rPr>
              <w:object w:dxaOrig="4520" w:dyaOrig="400">
                <v:shape id="_x0000_i1070" type="#_x0000_t75" style="width:226.2pt;height:19.75pt" o:ole="">
                  <v:imagedata r:id="rId96" o:title=""/>
                </v:shape>
                <o:OLEObject Type="Embed" ProgID="Equation.3" ShapeID="_x0000_i1070" DrawAspect="Content" ObjectID="_1343658009" r:id="rId97"/>
              </w:object>
            </w:r>
            <w:r>
              <w:rPr>
                <w:lang w:val="en-US"/>
              </w:rPr>
              <w:t xml:space="preserve"> </w:t>
            </w:r>
            <w:r w:rsidR="003E0966">
              <w:rPr>
                <w:lang w:val="en-US"/>
              </w:rPr>
              <w:t xml:space="preserve">and </w:t>
            </w:r>
            <w:r w:rsidR="003E0966" w:rsidRPr="004C01C0">
              <w:rPr>
                <w:position w:val="-14"/>
                <w:lang w:val="en-US"/>
              </w:rPr>
              <w:object w:dxaOrig="4520" w:dyaOrig="400">
                <v:shape id="_x0000_i1071" type="#_x0000_t75" style="width:226.2pt;height:19.75pt" o:ole="">
                  <v:imagedata r:id="rId98" o:title=""/>
                </v:shape>
                <o:OLEObject Type="Embed" ProgID="Equation.3" ShapeID="_x0000_i1071" DrawAspect="Content" ObjectID="_1343658010" r:id="rId99"/>
              </w:object>
            </w:r>
          </w:p>
        </w:tc>
        <w:tc>
          <w:tcPr>
            <w:tcW w:w="588" w:type="dxa"/>
            <w:tcBorders>
              <w:top w:val="nil"/>
              <w:left w:val="nil"/>
              <w:bottom w:val="nil"/>
              <w:right w:val="nil"/>
            </w:tcBorders>
            <w:vAlign w:val="center"/>
          </w:tcPr>
          <w:p w:rsidR="00E93F8F" w:rsidRDefault="00E93F8F" w:rsidP="005C7D24">
            <w:pPr>
              <w:spacing w:line="480" w:lineRule="auto"/>
              <w:jc w:val="center"/>
              <w:rPr>
                <w:lang w:val="en-US"/>
              </w:rPr>
            </w:pPr>
            <w:r>
              <w:rPr>
                <w:lang w:val="en-US"/>
              </w:rPr>
              <w:t>(1</w:t>
            </w:r>
            <w:r w:rsidR="005C7D24">
              <w:rPr>
                <w:lang w:val="en-US"/>
              </w:rPr>
              <w:t>5</w:t>
            </w:r>
            <w:r>
              <w:rPr>
                <w:lang w:val="en-US"/>
              </w:rPr>
              <w:t>)</w:t>
            </w:r>
          </w:p>
        </w:tc>
      </w:tr>
    </w:tbl>
    <w:p w:rsidR="00A9469C" w:rsidRDefault="00002D35" w:rsidP="00E93F8F">
      <w:pPr>
        <w:tabs>
          <w:tab w:val="left" w:pos="284"/>
        </w:tabs>
        <w:autoSpaceDE w:val="0"/>
        <w:autoSpaceDN w:val="0"/>
        <w:adjustRightInd w:val="0"/>
        <w:spacing w:line="480" w:lineRule="auto"/>
        <w:rPr>
          <w:lang w:val="en-US"/>
        </w:rPr>
      </w:pPr>
      <w:r>
        <w:rPr>
          <w:lang w:val="en-US"/>
        </w:rPr>
        <w:lastRenderedPageBreak/>
        <w:t xml:space="preserve">This portfolio strategy was recently studied in detail by Maillard, Roncalli and Teileche [2010], but for standard deviation rather than CVaR as a risk measure. Since CVaR is convex, it follows from their paper that </w:t>
      </w:r>
      <w:r w:rsidR="00A9469C">
        <w:rPr>
          <w:lang w:val="en-US"/>
        </w:rPr>
        <w:t xml:space="preserve">the ERC weights are equivalently determined by first solving </w:t>
      </w: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55"/>
        <w:gridCol w:w="588"/>
      </w:tblGrid>
      <w:tr w:rsidR="00A9469C" w:rsidTr="003F46DF">
        <w:trPr>
          <w:trHeight w:val="534"/>
        </w:trPr>
        <w:tc>
          <w:tcPr>
            <w:tcW w:w="8755" w:type="dxa"/>
            <w:tcBorders>
              <w:top w:val="nil"/>
              <w:left w:val="nil"/>
              <w:bottom w:val="nil"/>
              <w:right w:val="nil"/>
            </w:tcBorders>
          </w:tcPr>
          <w:p w:rsidR="00A9469C" w:rsidRDefault="00A9469C" w:rsidP="003F46DF">
            <w:pPr>
              <w:spacing w:line="480" w:lineRule="auto"/>
              <w:jc w:val="center"/>
              <w:rPr>
                <w:lang w:val="en-US"/>
              </w:rPr>
            </w:pPr>
            <w:r w:rsidRPr="00EB3EFA">
              <w:rPr>
                <w:position w:val="-12"/>
                <w:lang w:val="en-US"/>
              </w:rPr>
              <w:object w:dxaOrig="1640" w:dyaOrig="380">
                <v:shape id="_x0000_i1072" type="#_x0000_t75" style="width:81.55pt;height:19.1pt" o:ole="">
                  <v:imagedata r:id="rId100" o:title=""/>
                </v:shape>
                <o:OLEObject Type="Embed" ProgID="Equation.3" ShapeID="_x0000_i1072" DrawAspect="Content" ObjectID="_1343658011" r:id="rId101"/>
              </w:object>
            </w:r>
            <w:r>
              <w:rPr>
                <w:lang w:val="en-US"/>
              </w:rPr>
              <w:t xml:space="preserve">     s.t.    </w:t>
            </w:r>
            <w:r w:rsidR="003E0966" w:rsidRPr="00A9469C">
              <w:rPr>
                <w:position w:val="-28"/>
                <w:lang w:val="en-US"/>
              </w:rPr>
              <w:object w:dxaOrig="1240" w:dyaOrig="680">
                <v:shape id="_x0000_i1073" type="#_x0000_t75" style="width:61.8pt;height:33.75pt" o:ole="">
                  <v:imagedata r:id="rId102" o:title=""/>
                </v:shape>
                <o:OLEObject Type="Embed" ProgID="Equation.3" ShapeID="_x0000_i1073" DrawAspect="Content" ObjectID="_1343658012" r:id="rId103"/>
              </w:object>
            </w:r>
            <w:r>
              <w:rPr>
                <w:lang w:val="en-US"/>
              </w:rPr>
              <w:t xml:space="preserve"> </w:t>
            </w:r>
          </w:p>
        </w:tc>
        <w:tc>
          <w:tcPr>
            <w:tcW w:w="588" w:type="dxa"/>
            <w:tcBorders>
              <w:top w:val="nil"/>
              <w:left w:val="nil"/>
              <w:bottom w:val="nil"/>
              <w:right w:val="nil"/>
            </w:tcBorders>
            <w:vAlign w:val="center"/>
          </w:tcPr>
          <w:p w:rsidR="00A9469C" w:rsidRDefault="00A9469C" w:rsidP="003E0966">
            <w:pPr>
              <w:spacing w:line="480" w:lineRule="auto"/>
              <w:jc w:val="center"/>
              <w:rPr>
                <w:lang w:val="en-US"/>
              </w:rPr>
            </w:pPr>
            <w:r>
              <w:rPr>
                <w:lang w:val="en-US"/>
              </w:rPr>
              <w:t>(1</w:t>
            </w:r>
            <w:r w:rsidR="003E0966">
              <w:rPr>
                <w:lang w:val="en-US"/>
              </w:rPr>
              <w:t>6</w:t>
            </w:r>
            <w:r>
              <w:rPr>
                <w:lang w:val="en-US"/>
              </w:rPr>
              <w:t>)</w:t>
            </w:r>
          </w:p>
        </w:tc>
      </w:tr>
    </w:tbl>
    <w:p w:rsidR="00A9469C" w:rsidRDefault="00A9469C" w:rsidP="00E93F8F">
      <w:pPr>
        <w:tabs>
          <w:tab w:val="left" w:pos="284"/>
        </w:tabs>
        <w:autoSpaceDE w:val="0"/>
        <w:autoSpaceDN w:val="0"/>
        <w:adjustRightInd w:val="0"/>
        <w:spacing w:line="480" w:lineRule="auto"/>
        <w:rPr>
          <w:lang w:val="en-US"/>
        </w:rPr>
      </w:pPr>
      <w:r>
        <w:rPr>
          <w:lang w:val="en-US"/>
        </w:rPr>
        <w:t xml:space="preserve">(with </w:t>
      </w:r>
      <w:r w:rsidRPr="0046509B">
        <w:rPr>
          <w:position w:val="-6"/>
        </w:rPr>
        <w:object w:dxaOrig="180" w:dyaOrig="220">
          <v:shape id="_x0000_i1074" type="#_x0000_t75" style="width:8.9pt;height:10.85pt" o:ole="">
            <v:imagedata r:id="rId104" o:title=""/>
          </v:shape>
          <o:OLEObject Type="Embed" ProgID="Equation.3" ShapeID="_x0000_i1074" DrawAspect="Content" ObjectID="_1343658013" r:id="rId105"/>
        </w:object>
      </w:r>
      <w:r>
        <w:t>an arbitrary constant)</w:t>
      </w:r>
      <w:r w:rsidR="001607F1">
        <w:t xml:space="preserve"> and without imposing </w:t>
      </w:r>
      <w:r w:rsidR="00F53524">
        <w:t xml:space="preserve">any other constraint on the portfolio weights. </w:t>
      </w:r>
      <w:r>
        <w:t>The ERC weights are the minimizers of (16) standardized by dividing by</w:t>
      </w:r>
      <w:r w:rsidR="003E0966">
        <w:t xml:space="preserve"> the sum of all weights. </w:t>
      </w:r>
      <w:r>
        <w:t xml:space="preserve"> </w:t>
      </w:r>
    </w:p>
    <w:p w:rsidR="00E93F8F" w:rsidRDefault="00A9469C" w:rsidP="00E93F8F">
      <w:pPr>
        <w:tabs>
          <w:tab w:val="left" w:pos="284"/>
        </w:tabs>
        <w:autoSpaceDE w:val="0"/>
        <w:autoSpaceDN w:val="0"/>
        <w:adjustRightInd w:val="0"/>
        <w:spacing w:line="480" w:lineRule="auto"/>
      </w:pPr>
      <w:r>
        <w:rPr>
          <w:lang w:val="en-US"/>
        </w:rPr>
        <w:tab/>
      </w:r>
      <w:r w:rsidR="00E93F8F">
        <w:rPr>
          <w:lang w:val="en-US"/>
        </w:rPr>
        <w:t>Note that that for a portfolio that has the ERC property, t</w:t>
      </w:r>
      <w:r w:rsidR="00E93F8F">
        <w:t xml:space="preserve">he relative weights are inversely proportional to the marginal impact of the position on the portfolio CVaR. When all portfolio percentage CVaR contributions are the same, the component CVaRs coincide. Since  </w:t>
      </w:r>
      <w:r w:rsidR="00E93F8F" w:rsidRPr="001A6FB3">
        <w:rPr>
          <w:position w:val="-14"/>
        </w:rPr>
        <w:object w:dxaOrig="3920" w:dyaOrig="400">
          <v:shape id="_x0000_i1075" type="#_x0000_t75" style="width:196.25pt;height:19.75pt" o:ole="">
            <v:imagedata r:id="rId106" o:title=""/>
          </v:shape>
          <o:OLEObject Type="Embed" ProgID="Equation.3" ShapeID="_x0000_i1075" DrawAspect="Content" ObjectID="_1343658014" r:id="rId107"/>
        </w:object>
      </w:r>
      <w:r w:rsidR="00E93F8F">
        <w:t xml:space="preserve">  we have that: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93"/>
        <w:gridCol w:w="591"/>
      </w:tblGrid>
      <w:tr w:rsidR="00E93F8F" w:rsidTr="004C074C">
        <w:trPr>
          <w:trHeight w:val="1111"/>
        </w:trPr>
        <w:tc>
          <w:tcPr>
            <w:tcW w:w="8593" w:type="dxa"/>
            <w:tcBorders>
              <w:top w:val="nil"/>
              <w:left w:val="nil"/>
              <w:bottom w:val="nil"/>
              <w:right w:val="nil"/>
            </w:tcBorders>
          </w:tcPr>
          <w:p w:rsidR="00E93F8F" w:rsidRDefault="00E93F8F" w:rsidP="004C074C">
            <w:pPr>
              <w:spacing w:line="480" w:lineRule="auto"/>
              <w:jc w:val="center"/>
              <w:rPr>
                <w:lang w:val="en-US"/>
              </w:rPr>
            </w:pPr>
            <w:r w:rsidRPr="006372EB">
              <w:rPr>
                <w:position w:val="-34"/>
                <w:lang w:val="en-US"/>
              </w:rPr>
              <w:object w:dxaOrig="2840" w:dyaOrig="800">
                <v:shape id="_x0000_i1076" type="#_x0000_t75" style="width:142.1pt;height:40.15pt" o:ole="">
                  <v:imagedata r:id="rId108" o:title=""/>
                </v:shape>
                <o:OLEObject Type="Embed" ProgID="Equation.3" ShapeID="_x0000_i1076" DrawAspect="Content" ObjectID="_1343658015" r:id="rId109"/>
              </w:object>
            </w:r>
          </w:p>
        </w:tc>
        <w:tc>
          <w:tcPr>
            <w:tcW w:w="591" w:type="dxa"/>
            <w:tcBorders>
              <w:top w:val="nil"/>
              <w:left w:val="nil"/>
              <w:bottom w:val="nil"/>
              <w:right w:val="nil"/>
            </w:tcBorders>
            <w:vAlign w:val="center"/>
          </w:tcPr>
          <w:p w:rsidR="00E93F8F" w:rsidRDefault="00E93F8F" w:rsidP="005702D3">
            <w:pPr>
              <w:spacing w:line="480" w:lineRule="auto"/>
              <w:jc w:val="center"/>
              <w:rPr>
                <w:lang w:val="en-US"/>
              </w:rPr>
            </w:pPr>
            <w:r>
              <w:rPr>
                <w:lang w:val="en-US"/>
              </w:rPr>
              <w:t>(1</w:t>
            </w:r>
            <w:r w:rsidR="005702D3">
              <w:rPr>
                <w:lang w:val="en-US"/>
              </w:rPr>
              <w:t>7</w:t>
            </w:r>
            <w:r>
              <w:rPr>
                <w:lang w:val="en-US"/>
              </w:rPr>
              <w:t>)</w:t>
            </w:r>
          </w:p>
        </w:tc>
      </w:tr>
    </w:tbl>
    <w:p w:rsidR="00E93F8F" w:rsidRDefault="00E93F8F" w:rsidP="00E93F8F">
      <w:pPr>
        <w:autoSpaceDE w:val="0"/>
        <w:autoSpaceDN w:val="0"/>
        <w:adjustRightInd w:val="0"/>
        <w:spacing w:line="480" w:lineRule="auto"/>
      </w:pPr>
      <w:r>
        <w:t xml:space="preserve">It follows that the equal risk allocation strategy yields portfolios that give higher weights to assets with a small marginal risk impact and down-weights the investments with a high marginal risk (the so-called “hot spots” in Litterman [1996]). </w:t>
      </w:r>
    </w:p>
    <w:p w:rsidR="00E93F8F" w:rsidRDefault="00E93F8F" w:rsidP="00E93F8F">
      <w:pPr>
        <w:tabs>
          <w:tab w:val="left" w:pos="284"/>
        </w:tabs>
        <w:autoSpaceDE w:val="0"/>
        <w:autoSpaceDN w:val="0"/>
        <w:adjustRightInd w:val="0"/>
        <w:spacing w:line="480" w:lineRule="auto"/>
        <w:ind w:firstLine="284"/>
      </w:pPr>
      <w:r>
        <w:t xml:space="preserve">The actual </w:t>
      </w:r>
      <w:r>
        <w:rPr>
          <w:lang w:val="en-US"/>
        </w:rPr>
        <w:t xml:space="preserve">composition of the ERC portfolio </w:t>
      </w:r>
      <w:r>
        <w:t xml:space="preserve">depends in a highly non-linear way on the portfolio weights and the return characteristics. Stoyanov, Rachev and Fabozzi [2009] study in detail the effect of the component return characteristics on the total portfolio CVaR. To build intuition on the properties of the ERC portfolio in real portfolios, in Exhibit 1 we provide an exploratory illustration of the sensitivity of the percentage CVaR contributions to the mean, volatility and correlation for a two-asset portfolio with asset returns that have a bivariate normal distribution with means </w:t>
      </w:r>
      <w:r w:rsidRPr="0049075A">
        <w:rPr>
          <w:position w:val="-10"/>
        </w:rPr>
        <w:object w:dxaOrig="320" w:dyaOrig="360">
          <v:shape id="_x0000_i1077" type="#_x0000_t75" style="width:15.95pt;height:17.85pt" o:ole="">
            <v:imagedata r:id="rId110" o:title=""/>
          </v:shape>
          <o:OLEObject Type="Embed" ProgID="Equation.3" ShapeID="_x0000_i1077" DrawAspect="Content" ObjectID="_1343658016" r:id="rId111"/>
        </w:object>
      </w:r>
      <w:r>
        <w:t xml:space="preserve">and </w:t>
      </w:r>
      <w:r w:rsidRPr="0049075A">
        <w:rPr>
          <w:position w:val="-10"/>
        </w:rPr>
        <w:object w:dxaOrig="320" w:dyaOrig="360">
          <v:shape id="_x0000_i1078" type="#_x0000_t75" style="width:15.95pt;height:17.85pt" o:ole="">
            <v:imagedata r:id="rId112" o:title=""/>
          </v:shape>
          <o:OLEObject Type="Embed" ProgID="Equation.3" ShapeID="_x0000_i1078" DrawAspect="Content" ObjectID="_1343658017" r:id="rId113"/>
        </w:object>
      </w:r>
      <w:r>
        <w:t xml:space="preserve">, correlation </w:t>
      </w:r>
      <w:r w:rsidRPr="0049075A">
        <w:rPr>
          <w:position w:val="-10"/>
        </w:rPr>
        <w:object w:dxaOrig="240" w:dyaOrig="260">
          <v:shape id="_x0000_i1079" type="#_x0000_t75" style="width:12.1pt;height:12.75pt" o:ole="">
            <v:imagedata r:id="rId114" o:title=""/>
          </v:shape>
          <o:OLEObject Type="Embed" ProgID="Equation.3" ShapeID="_x0000_i1079" DrawAspect="Content" ObjectID="_1343658018" r:id="rId115"/>
        </w:object>
      </w:r>
      <w:r>
        <w:t xml:space="preserve">and standard deviations </w:t>
      </w:r>
      <w:r w:rsidRPr="0049075A">
        <w:rPr>
          <w:position w:val="-10"/>
        </w:rPr>
        <w:object w:dxaOrig="320" w:dyaOrig="360">
          <v:shape id="_x0000_i1080" type="#_x0000_t75" style="width:15.95pt;height:17.85pt" o:ole="">
            <v:imagedata r:id="rId116" o:title=""/>
          </v:shape>
          <o:OLEObject Type="Embed" ProgID="Equation.3" ShapeID="_x0000_i1080" DrawAspect="Content" ObjectID="_1343658019" r:id="rId117"/>
        </w:object>
      </w:r>
      <w:r>
        <w:t xml:space="preserve">and </w:t>
      </w:r>
      <w:r w:rsidRPr="0049075A">
        <w:rPr>
          <w:position w:val="-10"/>
        </w:rPr>
        <w:object w:dxaOrig="320" w:dyaOrig="360">
          <v:shape id="_x0000_i1081" type="#_x0000_t75" style="width:15.95pt;height:17.85pt" o:ole="">
            <v:imagedata r:id="rId118" o:title=""/>
          </v:shape>
          <o:OLEObject Type="Embed" ProgID="Equation.3" ShapeID="_x0000_i1081" DrawAspect="Content" ObjectID="_1343658020" r:id="rId119"/>
        </w:object>
      </w:r>
      <w:r>
        <w:t>. Of course, the percentage CVaR contribution is zero and one if the weight is zero and one, respectively. In between these values, the percentage CVaR displays in most cases an S-shape. We see that the higher the correlation is, the closer the S-shape is to the identity line. In the first two columns both assets have zero mean. We show in the Appendix that in this case, the ERC portfolio is given by:</w:t>
      </w:r>
    </w:p>
    <w:tbl>
      <w:tblPr>
        <w:tblW w:w="9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73"/>
        <w:gridCol w:w="557"/>
      </w:tblGrid>
      <w:tr w:rsidR="00E93F8F" w:rsidTr="004C074C">
        <w:trPr>
          <w:trHeight w:val="644"/>
        </w:trPr>
        <w:tc>
          <w:tcPr>
            <w:tcW w:w="8673" w:type="dxa"/>
            <w:tcBorders>
              <w:top w:val="nil"/>
              <w:left w:val="nil"/>
              <w:bottom w:val="nil"/>
              <w:right w:val="nil"/>
            </w:tcBorders>
          </w:tcPr>
          <w:p w:rsidR="00E93F8F" w:rsidRDefault="00E93F8F" w:rsidP="004C074C">
            <w:pPr>
              <w:spacing w:line="480" w:lineRule="auto"/>
              <w:jc w:val="center"/>
              <w:rPr>
                <w:lang w:val="en-US"/>
              </w:rPr>
            </w:pPr>
            <w:r w:rsidRPr="009D24DA">
              <w:rPr>
                <w:position w:val="-30"/>
                <w:lang w:val="en-US"/>
              </w:rPr>
              <w:object w:dxaOrig="1579" w:dyaOrig="720">
                <v:shape id="_x0000_i1082" type="#_x0000_t75" style="width:79pt;height:36.3pt" o:ole="">
                  <v:imagedata r:id="rId120" o:title=""/>
                </v:shape>
                <o:OLEObject Type="Embed" ProgID="Equation.3" ShapeID="_x0000_i1082" DrawAspect="Content" ObjectID="_1343658021" r:id="rId121"/>
              </w:object>
            </w:r>
            <w:r>
              <w:rPr>
                <w:lang w:val="en-US"/>
              </w:rPr>
              <w:t xml:space="preserve"> and </w:t>
            </w:r>
            <w:r w:rsidRPr="009D24DA">
              <w:rPr>
                <w:position w:val="-30"/>
                <w:lang w:val="en-US"/>
              </w:rPr>
              <w:object w:dxaOrig="1579" w:dyaOrig="720">
                <v:shape id="_x0000_i1083" type="#_x0000_t75" style="width:79pt;height:36.3pt" o:ole="">
                  <v:imagedata r:id="rId122" o:title=""/>
                </v:shape>
                <o:OLEObject Type="Embed" ProgID="Equation.3" ShapeID="_x0000_i1083" DrawAspect="Content" ObjectID="_1343658022" r:id="rId123"/>
              </w:object>
            </w:r>
            <w:r>
              <w:rPr>
                <w:lang w:val="en-US"/>
              </w:rPr>
              <w:t>.</w:t>
            </w:r>
          </w:p>
        </w:tc>
        <w:tc>
          <w:tcPr>
            <w:tcW w:w="557" w:type="dxa"/>
            <w:tcBorders>
              <w:top w:val="nil"/>
              <w:left w:val="nil"/>
              <w:bottom w:val="nil"/>
              <w:right w:val="nil"/>
            </w:tcBorders>
            <w:vAlign w:val="center"/>
          </w:tcPr>
          <w:p w:rsidR="00E93F8F" w:rsidRDefault="00E93F8F" w:rsidP="005702D3">
            <w:pPr>
              <w:spacing w:line="480" w:lineRule="auto"/>
              <w:jc w:val="center"/>
              <w:rPr>
                <w:lang w:val="en-US"/>
              </w:rPr>
            </w:pPr>
            <w:r>
              <w:rPr>
                <w:lang w:val="en-US"/>
              </w:rPr>
              <w:t>(1</w:t>
            </w:r>
            <w:r w:rsidR="005702D3">
              <w:rPr>
                <w:lang w:val="en-US"/>
              </w:rPr>
              <w:t>8</w:t>
            </w:r>
            <w:r>
              <w:rPr>
                <w:lang w:val="en-US"/>
              </w:rPr>
              <w:t>)</w:t>
            </w:r>
          </w:p>
        </w:tc>
      </w:tr>
    </w:tbl>
    <w:p w:rsidR="00E93F8F" w:rsidRDefault="00E93F8F" w:rsidP="00E93F8F">
      <w:pPr>
        <w:spacing w:line="480" w:lineRule="auto"/>
      </w:pPr>
      <w:r>
        <w:lastRenderedPageBreak/>
        <w:t>In column 1, both assets have the same volatility. Consequently, the ERC portfolio is the equal-weight portfolio and the percentage CVaR curve is symmetric around the point (0.5,0.5).  We see that the higher the correlation is, the closer the S-shape is to the identity line. In the second column, the volatility of asset 2 is twice the volatility of asset 1. The MCC portfolio is 2/3 invested in asset 1 and 1/3 in asset 2. In the third column, assets 1 and 2 have still the same standard deviation but asset 1 has a higher mean. We see that the ERC portfolio invests more than 50% in asset 1 and that this proportion increases for higher values of the asset correlation.</w:t>
      </w:r>
    </w:p>
    <w:p w:rsidR="00E93F8F" w:rsidRDefault="00E93F8F" w:rsidP="00E93F8F">
      <w:pPr>
        <w:autoSpaceDE w:val="0"/>
        <w:autoSpaceDN w:val="0"/>
        <w:adjustRightInd w:val="0"/>
        <w:spacing w:line="480" w:lineRule="auto"/>
        <w:ind w:firstLine="284"/>
      </w:pPr>
      <w:r>
        <w:t xml:space="preserve">Consider now the more general case of percentage CVaR contributions that are constrained to be between </w:t>
      </w:r>
      <w:r w:rsidRPr="00414546">
        <w:rPr>
          <w:position w:val="-6"/>
        </w:rPr>
        <w:object w:dxaOrig="139" w:dyaOrig="279">
          <v:shape id="_x0000_i1084" type="#_x0000_t75" style="width:7pt;height:14pt" o:ole="">
            <v:imagedata r:id="rId124" o:title=""/>
          </v:shape>
          <o:OLEObject Type="Embed" ProgID="Equation.3" ShapeID="_x0000_i1084" DrawAspect="Content" ObjectID="_1343658023" r:id="rId125"/>
        </w:object>
      </w:r>
      <w:r>
        <w:t xml:space="preserve">and </w:t>
      </w:r>
      <w:r w:rsidRPr="00414546">
        <w:rPr>
          <w:position w:val="-6"/>
        </w:rPr>
        <w:object w:dxaOrig="200" w:dyaOrig="220">
          <v:shape id="_x0000_i1085" type="#_x0000_t75" style="width:10.2pt;height:10.85pt" o:ole="">
            <v:imagedata r:id="rId126" o:title=""/>
          </v:shape>
          <o:OLEObject Type="Embed" ProgID="Equation.3" ShapeID="_x0000_i1085" DrawAspect="Content" ObjectID="_1343658024" r:id="rId127"/>
        </w:object>
      </w:r>
      <w:r>
        <w:t xml:space="preserve">, with </w:t>
      </w:r>
      <w:r w:rsidRPr="00414546">
        <w:rPr>
          <w:position w:val="-6"/>
        </w:rPr>
        <w:object w:dxaOrig="1820" w:dyaOrig="279">
          <v:shape id="_x0000_i1086" type="#_x0000_t75" style="width:91.1pt;height:14pt" o:ole="">
            <v:imagedata r:id="rId128" o:title=""/>
          </v:shape>
          <o:OLEObject Type="Embed" ProgID="Equation.3" ShapeID="_x0000_i1086" DrawAspect="Content" ObjectID="_1343658025" r:id="rId129"/>
        </w:object>
      </w:r>
      <w:r w:rsidRPr="00E93F8F">
        <w:t xml:space="preserve"> </w:t>
      </w:r>
      <w:r>
        <w:t xml:space="preserve">These percentage CVaR contribution constraints reduce the feasible space in a way that depends on the return characteristics. This is illustrated in Exhibit 1 where the dotted lines in this figure illustrate the effect on the feasible space for portfolio weight 1 of imposing an upper 60% bound on the percentage CVaR contributions of the two assets. This implies that the percentage CVaR contribution of asset 1 has to be between 40% and 60%. In the first column, the two assets are identical. We see that in this case, the feasible space is centered around the equal-weight portfolio and that an increase in correlation leads to a widening of the allowed weights. In the second and third columns, asset 1 is more attractive than asset 2 since it offers either a lower volatility or a higher expected return. We see that this leads to a shift of the feasible space to the right, with allowed portfolio weights around 60%. The set of possible weights allowed by the percentage CVaR constraints changes thus in an intuitively appealing way when differences in return and volatility are allowed.  </w:t>
      </w:r>
    </w:p>
    <w:p w:rsidR="00E93F8F" w:rsidRDefault="00E93F8F" w:rsidP="00E93F8F">
      <w:pPr>
        <w:autoSpaceDE w:val="0"/>
        <w:autoSpaceDN w:val="0"/>
        <w:adjustRightInd w:val="0"/>
        <w:spacing w:line="480" w:lineRule="auto"/>
        <w:ind w:firstLine="340"/>
      </w:pPr>
      <w:r>
        <w:t>In the special case of a portfolio of normal assets with mean zero, the percentage CVaR constraints simplify to bound constraints on quadratic functions of the portfolio weights. Combining (8) and (9) and setting</w:t>
      </w:r>
      <w:r w:rsidRPr="0007369E">
        <w:rPr>
          <w:position w:val="-12"/>
        </w:rPr>
        <w:object w:dxaOrig="720" w:dyaOrig="380">
          <v:shape id="_x0000_i1087" type="#_x0000_t75" style="width:36.3pt;height:19.1pt" o:ole="">
            <v:imagedata r:id="rId130" o:title=""/>
          </v:shape>
          <o:OLEObject Type="Embed" ProgID="Equation.3" ShapeID="_x0000_i1087" DrawAspect="Content" ObjectID="_1343658026" r:id="rId131"/>
        </w:object>
      </w:r>
      <w:r>
        <w:t>, yields that the feasible space is given by the portfolio weights for which:</w:t>
      </w:r>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95"/>
        <w:gridCol w:w="600"/>
      </w:tblGrid>
      <w:tr w:rsidR="00E93F8F" w:rsidTr="004C074C">
        <w:trPr>
          <w:trHeight w:val="560"/>
        </w:trPr>
        <w:tc>
          <w:tcPr>
            <w:tcW w:w="8695" w:type="dxa"/>
            <w:tcBorders>
              <w:top w:val="nil"/>
              <w:left w:val="nil"/>
              <w:bottom w:val="nil"/>
              <w:right w:val="nil"/>
            </w:tcBorders>
          </w:tcPr>
          <w:p w:rsidR="00E93F8F" w:rsidRDefault="00E93F8F" w:rsidP="004C074C">
            <w:pPr>
              <w:spacing w:line="480" w:lineRule="auto"/>
              <w:jc w:val="center"/>
              <w:rPr>
                <w:lang w:val="en-US"/>
              </w:rPr>
            </w:pPr>
            <w:r w:rsidRPr="003D0940">
              <w:rPr>
                <w:position w:val="-14"/>
                <w:lang w:val="en-US"/>
              </w:rPr>
              <w:object w:dxaOrig="3180" w:dyaOrig="400">
                <v:shape id="_x0000_i1088" type="#_x0000_t75" style="width:159.3pt;height:19.75pt" o:ole="">
                  <v:imagedata r:id="rId132" o:title=""/>
                </v:shape>
                <o:OLEObject Type="Embed" ProgID="Equation.3" ShapeID="_x0000_i1088" DrawAspect="Content" ObjectID="_1343658027" r:id="rId133"/>
              </w:object>
            </w:r>
          </w:p>
        </w:tc>
        <w:tc>
          <w:tcPr>
            <w:tcW w:w="600" w:type="dxa"/>
            <w:tcBorders>
              <w:top w:val="nil"/>
              <w:left w:val="nil"/>
              <w:bottom w:val="nil"/>
              <w:right w:val="nil"/>
            </w:tcBorders>
            <w:vAlign w:val="center"/>
          </w:tcPr>
          <w:p w:rsidR="00E93F8F" w:rsidRDefault="00E93F8F" w:rsidP="005702D3">
            <w:pPr>
              <w:spacing w:line="480" w:lineRule="auto"/>
              <w:jc w:val="center"/>
              <w:rPr>
                <w:lang w:val="en-US"/>
              </w:rPr>
            </w:pPr>
            <w:r>
              <w:rPr>
                <w:lang w:val="en-US"/>
              </w:rPr>
              <w:t>(1</w:t>
            </w:r>
            <w:r w:rsidR="005702D3">
              <w:rPr>
                <w:lang w:val="en-US"/>
              </w:rPr>
              <w:t>9</w:t>
            </w:r>
            <w:r>
              <w:rPr>
                <w:lang w:val="en-US"/>
              </w:rPr>
              <w:t>)</w:t>
            </w:r>
          </w:p>
        </w:tc>
      </w:tr>
    </w:tbl>
    <w:p w:rsidR="00E93F8F" w:rsidRPr="000251A7" w:rsidRDefault="00E93F8F" w:rsidP="00E93F8F">
      <w:pPr>
        <w:autoSpaceDE w:val="0"/>
        <w:autoSpaceDN w:val="0"/>
        <w:adjustRightInd w:val="0"/>
        <w:spacing w:line="480" w:lineRule="auto"/>
      </w:pPr>
      <w:r>
        <w:t xml:space="preserve">for all </w:t>
      </w:r>
      <w:r w:rsidRPr="00E44398">
        <w:rPr>
          <w:position w:val="-10"/>
        </w:rPr>
        <w:object w:dxaOrig="1040" w:dyaOrig="320">
          <v:shape id="_x0000_i1089" type="#_x0000_t75" style="width:52.25pt;height:15.95pt" o:ole="">
            <v:imagedata r:id="rId134" o:title=""/>
          </v:shape>
          <o:OLEObject Type="Embed" ProgID="Equation.3" ShapeID="_x0000_i1089" DrawAspect="Content" ObjectID="_1343658028" r:id="rId135"/>
        </w:object>
      </w:r>
      <w:r w:rsidRPr="000251A7">
        <w:t xml:space="preserve"> </w:t>
      </w:r>
      <w:r>
        <w:t>For</w:t>
      </w:r>
      <w:r w:rsidRPr="000251A7">
        <w:t xml:space="preserve"> general portfolios with non-normal returns</w:t>
      </w:r>
      <w:r>
        <w:t>, there is no such explicit representation of the percentage CVaR constrain</w:t>
      </w:r>
      <w:r w:rsidR="00477C32">
        <w:t>t</w:t>
      </w:r>
      <w:r>
        <w:t xml:space="preserve"> as weight constraint available for investment. A general purpose portfolio solver that can handle such percentage CVaR contribution constraints is available in the </w:t>
      </w:r>
      <w:r>
        <w:rPr>
          <w:lang w:val="en-US"/>
        </w:rPr>
        <w:t>R package PortfolioAnalytics of Boudt, Carl and Peterson [2009].</w:t>
      </w:r>
    </w:p>
    <w:p w:rsidR="00C17EC7" w:rsidRDefault="005F4E92" w:rsidP="004F061E">
      <w:pPr>
        <w:pStyle w:val="Heading1"/>
        <w:numPr>
          <w:ilvl w:val="0"/>
          <w:numId w:val="0"/>
        </w:numPr>
        <w:ind w:left="170" w:hanging="170"/>
        <w:rPr>
          <w:lang w:val="en-US"/>
        </w:rPr>
      </w:pPr>
      <w:r>
        <w:rPr>
          <w:lang w:val="en-US"/>
        </w:rPr>
        <w:t>EMPIRICAL RESULTS</w:t>
      </w:r>
    </w:p>
    <w:p w:rsidR="005F4E92" w:rsidRDefault="005F4E92" w:rsidP="004B1A49">
      <w:pPr>
        <w:spacing w:line="480" w:lineRule="auto"/>
        <w:ind w:firstLine="170"/>
        <w:rPr>
          <w:lang w:val="en-US"/>
        </w:rPr>
      </w:pPr>
      <w:r>
        <w:rPr>
          <w:szCs w:val="20"/>
        </w:rPr>
        <w:t xml:space="preserve">In this section we apply </w:t>
      </w:r>
      <w:r w:rsidR="007636F5">
        <w:rPr>
          <w:szCs w:val="20"/>
        </w:rPr>
        <w:t xml:space="preserve">the CVaR decomposition methodology to </w:t>
      </w:r>
      <w:r>
        <w:rPr>
          <w:szCs w:val="20"/>
        </w:rPr>
        <w:t xml:space="preserve">optimise </w:t>
      </w:r>
      <w:r w:rsidR="00BA7949">
        <w:rPr>
          <w:szCs w:val="20"/>
        </w:rPr>
        <w:t xml:space="preserve">portfolios that allocate across asset classes. </w:t>
      </w:r>
      <w:r w:rsidR="00BA7949">
        <w:rPr>
          <w:lang w:val="en-US"/>
        </w:rPr>
        <w:t xml:space="preserve">The analysis is based on the January 1976 – </w:t>
      </w:r>
      <w:r w:rsidR="00DD20DE">
        <w:rPr>
          <w:lang w:val="en-US"/>
        </w:rPr>
        <w:t>June 2010</w:t>
      </w:r>
      <w:r w:rsidR="00BA7949">
        <w:rPr>
          <w:lang w:val="en-US"/>
        </w:rPr>
        <w:t xml:space="preserve"> monthly total USD returns of </w:t>
      </w:r>
      <w:r w:rsidR="004F061E">
        <w:rPr>
          <w:lang w:val="en-US"/>
        </w:rPr>
        <w:t xml:space="preserve">Merrill </w:t>
      </w:r>
      <w:r w:rsidR="004F061E">
        <w:rPr>
          <w:lang w:val="en-US"/>
        </w:rPr>
        <w:lastRenderedPageBreak/>
        <w:t>Lynch Domestic Master</w:t>
      </w:r>
      <w:r w:rsidR="00BA7949">
        <w:rPr>
          <w:lang w:val="en-US"/>
        </w:rPr>
        <w:t xml:space="preserve"> index (bonds</w:t>
      </w:r>
      <w:r w:rsidR="004F061E">
        <w:rPr>
          <w:lang w:val="en-US"/>
        </w:rPr>
        <w:t xml:space="preserve">), </w:t>
      </w:r>
      <w:r w:rsidR="00BA7949">
        <w:rPr>
          <w:lang w:val="en-US"/>
        </w:rPr>
        <w:t>the S</w:t>
      </w:r>
      <w:r w:rsidR="004F061E">
        <w:rPr>
          <w:lang w:val="en-US"/>
        </w:rPr>
        <w:t>&amp;P 500</w:t>
      </w:r>
      <w:r w:rsidR="00BA7949">
        <w:rPr>
          <w:lang w:val="en-US"/>
        </w:rPr>
        <w:t xml:space="preserve"> index (US stocks), the MSCI EAFE index (</w:t>
      </w:r>
      <w:r w:rsidR="004F061E">
        <w:rPr>
          <w:lang w:val="en-US"/>
        </w:rPr>
        <w:t>Europe, Asia and Far East stocks</w:t>
      </w:r>
      <w:r w:rsidR="00BA7949">
        <w:rPr>
          <w:lang w:val="en-US"/>
        </w:rPr>
        <w:t>) and the S&amp;</w:t>
      </w:r>
      <w:r w:rsidR="002021CB">
        <w:rPr>
          <w:lang w:val="en-US"/>
        </w:rPr>
        <w:t xml:space="preserve">P Goldman Sachs Commodity index. </w:t>
      </w:r>
      <w:r w:rsidR="00D73BDA">
        <w:rPr>
          <w:lang w:val="en-US"/>
        </w:rPr>
        <w:t>The data are obtained from Datastream</w:t>
      </w:r>
      <w:r w:rsidR="008F50FD">
        <w:rPr>
          <w:lang w:val="en-US"/>
        </w:rPr>
        <w:t>.</w:t>
      </w:r>
      <w:r w:rsidR="00431E38">
        <w:rPr>
          <w:lang w:val="en-US"/>
        </w:rPr>
        <w:t xml:space="preserve">  We will start with a static two asset bond-equity portfolio, and expand to a larger portfolio for studying the effects of rebalancing under various constraints and objectives.</w:t>
      </w:r>
    </w:p>
    <w:p w:rsidR="005F4E92" w:rsidRDefault="005F4E92" w:rsidP="005F4E92">
      <w:pPr>
        <w:pStyle w:val="Heading2"/>
        <w:numPr>
          <w:ilvl w:val="0"/>
          <w:numId w:val="0"/>
        </w:numPr>
        <w:ind w:left="340" w:hanging="340"/>
        <w:rPr>
          <w:lang w:val="en-US"/>
        </w:rPr>
      </w:pPr>
      <w:r>
        <w:rPr>
          <w:lang w:val="en-US"/>
        </w:rPr>
        <w:t xml:space="preserve">STATIC BOND-EQUITY PORTFOLIO </w:t>
      </w:r>
    </w:p>
    <w:p w:rsidR="00321F0D" w:rsidRDefault="004D33ED" w:rsidP="004B1A49">
      <w:pPr>
        <w:spacing w:line="480" w:lineRule="auto"/>
        <w:ind w:firstLine="170"/>
        <w:rPr>
          <w:szCs w:val="20"/>
        </w:rPr>
      </w:pPr>
      <w:r>
        <w:rPr>
          <w:szCs w:val="20"/>
        </w:rPr>
        <w:t xml:space="preserve">We first consider </w:t>
      </w:r>
      <w:r w:rsidR="00913C35">
        <w:rPr>
          <w:szCs w:val="20"/>
        </w:rPr>
        <w:t xml:space="preserve">in Exhibit 2 the following </w:t>
      </w:r>
      <w:r>
        <w:rPr>
          <w:szCs w:val="20"/>
        </w:rPr>
        <w:t xml:space="preserve">static US </w:t>
      </w:r>
      <w:r w:rsidR="005F4E92">
        <w:rPr>
          <w:szCs w:val="20"/>
        </w:rPr>
        <w:t>bond-</w:t>
      </w:r>
      <w:r>
        <w:rPr>
          <w:szCs w:val="20"/>
        </w:rPr>
        <w:t>equity portfolio</w:t>
      </w:r>
      <w:r w:rsidR="00913C35">
        <w:rPr>
          <w:szCs w:val="20"/>
        </w:rPr>
        <w:t>s: equal-weight, 60/40 weight allocation, minimum CVaR, minimum CVaR concentration and a 60/40 risk allocation portfolio</w:t>
      </w:r>
      <w:r>
        <w:rPr>
          <w:szCs w:val="20"/>
        </w:rPr>
        <w:t>.</w:t>
      </w:r>
      <w:r w:rsidR="000409D8">
        <w:rPr>
          <w:szCs w:val="20"/>
        </w:rPr>
        <w:t xml:space="preserve"> All moments are estimated by their </w:t>
      </w:r>
      <w:r w:rsidR="004D30F6">
        <w:rPr>
          <w:szCs w:val="20"/>
        </w:rPr>
        <w:t xml:space="preserve">historical </w:t>
      </w:r>
      <w:r w:rsidR="000409D8">
        <w:rPr>
          <w:szCs w:val="20"/>
        </w:rPr>
        <w:t>sample counterpart.</w:t>
      </w:r>
      <w:r>
        <w:rPr>
          <w:szCs w:val="20"/>
        </w:rPr>
        <w:t xml:space="preserve"> </w:t>
      </w:r>
      <w:r w:rsidR="00296BD1">
        <w:rPr>
          <w:szCs w:val="20"/>
        </w:rPr>
        <w:t xml:space="preserve">Over the January 1976 – </w:t>
      </w:r>
      <w:r w:rsidR="00DD20DE">
        <w:rPr>
          <w:szCs w:val="20"/>
        </w:rPr>
        <w:t>June 2010</w:t>
      </w:r>
      <w:r w:rsidR="00296BD1">
        <w:rPr>
          <w:szCs w:val="20"/>
        </w:rPr>
        <w:t xml:space="preserve"> period, t</w:t>
      </w:r>
      <w:r w:rsidR="00913C35">
        <w:rPr>
          <w:szCs w:val="20"/>
        </w:rPr>
        <w:t xml:space="preserve">he </w:t>
      </w:r>
      <w:r w:rsidR="002C6AEB">
        <w:rPr>
          <w:szCs w:val="20"/>
        </w:rPr>
        <w:t>annualiz</w:t>
      </w:r>
      <w:r w:rsidR="00DA1220">
        <w:rPr>
          <w:szCs w:val="20"/>
        </w:rPr>
        <w:t xml:space="preserve">ed </w:t>
      </w:r>
      <w:r w:rsidR="00913C35">
        <w:rPr>
          <w:szCs w:val="20"/>
        </w:rPr>
        <w:t xml:space="preserve">average </w:t>
      </w:r>
      <w:r w:rsidR="00296BD1">
        <w:rPr>
          <w:szCs w:val="20"/>
        </w:rPr>
        <w:t xml:space="preserve">monthly </w:t>
      </w:r>
      <w:r w:rsidR="00913C35">
        <w:rPr>
          <w:szCs w:val="20"/>
        </w:rPr>
        <w:t xml:space="preserve">return </w:t>
      </w:r>
      <w:r w:rsidR="00296BD1">
        <w:rPr>
          <w:szCs w:val="20"/>
        </w:rPr>
        <w:t xml:space="preserve">of the </w:t>
      </w:r>
      <w:r w:rsidR="00913C35">
        <w:rPr>
          <w:szCs w:val="20"/>
        </w:rPr>
        <w:t xml:space="preserve">bond and US equity is </w:t>
      </w:r>
      <w:r w:rsidR="00DA1220">
        <w:rPr>
          <w:szCs w:val="20"/>
        </w:rPr>
        <w:t>7</w:t>
      </w:r>
      <w:r w:rsidR="00296BD1">
        <w:rPr>
          <w:szCs w:val="20"/>
        </w:rPr>
        <w:t>.</w:t>
      </w:r>
      <w:r w:rsidR="00DA1220">
        <w:rPr>
          <w:szCs w:val="20"/>
        </w:rPr>
        <w:t>84</w:t>
      </w:r>
      <w:r w:rsidR="00296BD1">
        <w:rPr>
          <w:szCs w:val="20"/>
        </w:rPr>
        <w:t xml:space="preserve">% and </w:t>
      </w:r>
      <w:r w:rsidR="00DA1220">
        <w:rPr>
          <w:szCs w:val="20"/>
        </w:rPr>
        <w:t>9</w:t>
      </w:r>
      <w:r w:rsidR="00296BD1">
        <w:rPr>
          <w:szCs w:val="20"/>
        </w:rPr>
        <w:t>.</w:t>
      </w:r>
      <w:r w:rsidR="00DA1220">
        <w:rPr>
          <w:szCs w:val="20"/>
        </w:rPr>
        <w:t>88</w:t>
      </w:r>
      <w:r w:rsidR="00296BD1">
        <w:rPr>
          <w:szCs w:val="20"/>
        </w:rPr>
        <w:t xml:space="preserve">%, respectively. </w:t>
      </w:r>
      <w:r w:rsidR="000F7505">
        <w:rPr>
          <w:szCs w:val="20"/>
        </w:rPr>
        <w:t>This difference in average return is traded off with the higher CVaR of the equity (12.</w:t>
      </w:r>
      <w:r w:rsidR="00DA1220">
        <w:rPr>
          <w:szCs w:val="20"/>
        </w:rPr>
        <w:t>48</w:t>
      </w:r>
      <w:r w:rsidR="000F7505">
        <w:rPr>
          <w:szCs w:val="20"/>
        </w:rPr>
        <w:t>%) compared to the one of the bond (</w:t>
      </w:r>
      <w:r w:rsidR="00296BD1">
        <w:rPr>
          <w:szCs w:val="20"/>
        </w:rPr>
        <w:t>1.</w:t>
      </w:r>
      <w:r w:rsidR="00DA1220">
        <w:rPr>
          <w:szCs w:val="20"/>
        </w:rPr>
        <w:t>23</w:t>
      </w:r>
      <w:r w:rsidR="00296BD1">
        <w:rPr>
          <w:szCs w:val="20"/>
        </w:rPr>
        <w:t>%</w:t>
      </w:r>
      <w:r w:rsidR="000F7505">
        <w:rPr>
          <w:szCs w:val="20"/>
        </w:rPr>
        <w:t>). We see in Exhibit 2 that for the classical portfolios, the risk allocation are</w:t>
      </w:r>
      <w:r w:rsidR="00913C35">
        <w:rPr>
          <w:szCs w:val="20"/>
        </w:rPr>
        <w:t xml:space="preserve"> heavily concentrated </w:t>
      </w:r>
      <w:r w:rsidR="000F7505">
        <w:rPr>
          <w:szCs w:val="20"/>
        </w:rPr>
        <w:t xml:space="preserve">either in the equity component (resp. 96% and 98% of portfolio CVaR caused by the equity investment in the </w:t>
      </w:r>
      <w:r w:rsidR="00913C35">
        <w:rPr>
          <w:szCs w:val="20"/>
        </w:rPr>
        <w:t>equal-weight and 60/40 portfolios</w:t>
      </w:r>
      <w:r w:rsidR="000F7505">
        <w:rPr>
          <w:szCs w:val="20"/>
        </w:rPr>
        <w:t>)</w:t>
      </w:r>
      <w:r w:rsidR="00913C35">
        <w:rPr>
          <w:szCs w:val="20"/>
        </w:rPr>
        <w:t xml:space="preserve"> </w:t>
      </w:r>
      <w:r w:rsidR="000F7505">
        <w:rPr>
          <w:szCs w:val="20"/>
        </w:rPr>
        <w:t xml:space="preserve">or the bond </w:t>
      </w:r>
      <w:r w:rsidR="00913C35">
        <w:rPr>
          <w:szCs w:val="20"/>
        </w:rPr>
        <w:t xml:space="preserve">(the bond allocation is responsible for </w:t>
      </w:r>
      <w:r w:rsidR="005A3765">
        <w:rPr>
          <w:szCs w:val="20"/>
        </w:rPr>
        <w:t>98</w:t>
      </w:r>
      <w:r w:rsidR="00913C35">
        <w:rPr>
          <w:szCs w:val="20"/>
        </w:rPr>
        <w:t>% of portfolio CVaR</w:t>
      </w:r>
      <w:r w:rsidR="000F7505">
        <w:rPr>
          <w:szCs w:val="20"/>
        </w:rPr>
        <w:t xml:space="preserve"> in the minimum CVaR portfolio</w:t>
      </w:r>
      <w:r w:rsidR="00913C35">
        <w:rPr>
          <w:szCs w:val="20"/>
        </w:rPr>
        <w:t>). These extreme risk allocations are avoided by the risk budget optimised portfolios. The minimum CVaR concentration portfolio</w:t>
      </w:r>
      <w:r w:rsidR="00321F0D">
        <w:rPr>
          <w:szCs w:val="20"/>
        </w:rPr>
        <w:t xml:space="preserve"> is an equal risk contribution portfolio with an 85/15 bond-equity weight allocation. </w:t>
      </w:r>
      <w:r w:rsidR="0088115A">
        <w:rPr>
          <w:szCs w:val="20"/>
        </w:rPr>
        <w:t xml:space="preserve"> </w:t>
      </w:r>
      <w:r w:rsidR="000F7505">
        <w:rPr>
          <w:szCs w:val="20"/>
        </w:rPr>
        <w:t xml:space="preserve">The 60/40 risk allocation portfolio has a slightly higher allocation to equity. </w:t>
      </w:r>
    </w:p>
    <w:p w:rsidR="00A05D1F" w:rsidRDefault="00321F0D" w:rsidP="004B1A49">
      <w:pPr>
        <w:spacing w:line="480" w:lineRule="auto"/>
        <w:ind w:firstLine="170"/>
        <w:rPr>
          <w:szCs w:val="20"/>
        </w:rPr>
      </w:pPr>
      <w:r>
        <w:rPr>
          <w:szCs w:val="20"/>
        </w:rPr>
        <w:t xml:space="preserve">In Exhibit </w:t>
      </w:r>
      <w:r w:rsidR="00913C35">
        <w:rPr>
          <w:szCs w:val="20"/>
        </w:rPr>
        <w:t>3</w:t>
      </w:r>
      <w:r>
        <w:rPr>
          <w:szCs w:val="20"/>
        </w:rPr>
        <w:t xml:space="preserve"> we add a return target to the minimum CVaR </w:t>
      </w:r>
      <w:r w:rsidR="004D30F6">
        <w:rPr>
          <w:szCs w:val="20"/>
        </w:rPr>
        <w:t xml:space="preserve">concentration </w:t>
      </w:r>
      <w:r>
        <w:rPr>
          <w:szCs w:val="20"/>
        </w:rPr>
        <w:t xml:space="preserve">portfolio. The </w:t>
      </w:r>
      <w:r w:rsidR="007E6BC4">
        <w:rPr>
          <w:szCs w:val="20"/>
        </w:rPr>
        <w:t>left</w:t>
      </w:r>
      <w:r w:rsidR="000409D8">
        <w:rPr>
          <w:szCs w:val="20"/>
        </w:rPr>
        <w:t xml:space="preserve"> panel reports the mean-CVaR </w:t>
      </w:r>
      <w:r w:rsidR="00C8124B">
        <w:rPr>
          <w:szCs w:val="20"/>
        </w:rPr>
        <w:t>c</w:t>
      </w:r>
      <w:r w:rsidR="000409D8">
        <w:rPr>
          <w:szCs w:val="20"/>
        </w:rPr>
        <w:t xml:space="preserve">oncentration efficient frontier in </w:t>
      </w:r>
      <w:r w:rsidR="002130AF">
        <w:rPr>
          <w:szCs w:val="20"/>
        </w:rPr>
        <w:t>black</w:t>
      </w:r>
      <w:r w:rsidR="000409D8">
        <w:rPr>
          <w:szCs w:val="20"/>
        </w:rPr>
        <w:t xml:space="preserve"> line and </w:t>
      </w:r>
      <w:r w:rsidR="002130AF">
        <w:rPr>
          <w:szCs w:val="20"/>
        </w:rPr>
        <w:t>the CVaR of these portfolios in gr</w:t>
      </w:r>
      <w:r w:rsidR="005D2D05">
        <w:rPr>
          <w:szCs w:val="20"/>
        </w:rPr>
        <w:t>e</w:t>
      </w:r>
      <w:r w:rsidR="002130AF">
        <w:rPr>
          <w:szCs w:val="20"/>
        </w:rPr>
        <w:t>y</w:t>
      </w:r>
      <w:r w:rsidR="000409D8">
        <w:rPr>
          <w:szCs w:val="20"/>
        </w:rPr>
        <w:t xml:space="preserve"> line. </w:t>
      </w:r>
      <w:r w:rsidR="00C366F1">
        <w:rPr>
          <w:szCs w:val="20"/>
        </w:rPr>
        <w:t>In this two asset portfolio where equity is the dominant risk contributor, t</w:t>
      </w:r>
      <w:r w:rsidR="000409D8">
        <w:rPr>
          <w:szCs w:val="20"/>
        </w:rPr>
        <w:t xml:space="preserve">he horizontal distance between the full and dashed line corresponds to the risk contribution of the bond. </w:t>
      </w:r>
      <w:r w:rsidR="005D2D05">
        <w:rPr>
          <w:szCs w:val="20"/>
        </w:rPr>
        <w:t>We see that the higher the required return, the higher the portfolio CVaR. Note that for a target annualized mean return between 8.3 and 8.5%, the mean/CVaR concentration efficient porfolio is not at the border of the allowed space, explaining the gap in the frontier</w:t>
      </w:r>
      <w:r w:rsidR="00165CDA">
        <w:rPr>
          <w:szCs w:val="20"/>
        </w:rPr>
        <w:t xml:space="preserve">. For this range of target return, the mean/CVaR concentration portfolio coincides with the efficient portfolio at a minimum 8.5% return constraint. In the risk allocation chart, we see that in the portfolios with a return below 8.3% causes between 30 and 50% of the portfolio CVaR. In the portfolio with a 8.5% return target, the bond acts as a risk diversifier, meaning that increasing its weight in the portfolio, reduces marginally the portfolio risk (keeping the equity weight fixed). </w:t>
      </w:r>
      <w:r w:rsidR="00A05D1F">
        <w:rPr>
          <w:szCs w:val="20"/>
        </w:rPr>
        <w:t xml:space="preserve">As the equity investment becomes a more dominant part of the portfolio, a marginal increase in the bond allocation has little effect on the portfolio CVaR. This explains why the diversification potential of the bond becomes negligible for the portfolios with the highest return targets. </w:t>
      </w:r>
    </w:p>
    <w:p w:rsidR="005F4E92" w:rsidRDefault="00A115E9" w:rsidP="005F4E92">
      <w:pPr>
        <w:pStyle w:val="Heading2"/>
        <w:numPr>
          <w:ilvl w:val="0"/>
          <w:numId w:val="0"/>
        </w:numPr>
        <w:ind w:left="340" w:hanging="340"/>
        <w:rPr>
          <w:lang w:val="en-US"/>
        </w:rPr>
      </w:pPr>
      <w:r>
        <w:rPr>
          <w:lang w:val="en-US"/>
        </w:rPr>
        <w:lastRenderedPageBreak/>
        <w:t>DYNAMIC INVESTMENT STRATEGIES</w:t>
      </w:r>
    </w:p>
    <w:p w:rsidR="005C4014" w:rsidRDefault="00321F0D" w:rsidP="005C4014">
      <w:pPr>
        <w:autoSpaceDE w:val="0"/>
        <w:autoSpaceDN w:val="0"/>
        <w:adjustRightInd w:val="0"/>
        <w:spacing w:line="480" w:lineRule="auto"/>
        <w:ind w:firstLine="340"/>
        <w:rPr>
          <w:szCs w:val="20"/>
        </w:rPr>
      </w:pPr>
      <w:r>
        <w:rPr>
          <w:szCs w:val="20"/>
        </w:rPr>
        <w:t xml:space="preserve">Let us now consider </w:t>
      </w:r>
      <w:r w:rsidR="004D33ED">
        <w:rPr>
          <w:szCs w:val="20"/>
        </w:rPr>
        <w:t>a dynamic portfolio invested in bonds, US equity, Europe, Asia and Far East equity and commodities.</w:t>
      </w:r>
      <w:r w:rsidR="00A52E46">
        <w:rPr>
          <w:szCs w:val="20"/>
        </w:rPr>
        <w:t xml:space="preserve"> </w:t>
      </w:r>
      <w:r w:rsidR="00C25594">
        <w:rPr>
          <w:szCs w:val="20"/>
        </w:rPr>
        <w:t>The portfolio is rebalanced quarterly to satisfy either an equal-weight</w:t>
      </w:r>
      <w:r w:rsidR="00465390">
        <w:rPr>
          <w:szCs w:val="20"/>
        </w:rPr>
        <w:t xml:space="preserve"> (EW)</w:t>
      </w:r>
      <w:r w:rsidR="00C25594">
        <w:rPr>
          <w:szCs w:val="20"/>
        </w:rPr>
        <w:t xml:space="preserve">, minimum CVaR </w:t>
      </w:r>
      <w:r w:rsidR="00465390">
        <w:rPr>
          <w:szCs w:val="20"/>
        </w:rPr>
        <w:t xml:space="preserve">(MC) </w:t>
      </w:r>
      <w:r w:rsidR="00C25594">
        <w:rPr>
          <w:szCs w:val="20"/>
        </w:rPr>
        <w:t xml:space="preserve">or minimum CVaR concentration </w:t>
      </w:r>
      <w:r w:rsidR="00465390">
        <w:rPr>
          <w:szCs w:val="20"/>
        </w:rPr>
        <w:t xml:space="preserve">(MCC) </w:t>
      </w:r>
      <w:r w:rsidR="00C25594">
        <w:rPr>
          <w:szCs w:val="20"/>
        </w:rPr>
        <w:t>objective.</w:t>
      </w:r>
      <w:r w:rsidR="005C4014">
        <w:rPr>
          <w:szCs w:val="20"/>
        </w:rPr>
        <w:t xml:space="preserve"> The portfolios are all fully invested and short sales are excluded. </w:t>
      </w:r>
      <w:r w:rsidR="007A21C6">
        <w:rPr>
          <w:szCs w:val="20"/>
        </w:rPr>
        <w:t xml:space="preserve">The risk budgets that are optimised are all conditional on the information available at the time of rebalancing. We give more details on the estimation in the Appendix.  </w:t>
      </w:r>
      <w:r w:rsidR="005C4014">
        <w:rPr>
          <w:szCs w:val="20"/>
        </w:rPr>
        <w:t>Since part of the estimatio</w:t>
      </w:r>
      <w:r w:rsidR="007A21C6">
        <w:rPr>
          <w:szCs w:val="20"/>
        </w:rPr>
        <w:t xml:space="preserve">n </w:t>
      </w:r>
      <w:r w:rsidR="005C4014">
        <w:rPr>
          <w:szCs w:val="20"/>
        </w:rPr>
        <w:t>is based on rolling samples of eight years</w:t>
      </w:r>
      <w:r w:rsidR="00203755">
        <w:rPr>
          <w:szCs w:val="20"/>
        </w:rPr>
        <w:t xml:space="preserve"> and the data span is January 1976 – June 2010</w:t>
      </w:r>
      <w:r w:rsidR="005C4014">
        <w:rPr>
          <w:szCs w:val="20"/>
        </w:rPr>
        <w:t xml:space="preserve">, the optimized weights are </w:t>
      </w:r>
      <w:r w:rsidR="00633537">
        <w:rPr>
          <w:szCs w:val="20"/>
        </w:rPr>
        <w:t xml:space="preserve">only available </w:t>
      </w:r>
      <w:r w:rsidR="005C4014">
        <w:rPr>
          <w:szCs w:val="20"/>
        </w:rPr>
        <w:t xml:space="preserve">for the quarters 1984Q1 – </w:t>
      </w:r>
      <w:r w:rsidR="00C426FE">
        <w:rPr>
          <w:szCs w:val="20"/>
        </w:rPr>
        <w:t>2010Q3</w:t>
      </w:r>
      <w:r w:rsidR="005C4014">
        <w:rPr>
          <w:szCs w:val="20"/>
        </w:rPr>
        <w:t xml:space="preserve">. </w:t>
      </w:r>
      <w:r w:rsidR="005C4014" w:rsidRPr="00D91F27">
        <w:rPr>
          <w:szCs w:val="20"/>
        </w:rPr>
        <w:t xml:space="preserve"> </w:t>
      </w:r>
      <w:r w:rsidR="00465390">
        <w:rPr>
          <w:szCs w:val="20"/>
        </w:rPr>
        <w:t xml:space="preserve">In all aspects, the MCC portfolio and ERC constrained </w:t>
      </w:r>
      <w:r w:rsidR="00CB7A23">
        <w:t>minimum CVaR</w:t>
      </w:r>
      <w:r w:rsidR="00465390">
        <w:rPr>
          <w:szCs w:val="20"/>
        </w:rPr>
        <w:t xml:space="preserve"> portfolios are very similar. We’ll therefore discuss in the text only the results for the MCC portfolio, but for completeness the exhibits show the results for both portfolios. </w:t>
      </w:r>
    </w:p>
    <w:p w:rsidR="005C4014" w:rsidRDefault="00633537" w:rsidP="005C4014">
      <w:pPr>
        <w:autoSpaceDE w:val="0"/>
        <w:autoSpaceDN w:val="0"/>
        <w:adjustRightInd w:val="0"/>
        <w:spacing w:line="480" w:lineRule="auto"/>
        <w:ind w:firstLine="340"/>
        <w:rPr>
          <w:lang w:val="en-US"/>
        </w:rPr>
      </w:pPr>
      <w:r>
        <w:rPr>
          <w:szCs w:val="20"/>
        </w:rPr>
        <w:t xml:space="preserve">The left and right panels of Exhibit 4 plot the weight and CVaR allocations of the </w:t>
      </w:r>
      <w:r w:rsidR="003F46DF">
        <w:rPr>
          <w:szCs w:val="20"/>
        </w:rPr>
        <w:t>equal-weight</w:t>
      </w:r>
      <w:r w:rsidR="00465390">
        <w:rPr>
          <w:szCs w:val="20"/>
        </w:rPr>
        <w:t xml:space="preserve">, </w:t>
      </w:r>
      <w:r w:rsidR="00CB7A23">
        <w:t>minimum CVaR</w:t>
      </w:r>
      <w:r w:rsidR="00465390">
        <w:rPr>
          <w:szCs w:val="20"/>
        </w:rPr>
        <w:t xml:space="preserve"> and MCC p</w:t>
      </w:r>
      <w:r>
        <w:rPr>
          <w:szCs w:val="20"/>
        </w:rPr>
        <w:t xml:space="preserve">ortfolios. </w:t>
      </w:r>
      <w:r w:rsidR="005C4014">
        <w:rPr>
          <w:szCs w:val="20"/>
        </w:rPr>
        <w:t xml:space="preserve">We find that for almost all periods the </w:t>
      </w:r>
      <w:r w:rsidR="00465390">
        <w:rPr>
          <w:szCs w:val="20"/>
        </w:rPr>
        <w:t>MC p</w:t>
      </w:r>
      <w:r w:rsidR="005C4014">
        <w:rPr>
          <w:szCs w:val="20"/>
        </w:rPr>
        <w:t xml:space="preserve">ortfolio is highly invested in the bond index, while the </w:t>
      </w:r>
      <w:r w:rsidR="00465390">
        <w:rPr>
          <w:szCs w:val="20"/>
        </w:rPr>
        <w:t>MCC</w:t>
      </w:r>
      <w:r w:rsidR="005C4014">
        <w:rPr>
          <w:szCs w:val="20"/>
        </w:rPr>
        <w:t xml:space="preserve"> portfolio is more balanced across all asset classes. </w:t>
      </w:r>
      <w:r w:rsidR="00465390">
        <w:rPr>
          <w:szCs w:val="20"/>
        </w:rPr>
        <w:t>As predicted by theory, t</w:t>
      </w:r>
      <w:r w:rsidR="005C4014">
        <w:rPr>
          <w:szCs w:val="20"/>
        </w:rPr>
        <w:t xml:space="preserve">he risk allocation of the </w:t>
      </w:r>
      <w:r w:rsidR="00CB7A23">
        <w:t>minimum CVaR</w:t>
      </w:r>
      <w:r w:rsidR="00465390">
        <w:rPr>
          <w:szCs w:val="20"/>
        </w:rPr>
        <w:t xml:space="preserve"> portfolio coincides with its weight allocation and the risk allocation of the MCC portfolio is close to the ERC state.</w:t>
      </w:r>
      <w:r w:rsidR="005C4014">
        <w:rPr>
          <w:szCs w:val="20"/>
        </w:rPr>
        <w:t xml:space="preserve"> </w:t>
      </w:r>
      <w:r w:rsidR="005C4014">
        <w:rPr>
          <w:lang w:val="en-US"/>
        </w:rPr>
        <w:t xml:space="preserve">The CVaR of the </w:t>
      </w:r>
      <w:r w:rsidR="003F46DF">
        <w:rPr>
          <w:szCs w:val="20"/>
        </w:rPr>
        <w:t>equal-weight</w:t>
      </w:r>
      <w:r w:rsidR="005C4014">
        <w:rPr>
          <w:lang w:val="en-US"/>
        </w:rPr>
        <w:t xml:space="preserve"> portfolio is dominated by the US and EAFE stocks. The diversification potential of the bond is not fully exploited</w:t>
      </w:r>
      <w:r w:rsidR="003A2DAD">
        <w:rPr>
          <w:lang w:val="en-US"/>
        </w:rPr>
        <w:t xml:space="preserve"> by the equal-weight portfolio</w:t>
      </w:r>
      <w:r w:rsidR="005C4014">
        <w:rPr>
          <w:lang w:val="en-US"/>
        </w:rPr>
        <w:t>, since for many quarters it has a negative risk contribution</w:t>
      </w:r>
      <w:r w:rsidR="003A2DAD">
        <w:rPr>
          <w:lang w:val="en-US"/>
        </w:rPr>
        <w:t>. This means</w:t>
      </w:r>
      <w:r w:rsidR="005C4014">
        <w:rPr>
          <w:lang w:val="en-US"/>
        </w:rPr>
        <w:t xml:space="preserve"> that increasing the weight of the bond </w:t>
      </w:r>
      <w:r w:rsidR="003A2DAD">
        <w:rPr>
          <w:lang w:val="en-US"/>
        </w:rPr>
        <w:t>woul</w:t>
      </w:r>
      <w:r w:rsidR="005C4014">
        <w:rPr>
          <w:lang w:val="en-US"/>
        </w:rPr>
        <w:t xml:space="preserve">d marginally decrease portfolio risk.  The reason for the bad performance of weight constraints in ensuring </w:t>
      </w:r>
      <w:r w:rsidR="00403FFE">
        <w:rPr>
          <w:lang w:val="en-US"/>
        </w:rPr>
        <w:t xml:space="preserve">ex ante </w:t>
      </w:r>
      <w:r w:rsidR="005C4014">
        <w:rPr>
          <w:lang w:val="en-US"/>
        </w:rPr>
        <w:t xml:space="preserve">risk diversification is the non-linear dependence of portfolio CVaR </w:t>
      </w:r>
      <w:r w:rsidR="00403FFE">
        <w:rPr>
          <w:lang w:val="en-US"/>
        </w:rPr>
        <w:t xml:space="preserve">contributions </w:t>
      </w:r>
      <w:r w:rsidR="005C4014">
        <w:rPr>
          <w:lang w:val="en-US"/>
        </w:rPr>
        <w:t xml:space="preserve">on the weights. Therefore direct constraints on the risk budgets rather than on the weights are more efficient in </w:t>
      </w:r>
      <w:r w:rsidR="0034667A">
        <w:rPr>
          <w:lang w:val="en-US"/>
        </w:rPr>
        <w:t>reaching a portfolio manager</w:t>
      </w:r>
      <w:r w:rsidR="00403FFE">
        <w:rPr>
          <w:lang w:val="en-US"/>
        </w:rPr>
        <w:t>’</w:t>
      </w:r>
      <w:r w:rsidR="0034667A">
        <w:rPr>
          <w:lang w:val="en-US"/>
        </w:rPr>
        <w:t xml:space="preserve">s goal of </w:t>
      </w:r>
      <w:r w:rsidR="005C4014">
        <w:rPr>
          <w:lang w:val="en-US"/>
        </w:rPr>
        <w:t xml:space="preserve">ensuring risk diversification. </w:t>
      </w:r>
    </w:p>
    <w:p w:rsidR="003251D6" w:rsidRDefault="00465390" w:rsidP="003251D6">
      <w:pPr>
        <w:autoSpaceDE w:val="0"/>
        <w:autoSpaceDN w:val="0"/>
        <w:adjustRightInd w:val="0"/>
        <w:spacing w:line="480" w:lineRule="auto"/>
        <w:ind w:firstLine="340"/>
        <w:rPr>
          <w:lang w:val="en-US"/>
        </w:rPr>
      </w:pPr>
      <w:r>
        <w:rPr>
          <w:lang w:val="en-US"/>
        </w:rPr>
        <w:t xml:space="preserve">Exhibit 5 plots the ex ante portfolio risk estimates. As expected, the CVaR of the MCC portfolio is for all quarters in between the CVaR of the </w:t>
      </w:r>
      <w:r w:rsidR="00CB7A23">
        <w:t>minimum CVaR</w:t>
      </w:r>
      <w:r>
        <w:rPr>
          <w:lang w:val="en-US"/>
        </w:rPr>
        <w:t xml:space="preserve"> portfolio and the CVaR of the </w:t>
      </w:r>
      <w:r w:rsidR="003F46DF">
        <w:rPr>
          <w:szCs w:val="20"/>
        </w:rPr>
        <w:t>equal-weight</w:t>
      </w:r>
      <w:r>
        <w:rPr>
          <w:lang w:val="en-US"/>
        </w:rPr>
        <w:t xml:space="preserve"> portfolio.  </w:t>
      </w:r>
    </w:p>
    <w:p w:rsidR="007A00F9" w:rsidRDefault="003251D6" w:rsidP="003251D6">
      <w:pPr>
        <w:autoSpaceDE w:val="0"/>
        <w:autoSpaceDN w:val="0"/>
        <w:adjustRightInd w:val="0"/>
        <w:spacing w:line="480" w:lineRule="auto"/>
        <w:ind w:firstLine="340"/>
        <w:rPr>
          <w:lang w:val="en-US"/>
        </w:rPr>
      </w:pPr>
      <w:r>
        <w:rPr>
          <w:lang w:val="en-US"/>
        </w:rPr>
        <w:t xml:space="preserve">Consider now in Exhibit 6 the out-of-sample performance of these portfolios. </w:t>
      </w:r>
      <w:r w:rsidR="00142461">
        <w:rPr>
          <w:lang w:val="en-US"/>
        </w:rPr>
        <w:t xml:space="preserve">The solid black lines in the lower and upper panels of </w:t>
      </w:r>
      <w:r w:rsidR="00B65AB0">
        <w:rPr>
          <w:lang w:val="en-US"/>
        </w:rPr>
        <w:t xml:space="preserve">Exhibit </w:t>
      </w:r>
      <w:r>
        <w:rPr>
          <w:lang w:val="en-US"/>
        </w:rPr>
        <w:t>6</w:t>
      </w:r>
      <w:r w:rsidR="000973BE">
        <w:rPr>
          <w:lang w:val="en-US"/>
        </w:rPr>
        <w:t xml:space="preserve"> plot the</w:t>
      </w:r>
      <w:r w:rsidR="000973BE" w:rsidRPr="00D56CC3">
        <w:rPr>
          <w:lang w:val="en-US"/>
        </w:rPr>
        <w:t xml:space="preserve"> </w:t>
      </w:r>
      <w:r w:rsidR="000973BE" w:rsidRPr="005D5BE8">
        <w:rPr>
          <w:lang w:val="en-US"/>
        </w:rPr>
        <w:t>ratio of the</w:t>
      </w:r>
      <w:r w:rsidR="000973BE">
        <w:rPr>
          <w:lang w:val="en-US"/>
        </w:rPr>
        <w:t xml:space="preserve"> </w:t>
      </w:r>
      <w:r w:rsidR="003A2DAD">
        <w:rPr>
          <w:lang w:val="en-US"/>
        </w:rPr>
        <w:t xml:space="preserve">monthly </w:t>
      </w:r>
      <w:r w:rsidR="000973BE" w:rsidRPr="005D5BE8">
        <w:rPr>
          <w:lang w:val="en-US"/>
        </w:rPr>
        <w:t xml:space="preserve">cumulative </w:t>
      </w:r>
      <w:r w:rsidR="000973BE">
        <w:rPr>
          <w:lang w:val="en-US"/>
        </w:rPr>
        <w:t xml:space="preserve">out-of-sample returns of the </w:t>
      </w:r>
      <w:r w:rsidR="00CB7A23">
        <w:t>minimum CVaR</w:t>
      </w:r>
      <w:r>
        <w:rPr>
          <w:lang w:val="en-US"/>
        </w:rPr>
        <w:t xml:space="preserve"> and MCC</w:t>
      </w:r>
      <w:r w:rsidR="00142461">
        <w:rPr>
          <w:lang w:val="en-US"/>
        </w:rPr>
        <w:t xml:space="preserve"> </w:t>
      </w:r>
      <w:r w:rsidR="000973BE">
        <w:rPr>
          <w:lang w:val="en-US"/>
        </w:rPr>
        <w:t xml:space="preserve">portfolios versus the cumulative returns of the </w:t>
      </w:r>
      <w:r w:rsidR="003F46DF">
        <w:rPr>
          <w:szCs w:val="20"/>
        </w:rPr>
        <w:t>equal-weight</w:t>
      </w:r>
      <w:r w:rsidR="00940964">
        <w:rPr>
          <w:lang w:val="en-US"/>
        </w:rPr>
        <w:t xml:space="preserve"> portfolio</w:t>
      </w:r>
      <w:r w:rsidR="003A2DAD">
        <w:rPr>
          <w:lang w:val="en-US"/>
        </w:rPr>
        <w:t xml:space="preserve"> over the period January 1984-</w:t>
      </w:r>
      <w:r w:rsidR="00142461">
        <w:rPr>
          <w:lang w:val="en-US"/>
        </w:rPr>
        <w:t>June 2010</w:t>
      </w:r>
      <w:r w:rsidR="003A2DAD">
        <w:rPr>
          <w:lang w:val="en-US"/>
        </w:rPr>
        <w:t>.</w:t>
      </w:r>
      <w:r w:rsidR="000973BE">
        <w:rPr>
          <w:lang w:val="en-US"/>
        </w:rPr>
        <w:t xml:space="preserve"> </w:t>
      </w:r>
      <w:r w:rsidR="000973BE" w:rsidRPr="005D5BE8">
        <w:rPr>
          <w:lang w:val="en-US"/>
        </w:rPr>
        <w:t>The value of the chart is less important</w:t>
      </w:r>
      <w:r w:rsidR="000973BE">
        <w:rPr>
          <w:lang w:val="en-US"/>
        </w:rPr>
        <w:t xml:space="preserve"> </w:t>
      </w:r>
      <w:r w:rsidR="000973BE" w:rsidRPr="005D5BE8">
        <w:rPr>
          <w:lang w:val="en-US"/>
        </w:rPr>
        <w:t xml:space="preserve">than the slope of the line. If the slope is positive, the </w:t>
      </w:r>
      <w:r w:rsidR="000973BE">
        <w:rPr>
          <w:lang w:val="en-US"/>
        </w:rPr>
        <w:t xml:space="preserve">strategy in the numerator is outperforming the </w:t>
      </w:r>
      <w:r w:rsidR="00940964">
        <w:rPr>
          <w:lang w:val="en-US"/>
        </w:rPr>
        <w:t>equal-weight</w:t>
      </w:r>
      <w:r w:rsidR="000973BE">
        <w:rPr>
          <w:lang w:val="en-US"/>
        </w:rPr>
        <w:t xml:space="preserve"> strategy, </w:t>
      </w:r>
      <w:r w:rsidR="000973BE" w:rsidRPr="005D5BE8">
        <w:rPr>
          <w:lang w:val="en-US"/>
        </w:rPr>
        <w:t>and</w:t>
      </w:r>
      <w:r w:rsidR="000973BE">
        <w:rPr>
          <w:lang w:val="en-US"/>
        </w:rPr>
        <w:t xml:space="preserve"> </w:t>
      </w:r>
      <w:r w:rsidR="000973BE" w:rsidRPr="005D5BE8">
        <w:rPr>
          <w:lang w:val="en-US"/>
        </w:rPr>
        <w:t>vice versa.</w:t>
      </w:r>
      <w:r w:rsidR="000973BE">
        <w:rPr>
          <w:lang w:val="en-US"/>
        </w:rPr>
        <w:t xml:space="preserve"> </w:t>
      </w:r>
      <w:r w:rsidR="00DE40B8">
        <w:rPr>
          <w:szCs w:val="20"/>
        </w:rPr>
        <w:t>The vertical gr</w:t>
      </w:r>
      <w:r w:rsidR="003F46DF">
        <w:rPr>
          <w:szCs w:val="20"/>
        </w:rPr>
        <w:t>e</w:t>
      </w:r>
      <w:r w:rsidR="00DE40B8">
        <w:rPr>
          <w:szCs w:val="20"/>
        </w:rPr>
        <w:t xml:space="preserve">y bars denote bear markets defined by Ellis [2005] as periods with a decline in the S&amp;P 500 of 12 per cent or </w:t>
      </w:r>
      <w:r w:rsidR="00DE40B8">
        <w:rPr>
          <w:szCs w:val="20"/>
        </w:rPr>
        <w:lastRenderedPageBreak/>
        <w:t>more. The left side of the bar corresponds to the market peaks and the right side to the stock market trough.</w:t>
      </w:r>
      <w:r w:rsidR="002214D1">
        <w:rPr>
          <w:rStyle w:val="FootnoteReference"/>
          <w:szCs w:val="20"/>
        </w:rPr>
        <w:footnoteReference w:id="2"/>
      </w:r>
      <w:r w:rsidR="002214D1">
        <w:rPr>
          <w:szCs w:val="20"/>
        </w:rPr>
        <w:t xml:space="preserve"> </w:t>
      </w:r>
      <w:r w:rsidR="00940964">
        <w:rPr>
          <w:szCs w:val="20"/>
        </w:rPr>
        <w:t>We see in Exhibit 5 that t</w:t>
      </w:r>
      <w:r w:rsidR="0032371E">
        <w:rPr>
          <w:lang w:val="en-US"/>
        </w:rPr>
        <w:t>he</w:t>
      </w:r>
      <w:r>
        <w:rPr>
          <w:lang w:val="en-US"/>
        </w:rPr>
        <w:t xml:space="preserve"> MC</w:t>
      </w:r>
      <w:r w:rsidR="0032371E">
        <w:rPr>
          <w:lang w:val="en-US"/>
        </w:rPr>
        <w:t xml:space="preserve"> portfolio, having a large allocation to the bond, outperforms the </w:t>
      </w:r>
      <w:r w:rsidR="003F46DF">
        <w:rPr>
          <w:szCs w:val="20"/>
        </w:rPr>
        <w:t>equal-weight</w:t>
      </w:r>
      <w:r>
        <w:rPr>
          <w:lang w:val="en-US"/>
        </w:rPr>
        <w:t xml:space="preserve"> and MCC </w:t>
      </w:r>
      <w:r w:rsidR="0032371E">
        <w:rPr>
          <w:lang w:val="en-US"/>
        </w:rPr>
        <w:t xml:space="preserve">portfolios at times of serious stock market downturn. </w:t>
      </w:r>
      <w:r w:rsidR="00826F5B">
        <w:rPr>
          <w:lang w:val="en-US"/>
        </w:rPr>
        <w:t>The performance of the</w:t>
      </w:r>
      <w:r>
        <w:rPr>
          <w:lang w:val="en-US"/>
        </w:rPr>
        <w:t xml:space="preserve"> MCC</w:t>
      </w:r>
      <w:r w:rsidR="00826F5B">
        <w:rPr>
          <w:lang w:val="en-US"/>
        </w:rPr>
        <w:t xml:space="preserve"> portfolio seems to be </w:t>
      </w:r>
      <w:r w:rsidR="005439E0">
        <w:rPr>
          <w:lang w:val="en-US"/>
        </w:rPr>
        <w:t xml:space="preserve">a middle ground between the performance of the </w:t>
      </w:r>
      <w:r w:rsidR="00CB7A23">
        <w:rPr>
          <w:lang w:val="en-US"/>
        </w:rPr>
        <w:t>equal-weight</w:t>
      </w:r>
      <w:r>
        <w:rPr>
          <w:lang w:val="en-US"/>
        </w:rPr>
        <w:t xml:space="preserve"> and </w:t>
      </w:r>
      <w:r w:rsidR="00CB7A23">
        <w:t>minimum CVaR</w:t>
      </w:r>
      <w:r>
        <w:rPr>
          <w:lang w:val="en-US"/>
        </w:rPr>
        <w:t xml:space="preserve"> </w:t>
      </w:r>
      <w:r w:rsidR="005439E0">
        <w:rPr>
          <w:lang w:val="en-US"/>
        </w:rPr>
        <w:t>portfolio</w:t>
      </w:r>
      <w:r>
        <w:rPr>
          <w:lang w:val="en-US"/>
        </w:rPr>
        <w:t>s</w:t>
      </w:r>
      <w:r w:rsidR="005439E0">
        <w:rPr>
          <w:lang w:val="en-US"/>
        </w:rPr>
        <w:t xml:space="preserve">. </w:t>
      </w:r>
      <w:r w:rsidR="00826F5B">
        <w:rPr>
          <w:lang w:val="en-US"/>
        </w:rPr>
        <w:t xml:space="preserve">It </w:t>
      </w:r>
      <w:r w:rsidR="00826F5B">
        <w:t>offers an attractive compromise between the good performance of the</w:t>
      </w:r>
      <w:r>
        <w:t xml:space="preserve"> </w:t>
      </w:r>
      <w:r w:rsidR="00CB7A23">
        <w:t>minimum CVaR</w:t>
      </w:r>
      <w:r w:rsidR="00826F5B">
        <w:t xml:space="preserve"> portfolio in downturn markets and the upward potential of the </w:t>
      </w:r>
      <w:r w:rsidR="003F46DF">
        <w:rPr>
          <w:szCs w:val="20"/>
        </w:rPr>
        <w:t>equal-weight</w:t>
      </w:r>
      <w:r w:rsidR="00826F5B">
        <w:t xml:space="preserve"> portfolio. </w:t>
      </w:r>
      <w:r w:rsidR="0032371E">
        <w:rPr>
          <w:lang w:val="en-US"/>
        </w:rPr>
        <w:t>A final observation is that periods where one strategy is outperforming the other are relatively long and indicate the possibility of applying market timing strategies on top of these allocations.</w:t>
      </w:r>
    </w:p>
    <w:p w:rsidR="00E72889" w:rsidRDefault="00841FF6" w:rsidP="007A00F9">
      <w:pPr>
        <w:spacing w:line="480" w:lineRule="auto"/>
        <w:ind w:firstLine="340"/>
        <w:rPr>
          <w:szCs w:val="20"/>
        </w:rPr>
      </w:pPr>
      <w:r>
        <w:rPr>
          <w:lang w:val="en-US"/>
        </w:rPr>
        <w:t xml:space="preserve">Recall from </w:t>
      </w:r>
      <w:r>
        <w:rPr>
          <w:szCs w:val="20"/>
        </w:rPr>
        <w:t>Exhibit 4 that t</w:t>
      </w:r>
      <w:r w:rsidR="00795570">
        <w:rPr>
          <w:lang w:val="en-US"/>
        </w:rPr>
        <w:t xml:space="preserve">he risk of the </w:t>
      </w:r>
      <w:r w:rsidR="00CB7A23">
        <w:t>minimum CVaR</w:t>
      </w:r>
      <w:r w:rsidR="003251D6">
        <w:rPr>
          <w:lang w:val="en-US"/>
        </w:rPr>
        <w:t xml:space="preserve"> </w:t>
      </w:r>
      <w:r w:rsidR="00795570">
        <w:rPr>
          <w:lang w:val="en-US"/>
        </w:rPr>
        <w:t xml:space="preserve">portfolio is concentrated on the bond risk. An upper bound on portfolio weights or CVaR contributions reduces this risk concentration. </w:t>
      </w:r>
      <w:r w:rsidR="00142461">
        <w:rPr>
          <w:lang w:val="en-US"/>
        </w:rPr>
        <w:t xml:space="preserve">The upper two plots in </w:t>
      </w:r>
      <w:r w:rsidR="00866B6A">
        <w:rPr>
          <w:lang w:val="en-US"/>
        </w:rPr>
        <w:t xml:space="preserve">Exhibit </w:t>
      </w:r>
      <w:r w:rsidR="003251D6">
        <w:rPr>
          <w:lang w:val="en-US"/>
        </w:rPr>
        <w:t>7</w:t>
      </w:r>
      <w:r w:rsidR="0032371E">
        <w:rPr>
          <w:lang w:val="en-US"/>
        </w:rPr>
        <w:t xml:space="preserve"> </w:t>
      </w:r>
      <w:r w:rsidR="00866B6A">
        <w:rPr>
          <w:lang w:val="en-US"/>
        </w:rPr>
        <w:t xml:space="preserve">present the weight allocations of the </w:t>
      </w:r>
      <w:r w:rsidR="00CB7A23">
        <w:t>minimum CVaR</w:t>
      </w:r>
      <w:r w:rsidR="00866B6A">
        <w:rPr>
          <w:lang w:val="en-US"/>
        </w:rPr>
        <w:t xml:space="preserve"> portfolios, constrained by either an upper 40% position limit</w:t>
      </w:r>
      <w:r w:rsidR="0032371E">
        <w:rPr>
          <w:lang w:val="en-US"/>
        </w:rPr>
        <w:t xml:space="preserve"> or</w:t>
      </w:r>
      <w:r w:rsidR="00866B6A">
        <w:rPr>
          <w:lang w:val="en-US"/>
        </w:rPr>
        <w:t xml:space="preserve"> an upper 40% CVaR allocation limit</w:t>
      </w:r>
      <w:r w:rsidR="0032371E">
        <w:rPr>
          <w:lang w:val="en-US"/>
        </w:rPr>
        <w:t xml:space="preserve">. </w:t>
      </w:r>
      <w:r w:rsidR="00BC7CA9">
        <w:t xml:space="preserve">The choice of 40% </w:t>
      </w:r>
      <w:r w:rsidR="0034667A">
        <w:t>is</w:t>
      </w:r>
      <w:r w:rsidR="00BC7CA9">
        <w:t xml:space="preserve"> arbitrary, but is consistent with a </w:t>
      </w:r>
      <w:r w:rsidR="0034667A">
        <w:t xml:space="preserve">stylistic </w:t>
      </w:r>
      <w:r w:rsidR="00BC7CA9">
        <w:t xml:space="preserve">maximum 60/40 allocation between equity and commodities on the one hand and bonds on the other hand. We see in Exhibit </w:t>
      </w:r>
      <w:r w:rsidR="003251D6">
        <w:t>7</w:t>
      </w:r>
      <w:r w:rsidR="0032371E">
        <w:t xml:space="preserve"> </w:t>
      </w:r>
      <w:r w:rsidR="00BC7CA9">
        <w:t>that t</w:t>
      </w:r>
      <w:r w:rsidR="005439E0">
        <w:rPr>
          <w:szCs w:val="20"/>
        </w:rPr>
        <w:t xml:space="preserve">he 40% upper bound on the portfolio weights </w:t>
      </w:r>
      <w:r w:rsidR="00BC7CA9">
        <w:rPr>
          <w:szCs w:val="20"/>
        </w:rPr>
        <w:t xml:space="preserve">and risk allocations </w:t>
      </w:r>
      <w:r w:rsidR="005439E0">
        <w:rPr>
          <w:szCs w:val="20"/>
        </w:rPr>
        <w:t xml:space="preserve">is </w:t>
      </w:r>
      <w:r w:rsidR="00BC7CA9">
        <w:rPr>
          <w:szCs w:val="20"/>
        </w:rPr>
        <w:t xml:space="preserve">stringent </w:t>
      </w:r>
      <w:r w:rsidR="005439E0">
        <w:rPr>
          <w:szCs w:val="20"/>
        </w:rPr>
        <w:t xml:space="preserve">for almost all </w:t>
      </w:r>
      <w:r w:rsidR="00BC7CA9">
        <w:rPr>
          <w:szCs w:val="20"/>
        </w:rPr>
        <w:t xml:space="preserve">periods. Under these constraints, the </w:t>
      </w:r>
      <w:r w:rsidR="0034667A">
        <w:rPr>
          <w:szCs w:val="20"/>
        </w:rPr>
        <w:t xml:space="preserve">component </w:t>
      </w:r>
      <w:r w:rsidR="00BC7CA9">
        <w:rPr>
          <w:szCs w:val="20"/>
        </w:rPr>
        <w:t xml:space="preserve">CVaR </w:t>
      </w:r>
      <w:r w:rsidR="0034667A">
        <w:rPr>
          <w:szCs w:val="20"/>
        </w:rPr>
        <w:t xml:space="preserve">contribution </w:t>
      </w:r>
      <w:r w:rsidR="00C75AD6">
        <w:rPr>
          <w:szCs w:val="20"/>
        </w:rPr>
        <w:t xml:space="preserve">of the </w:t>
      </w:r>
      <w:r w:rsidR="00CB7A23">
        <w:t>minimum CVaR</w:t>
      </w:r>
      <w:r w:rsidR="00C75AD6">
        <w:rPr>
          <w:szCs w:val="20"/>
        </w:rPr>
        <w:t xml:space="preserve"> portfolio </w:t>
      </w:r>
      <w:r w:rsidR="00BC7CA9">
        <w:rPr>
          <w:szCs w:val="20"/>
        </w:rPr>
        <w:t xml:space="preserve">no longer coincides with the weight allocation. The investment in the bond typically contributes less to CVaR risk than its portfolio weight. </w:t>
      </w:r>
      <w:r w:rsidR="00795570">
        <w:rPr>
          <w:szCs w:val="20"/>
        </w:rPr>
        <w:t xml:space="preserve">Its contribution is for some months even negative under the position limit. </w:t>
      </w:r>
    </w:p>
    <w:p w:rsidR="00795570" w:rsidRDefault="00E72889" w:rsidP="007A00F9">
      <w:pPr>
        <w:spacing w:line="480" w:lineRule="auto"/>
        <w:ind w:firstLine="340"/>
        <w:rPr>
          <w:szCs w:val="20"/>
        </w:rPr>
      </w:pPr>
      <w:r>
        <w:rPr>
          <w:szCs w:val="20"/>
        </w:rPr>
        <w:t xml:space="preserve">The </w:t>
      </w:r>
      <w:r w:rsidR="003251D6">
        <w:rPr>
          <w:szCs w:val="20"/>
        </w:rPr>
        <w:t xml:space="preserve">MCC </w:t>
      </w:r>
      <w:r>
        <w:rPr>
          <w:szCs w:val="20"/>
        </w:rPr>
        <w:t xml:space="preserve">portfolio has an ideal ex ante risk diversification, namely the portfolio allocation such that all assets contribute </w:t>
      </w:r>
      <w:r w:rsidR="003251D6">
        <w:rPr>
          <w:szCs w:val="20"/>
        </w:rPr>
        <w:t xml:space="preserve">almost </w:t>
      </w:r>
      <w:r>
        <w:rPr>
          <w:szCs w:val="20"/>
        </w:rPr>
        <w:t xml:space="preserve">equally to portfolio CVaR. In some cases, the investor might be interested to have the most diversified portfolio subject to a number of weight constraints. The last figure in Exhibit </w:t>
      </w:r>
      <w:r w:rsidR="00FA4FD8">
        <w:rPr>
          <w:szCs w:val="20"/>
        </w:rPr>
        <w:t>7</w:t>
      </w:r>
      <w:r>
        <w:rPr>
          <w:szCs w:val="20"/>
        </w:rPr>
        <w:t xml:space="preserve"> gives the weight and risk allocation of the </w:t>
      </w:r>
      <w:r w:rsidR="003251D6">
        <w:rPr>
          <w:szCs w:val="20"/>
        </w:rPr>
        <w:t xml:space="preserve">MCC </w:t>
      </w:r>
      <w:r>
        <w:rPr>
          <w:szCs w:val="20"/>
        </w:rPr>
        <w:t>portfolio under a 40% upper bound on the portfolio weights.  W</w:t>
      </w:r>
      <w:r w:rsidR="00795570">
        <w:rPr>
          <w:szCs w:val="20"/>
        </w:rPr>
        <w:t xml:space="preserve">e see that also under the constraint, the risk of the </w:t>
      </w:r>
      <w:r w:rsidR="003251D6">
        <w:rPr>
          <w:szCs w:val="20"/>
        </w:rPr>
        <w:t xml:space="preserve">MCC </w:t>
      </w:r>
      <w:r w:rsidR="00795570">
        <w:rPr>
          <w:szCs w:val="20"/>
        </w:rPr>
        <w:t xml:space="preserve">portfolio is more equally spread out than for the </w:t>
      </w:r>
      <w:r w:rsidR="003251D6">
        <w:rPr>
          <w:szCs w:val="20"/>
        </w:rPr>
        <w:t>MC</w:t>
      </w:r>
      <w:r w:rsidR="00795570">
        <w:rPr>
          <w:szCs w:val="20"/>
        </w:rPr>
        <w:t xml:space="preserve"> portfolio where for some periods the S&amp;P 500 and EAFE investments cause more than half of portfolio risk. </w:t>
      </w:r>
    </w:p>
    <w:p w:rsidR="003251D6" w:rsidRDefault="003251D6" w:rsidP="007A00F9">
      <w:pPr>
        <w:spacing w:line="480" w:lineRule="auto"/>
        <w:ind w:firstLine="340"/>
        <w:rPr>
          <w:szCs w:val="20"/>
        </w:rPr>
      </w:pPr>
      <w:r>
        <w:rPr>
          <w:szCs w:val="20"/>
        </w:rPr>
        <w:t xml:space="preserve">The lower panel of Exhibit 5 shows the ex ante CVaR of these constrained portfolios. Under the 40% position limit, the CVaR of the </w:t>
      </w:r>
      <w:r w:rsidR="00CB7A23">
        <w:t>minimum CVaR</w:t>
      </w:r>
      <w:r>
        <w:rPr>
          <w:szCs w:val="20"/>
        </w:rPr>
        <w:t xml:space="preserve"> and MCC portfolios is close to the CVaR of the </w:t>
      </w:r>
      <w:r w:rsidR="003F46DF">
        <w:rPr>
          <w:szCs w:val="20"/>
        </w:rPr>
        <w:t xml:space="preserve">equal-weight </w:t>
      </w:r>
      <w:r>
        <w:rPr>
          <w:szCs w:val="20"/>
        </w:rPr>
        <w:t xml:space="preserve">portfolio. The upper 40% risk contribution constraint has less effect on the CVaR of the </w:t>
      </w:r>
      <w:r w:rsidR="00CB7A23">
        <w:t>minimum CVaR</w:t>
      </w:r>
      <w:r>
        <w:rPr>
          <w:szCs w:val="20"/>
        </w:rPr>
        <w:t xml:space="preserve"> portfolio. It is still relatively low for all quarters.</w:t>
      </w:r>
    </w:p>
    <w:p w:rsidR="007A00F9" w:rsidRDefault="00FF12F8" w:rsidP="007A00F9">
      <w:pPr>
        <w:spacing w:line="480" w:lineRule="auto"/>
        <w:ind w:firstLine="340"/>
        <w:rPr>
          <w:lang w:val="en-US"/>
        </w:rPr>
      </w:pPr>
      <w:r>
        <w:rPr>
          <w:szCs w:val="20"/>
        </w:rPr>
        <w:lastRenderedPageBreak/>
        <w:t xml:space="preserve">The </w:t>
      </w:r>
      <w:r w:rsidR="00510981">
        <w:rPr>
          <w:szCs w:val="20"/>
        </w:rPr>
        <w:t>grey</w:t>
      </w:r>
      <w:r>
        <w:rPr>
          <w:szCs w:val="20"/>
        </w:rPr>
        <w:t xml:space="preserve"> lines in Exhibit </w:t>
      </w:r>
      <w:r w:rsidR="003251D6">
        <w:rPr>
          <w:szCs w:val="20"/>
        </w:rPr>
        <w:t>6</w:t>
      </w:r>
      <w:r>
        <w:rPr>
          <w:szCs w:val="20"/>
        </w:rPr>
        <w:t xml:space="preserve"> plot the relative performance of these constrained </w:t>
      </w:r>
      <w:r w:rsidR="00CB7A23">
        <w:t>minimum CVaR</w:t>
      </w:r>
      <w:r w:rsidR="003251D6">
        <w:rPr>
          <w:szCs w:val="20"/>
        </w:rPr>
        <w:t xml:space="preserve"> and MCC </w:t>
      </w:r>
      <w:r>
        <w:rPr>
          <w:szCs w:val="20"/>
        </w:rPr>
        <w:t xml:space="preserve">portfolios with respect to the </w:t>
      </w:r>
      <w:r w:rsidR="003F46DF">
        <w:rPr>
          <w:szCs w:val="20"/>
        </w:rPr>
        <w:t>equal-weight</w:t>
      </w:r>
      <w:r>
        <w:rPr>
          <w:szCs w:val="20"/>
        </w:rPr>
        <w:t xml:space="preserve"> portfolio. The constrained portfolios having an allocation that is closer to the equal-weight portfolio, it is no surprise that their relative performance deviates less from the unit line than the unconstrained portfolios. </w:t>
      </w:r>
      <w:r>
        <w:rPr>
          <w:lang w:val="en-US"/>
        </w:rPr>
        <w:t>N</w:t>
      </w:r>
      <w:r w:rsidR="007A00F9">
        <w:rPr>
          <w:lang w:val="en-US"/>
        </w:rPr>
        <w:t xml:space="preserve">ote that </w:t>
      </w:r>
      <w:r w:rsidR="007A00F9">
        <w:rPr>
          <w:szCs w:val="20"/>
        </w:rPr>
        <w:t xml:space="preserve">especially the position limit constraint yields a very different return stream with higher returns in upward market </w:t>
      </w:r>
      <w:r>
        <w:rPr>
          <w:szCs w:val="20"/>
        </w:rPr>
        <w:t xml:space="preserve">(by limiting the bond exposure) </w:t>
      </w:r>
      <w:r w:rsidR="007A00F9">
        <w:rPr>
          <w:szCs w:val="20"/>
        </w:rPr>
        <w:t>and larger down movements in periods of market crisis.</w:t>
      </w:r>
    </w:p>
    <w:p w:rsidR="008D2EAB" w:rsidRDefault="007A00F9" w:rsidP="007A00F9">
      <w:pPr>
        <w:spacing w:line="480" w:lineRule="auto"/>
        <w:ind w:firstLine="284"/>
        <w:rPr>
          <w:lang w:val="en-US"/>
        </w:rPr>
      </w:pPr>
      <w:r>
        <w:rPr>
          <w:lang w:val="en-US"/>
        </w:rPr>
        <w:t xml:space="preserve">A synthesis of the portfolio performance of the eight investment styles is given in Exhibit </w:t>
      </w:r>
      <w:r w:rsidR="003251D6">
        <w:rPr>
          <w:lang w:val="en-US"/>
        </w:rPr>
        <w:t>8</w:t>
      </w:r>
      <w:r>
        <w:rPr>
          <w:lang w:val="en-US"/>
        </w:rPr>
        <w:t>. This table reports the summary statistics of the monthly out-of-sample returns over the period January 1984-</w:t>
      </w:r>
      <w:r w:rsidR="00A12C3D">
        <w:rPr>
          <w:lang w:val="en-US"/>
        </w:rPr>
        <w:t>June 2010</w:t>
      </w:r>
      <w:r>
        <w:rPr>
          <w:lang w:val="en-US"/>
        </w:rPr>
        <w:t xml:space="preserve">. </w:t>
      </w:r>
      <w:r w:rsidR="00B855EB">
        <w:rPr>
          <w:lang w:val="en-US"/>
        </w:rPr>
        <w:t xml:space="preserve">Consider first the average return/risk statistics. </w:t>
      </w:r>
      <w:r w:rsidR="00970421">
        <w:rPr>
          <w:lang w:val="en-US"/>
        </w:rPr>
        <w:t>The historical CVaR is the average out-of-sample portfolio return when the return is below its 5% empirical quantile.</w:t>
      </w:r>
      <w:r w:rsidR="00BC335A">
        <w:rPr>
          <w:lang w:val="en-US"/>
        </w:rPr>
        <w:t xml:space="preserve"> When computed over the whole period, we see that the </w:t>
      </w:r>
      <w:r w:rsidR="002214D1">
        <w:rPr>
          <w:lang w:val="en-US"/>
        </w:rPr>
        <w:t xml:space="preserve">annualized </w:t>
      </w:r>
      <w:r w:rsidR="00BC335A">
        <w:rPr>
          <w:lang w:val="en-US"/>
        </w:rPr>
        <w:t xml:space="preserve">average return on all portfolios is similar. It is the lowest for the </w:t>
      </w:r>
      <w:r w:rsidR="003F46DF">
        <w:rPr>
          <w:szCs w:val="20"/>
        </w:rPr>
        <w:t>equal-weight</w:t>
      </w:r>
      <w:r w:rsidR="00BC335A">
        <w:rPr>
          <w:lang w:val="en-US"/>
        </w:rPr>
        <w:t xml:space="preserve"> portfolio (7.32% annualized mean) and the highest for the </w:t>
      </w:r>
      <w:r w:rsidR="003251D6">
        <w:rPr>
          <w:lang w:val="en-US"/>
        </w:rPr>
        <w:t xml:space="preserve">MCC </w:t>
      </w:r>
      <w:r w:rsidR="00BC335A">
        <w:rPr>
          <w:lang w:val="en-US"/>
        </w:rPr>
        <w:t xml:space="preserve">portfolio </w:t>
      </w:r>
      <w:r w:rsidR="00B13929">
        <w:rPr>
          <w:lang w:val="en-US"/>
        </w:rPr>
        <w:t xml:space="preserve">(8.23%). </w:t>
      </w:r>
      <w:r w:rsidR="008D2EAB">
        <w:rPr>
          <w:lang w:val="en-US"/>
        </w:rPr>
        <w:t>When we split up the sample in the bear market subsample and all other months</w:t>
      </w:r>
      <w:r w:rsidR="00FD432B">
        <w:rPr>
          <w:lang w:val="en-US"/>
        </w:rPr>
        <w:t>, we find a much bigger difference in the return of the portfolios. All position weight constrain</w:t>
      </w:r>
      <w:r w:rsidR="002214D1">
        <w:rPr>
          <w:lang w:val="en-US"/>
        </w:rPr>
        <w:t>ed</w:t>
      </w:r>
      <w:r w:rsidR="00FD432B">
        <w:rPr>
          <w:lang w:val="en-US"/>
        </w:rPr>
        <w:t xml:space="preserve"> portfolios, have large negative returns: -17% for the position limit constrained </w:t>
      </w:r>
      <w:r w:rsidR="003F46DF">
        <w:t>minimum CVaR</w:t>
      </w:r>
      <w:r w:rsidR="003251D6">
        <w:rPr>
          <w:lang w:val="en-US"/>
        </w:rPr>
        <w:t xml:space="preserve"> and MCC </w:t>
      </w:r>
      <w:r w:rsidR="00FD432B">
        <w:rPr>
          <w:lang w:val="en-US"/>
        </w:rPr>
        <w:t>portfolio</w:t>
      </w:r>
      <w:r w:rsidR="003251D6">
        <w:rPr>
          <w:lang w:val="en-US"/>
        </w:rPr>
        <w:t>s</w:t>
      </w:r>
      <w:r w:rsidR="00FD432B">
        <w:rPr>
          <w:lang w:val="en-US"/>
        </w:rPr>
        <w:t xml:space="preserve"> and -24% for the </w:t>
      </w:r>
      <w:r w:rsidR="003251D6">
        <w:rPr>
          <w:lang w:val="en-US"/>
        </w:rPr>
        <w:t>EW</w:t>
      </w:r>
      <w:r w:rsidR="00FD432B">
        <w:rPr>
          <w:lang w:val="en-US"/>
        </w:rPr>
        <w:t xml:space="preserve"> portfolio. In bear markets, the </w:t>
      </w:r>
      <w:r w:rsidR="003F46DF">
        <w:t>minimum CVaR</w:t>
      </w:r>
      <w:r w:rsidR="003251D6">
        <w:rPr>
          <w:lang w:val="en-US"/>
        </w:rPr>
        <w:t xml:space="preserve"> </w:t>
      </w:r>
      <w:r w:rsidR="00FD432B">
        <w:rPr>
          <w:lang w:val="en-US"/>
        </w:rPr>
        <w:t xml:space="preserve">portfolio has a positive return of 6.31%. The return on the </w:t>
      </w:r>
      <w:r w:rsidR="003251D6">
        <w:rPr>
          <w:lang w:val="en-US"/>
        </w:rPr>
        <w:t xml:space="preserve">MCC </w:t>
      </w:r>
      <w:r w:rsidR="00FD432B">
        <w:rPr>
          <w:lang w:val="en-US"/>
        </w:rPr>
        <w:t>portfolio is -3.79%</w:t>
      </w:r>
      <w:r w:rsidR="005846BF">
        <w:rPr>
          <w:lang w:val="en-US"/>
        </w:rPr>
        <w:t xml:space="preserve"> in bear markets and 10.52% at normal/bull market times</w:t>
      </w:r>
      <w:r w:rsidR="00FD432B">
        <w:rPr>
          <w:lang w:val="en-US"/>
        </w:rPr>
        <w:t>.</w:t>
      </w:r>
      <w:r w:rsidR="005846BF">
        <w:rPr>
          <w:lang w:val="en-US"/>
        </w:rPr>
        <w:t xml:space="preserve"> This confirms our previous observation that the</w:t>
      </w:r>
      <w:r w:rsidR="003251D6">
        <w:rPr>
          <w:lang w:val="en-US"/>
        </w:rPr>
        <w:t xml:space="preserve"> MCC</w:t>
      </w:r>
      <w:r w:rsidR="005846BF">
        <w:rPr>
          <w:lang w:val="en-US"/>
        </w:rPr>
        <w:t xml:space="preserve"> portfolio can be seen as a </w:t>
      </w:r>
      <w:r w:rsidR="001E5C8B">
        <w:rPr>
          <w:lang w:val="en-US"/>
        </w:rPr>
        <w:t>compromise</w:t>
      </w:r>
      <w:r w:rsidR="005846BF">
        <w:rPr>
          <w:lang w:val="en-US"/>
        </w:rPr>
        <w:t xml:space="preserve"> between t</w:t>
      </w:r>
      <w:r w:rsidR="005846BF">
        <w:t xml:space="preserve">he good performance of the </w:t>
      </w:r>
      <w:r w:rsidR="003251D6">
        <w:t>MC</w:t>
      </w:r>
      <w:r w:rsidR="005846BF">
        <w:t xml:space="preserve"> portfolio in downturn markets and the upward potential of the </w:t>
      </w:r>
      <w:r w:rsidR="003F46DF">
        <w:rPr>
          <w:szCs w:val="20"/>
        </w:rPr>
        <w:t>equal-weight</w:t>
      </w:r>
      <w:r w:rsidR="005846BF">
        <w:t xml:space="preserve"> portfolio.</w:t>
      </w:r>
    </w:p>
    <w:p w:rsidR="00B855EB" w:rsidRDefault="00B13929" w:rsidP="008373F1">
      <w:pPr>
        <w:spacing w:line="480" w:lineRule="auto"/>
        <w:ind w:firstLine="340"/>
        <w:rPr>
          <w:lang w:val="en-US"/>
        </w:rPr>
      </w:pPr>
      <w:r>
        <w:rPr>
          <w:lang w:val="en-US"/>
        </w:rPr>
        <w:t xml:space="preserve">The standard deviation and CVaR are the lowest for the </w:t>
      </w:r>
      <w:r w:rsidR="003F46DF">
        <w:t>minimum CVaR</w:t>
      </w:r>
      <w:r>
        <w:rPr>
          <w:lang w:val="en-US"/>
        </w:rPr>
        <w:t xml:space="preserve"> portfolio (resp. 1.31% and 2.34%) and the second lowest for the </w:t>
      </w:r>
      <w:r w:rsidR="003251D6">
        <w:rPr>
          <w:lang w:val="en-US"/>
        </w:rPr>
        <w:t xml:space="preserve">MCC </w:t>
      </w:r>
      <w:r>
        <w:rPr>
          <w:lang w:val="en-US"/>
        </w:rPr>
        <w:t>portfolio (1.67% and 3.35%). Imposing</w:t>
      </w:r>
      <w:r w:rsidR="008D2EAB">
        <w:rPr>
          <w:lang w:val="en-US"/>
        </w:rPr>
        <w:t xml:space="preserve"> a weight constraint increases significantly the risk of the portfolio. The standard deviation and CVaR of the </w:t>
      </w:r>
      <w:r w:rsidR="003F46DF">
        <w:rPr>
          <w:szCs w:val="20"/>
        </w:rPr>
        <w:t>equal-weight</w:t>
      </w:r>
      <w:r w:rsidR="008D2EAB">
        <w:rPr>
          <w:lang w:val="en-US"/>
        </w:rPr>
        <w:t xml:space="preserve"> portfolio is</w:t>
      </w:r>
      <w:r w:rsidR="005A56CD">
        <w:rPr>
          <w:lang w:val="en-US"/>
        </w:rPr>
        <w:t xml:space="preserve"> 3.01% a</w:t>
      </w:r>
      <w:r w:rsidR="003251D6">
        <w:rPr>
          <w:lang w:val="en-US"/>
        </w:rPr>
        <w:t>n</w:t>
      </w:r>
      <w:r w:rsidR="005A56CD">
        <w:rPr>
          <w:lang w:val="en-US"/>
        </w:rPr>
        <w:t xml:space="preserve">d 7.42%, respectively. </w:t>
      </w:r>
      <w:r w:rsidR="008D2EAB">
        <w:rPr>
          <w:lang w:val="en-US"/>
        </w:rPr>
        <w:t xml:space="preserve"> </w:t>
      </w:r>
      <w:r>
        <w:rPr>
          <w:lang w:val="en-US"/>
        </w:rPr>
        <w:t xml:space="preserve"> </w:t>
      </w:r>
      <w:r w:rsidR="008373F1">
        <w:rPr>
          <w:lang w:val="en-US"/>
        </w:rPr>
        <w:t xml:space="preserve">The </w:t>
      </w:r>
      <w:r w:rsidR="003F46DF">
        <w:rPr>
          <w:szCs w:val="20"/>
        </w:rPr>
        <w:t>equal-weight</w:t>
      </w:r>
      <w:r w:rsidR="008373F1">
        <w:rPr>
          <w:lang w:val="en-US"/>
        </w:rPr>
        <w:t xml:space="preserve"> portfolio has extremely high drawdowns. Over the sample it has 4 drawdowns higher than 10%, while the </w:t>
      </w:r>
      <w:r w:rsidR="003F46DF">
        <w:t>minimum CVaR</w:t>
      </w:r>
      <w:r w:rsidR="003251D6">
        <w:rPr>
          <w:lang w:val="en-US"/>
        </w:rPr>
        <w:t xml:space="preserve"> and MCC </w:t>
      </w:r>
      <w:r w:rsidR="008373F1">
        <w:rPr>
          <w:lang w:val="en-US"/>
        </w:rPr>
        <w:t xml:space="preserve">only have one. In the credit crisis the </w:t>
      </w:r>
      <w:r w:rsidR="003F46DF">
        <w:rPr>
          <w:szCs w:val="20"/>
        </w:rPr>
        <w:t>equal-weight</w:t>
      </w:r>
      <w:r w:rsidR="008373F1">
        <w:rPr>
          <w:lang w:val="en-US"/>
        </w:rPr>
        <w:t xml:space="preserve"> portfolio suffered a drawdown of 48%, which is triple the drawdown of the </w:t>
      </w:r>
      <w:r w:rsidR="003251D6">
        <w:rPr>
          <w:lang w:val="en-US"/>
        </w:rPr>
        <w:t xml:space="preserve">MCC </w:t>
      </w:r>
      <w:r w:rsidR="008373F1">
        <w:rPr>
          <w:lang w:val="en-US"/>
        </w:rPr>
        <w:t xml:space="preserve">portfolio. If we impose an upper 40% position limit on the </w:t>
      </w:r>
      <w:r w:rsidR="003251D6">
        <w:rPr>
          <w:lang w:val="en-US"/>
        </w:rPr>
        <w:t xml:space="preserve">MC </w:t>
      </w:r>
      <w:r w:rsidR="008373F1">
        <w:rPr>
          <w:lang w:val="en-US"/>
        </w:rPr>
        <w:t xml:space="preserve">portfolios, the CVaR increases from 2.34% to 6.15% and its maximum drawdown from 9% to 48%, thus imposing weight constraints significantly deteriorates overall risk/return profile of the portfolio. </w:t>
      </w:r>
    </w:p>
    <w:p w:rsidR="007A00F9" w:rsidRDefault="005A56CD" w:rsidP="005A56CD">
      <w:pPr>
        <w:spacing w:line="480" w:lineRule="auto"/>
        <w:ind w:firstLine="284"/>
        <w:rPr>
          <w:lang w:val="en-US"/>
        </w:rPr>
      </w:pPr>
      <w:r>
        <w:rPr>
          <w:lang w:val="en-US"/>
        </w:rPr>
        <w:t xml:space="preserve">In Exhibit </w:t>
      </w:r>
      <w:r w:rsidR="003251D6">
        <w:rPr>
          <w:lang w:val="en-US"/>
        </w:rPr>
        <w:t>8</w:t>
      </w:r>
      <w:r>
        <w:rPr>
          <w:lang w:val="en-US"/>
        </w:rPr>
        <w:t xml:space="preserve"> we also report </w:t>
      </w:r>
      <w:r w:rsidR="005A4A89">
        <w:rPr>
          <w:lang w:val="en-US"/>
        </w:rPr>
        <w:t>a</w:t>
      </w:r>
      <w:r w:rsidR="00510981">
        <w:rPr>
          <w:lang w:val="en-US"/>
        </w:rPr>
        <w:t xml:space="preserve"> </w:t>
      </w:r>
      <w:r w:rsidR="005A4A89">
        <w:rPr>
          <w:lang w:val="en-US"/>
        </w:rPr>
        <w:t xml:space="preserve">Herfindahl </w:t>
      </w:r>
      <w:r>
        <w:rPr>
          <w:lang w:val="en-US"/>
        </w:rPr>
        <w:t>statistic</w:t>
      </w:r>
      <w:r w:rsidR="005A4A89">
        <w:rPr>
          <w:lang w:val="en-US"/>
        </w:rPr>
        <w:t xml:space="preserve"> </w:t>
      </w:r>
      <w:r>
        <w:rPr>
          <w:lang w:val="en-US"/>
        </w:rPr>
        <w:t xml:space="preserve">measuring </w:t>
      </w:r>
      <w:r w:rsidR="005A4A89">
        <w:rPr>
          <w:lang w:val="en-US"/>
        </w:rPr>
        <w:t xml:space="preserve">the out-of-sample concentration. It </w:t>
      </w:r>
      <w:r w:rsidR="005552F9">
        <w:rPr>
          <w:lang w:val="en-US"/>
        </w:rPr>
        <w:t xml:space="preserve">is </w:t>
      </w:r>
      <w:r w:rsidR="005A4A89">
        <w:rPr>
          <w:lang w:val="en-US"/>
        </w:rPr>
        <w:t xml:space="preserve">defined </w:t>
      </w:r>
      <w:r>
        <w:rPr>
          <w:lang w:val="en-US"/>
        </w:rPr>
        <w:t>as</w:t>
      </w:r>
      <w:r w:rsidR="005552F9">
        <w:rPr>
          <w:lang w:val="en-US"/>
        </w:rPr>
        <w:t xml:space="preserve"> follows. For each month </w:t>
      </w:r>
      <w:r>
        <w:rPr>
          <w:lang w:val="en-US"/>
        </w:rPr>
        <w:t xml:space="preserve">in which the portfolio </w:t>
      </w:r>
      <w:r w:rsidR="007A00F9">
        <w:rPr>
          <w:lang w:val="en-US"/>
        </w:rPr>
        <w:t>return is below its 5% empirical quantile</w:t>
      </w:r>
      <w:r>
        <w:rPr>
          <w:lang w:val="en-US"/>
        </w:rPr>
        <w:t xml:space="preserve">, </w:t>
      </w:r>
      <w:r w:rsidR="007A00F9">
        <w:rPr>
          <w:lang w:val="en-US"/>
        </w:rPr>
        <w:t xml:space="preserve">we compute the return </w:t>
      </w:r>
      <w:r w:rsidR="007A00F9">
        <w:rPr>
          <w:lang w:val="en-US"/>
        </w:rPr>
        <w:lastRenderedPageBreak/>
        <w:t xml:space="preserve">contributions of each component. </w:t>
      </w:r>
      <w:r>
        <w:rPr>
          <w:lang w:val="en-US"/>
        </w:rPr>
        <w:t xml:space="preserve">The </w:t>
      </w:r>
      <w:r w:rsidR="005A4A89">
        <w:rPr>
          <w:lang w:val="en-US"/>
        </w:rPr>
        <w:t xml:space="preserve">average squared value of these return contributions yields the </w:t>
      </w:r>
      <w:r>
        <w:rPr>
          <w:lang w:val="en-US"/>
        </w:rPr>
        <w:t xml:space="preserve">Herfindahl Index (HI), </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81"/>
        <w:gridCol w:w="599"/>
      </w:tblGrid>
      <w:tr w:rsidR="007A00F9" w:rsidTr="009C49CC">
        <w:trPr>
          <w:trHeight w:val="583"/>
        </w:trPr>
        <w:tc>
          <w:tcPr>
            <w:tcW w:w="8681" w:type="dxa"/>
            <w:tcBorders>
              <w:top w:val="nil"/>
              <w:left w:val="nil"/>
              <w:bottom w:val="nil"/>
              <w:right w:val="nil"/>
            </w:tcBorders>
          </w:tcPr>
          <w:p w:rsidR="007A00F9" w:rsidRDefault="007A00F9" w:rsidP="009A512B">
            <w:pPr>
              <w:jc w:val="center"/>
              <w:rPr>
                <w:lang w:val="en-US"/>
              </w:rPr>
            </w:pPr>
            <w:r>
              <w:rPr>
                <w:lang w:val="en-US"/>
              </w:rPr>
              <w:t xml:space="preserve">HI of Hist. </w:t>
            </w:r>
            <w:r w:rsidR="00AB17A4" w:rsidRPr="00B7562A">
              <w:rPr>
                <w:position w:val="-14"/>
              </w:rPr>
              <w:object w:dxaOrig="1060" w:dyaOrig="400">
                <v:shape id="_x0000_i1090" type="#_x0000_t75" style="width:52.9pt;height:19.75pt" o:ole="">
                  <v:imagedata r:id="rId136" o:title=""/>
                </v:shape>
                <o:OLEObject Type="Embed" ProgID="Equation.3" ShapeID="_x0000_i1090" DrawAspect="Content" ObjectID="_1343658029" r:id="rId137"/>
              </w:object>
            </w:r>
            <w:r>
              <w:rPr>
                <w:lang w:val="en-US"/>
              </w:rPr>
              <w:t xml:space="preserve">=  </w:t>
            </w:r>
            <w:r w:rsidR="0058022B" w:rsidRPr="00A41643">
              <w:rPr>
                <w:position w:val="-60"/>
                <w:lang w:val="en-US"/>
              </w:rPr>
              <w:object w:dxaOrig="2760" w:dyaOrig="1320">
                <v:shape id="_x0000_i1091" type="#_x0000_t75" style="width:138.25pt;height:66.25pt" o:ole="">
                  <v:imagedata r:id="rId138" o:title=""/>
                </v:shape>
                <o:OLEObject Type="Embed" ProgID="Equation.3" ShapeID="_x0000_i1091" DrawAspect="Content" ObjectID="_1343658030" r:id="rId139"/>
              </w:object>
            </w:r>
          </w:p>
        </w:tc>
        <w:tc>
          <w:tcPr>
            <w:tcW w:w="599" w:type="dxa"/>
            <w:tcBorders>
              <w:top w:val="nil"/>
              <w:left w:val="nil"/>
              <w:bottom w:val="nil"/>
              <w:right w:val="nil"/>
            </w:tcBorders>
            <w:vAlign w:val="center"/>
          </w:tcPr>
          <w:p w:rsidR="007A00F9" w:rsidRDefault="007A00F9" w:rsidP="005702D3">
            <w:pPr>
              <w:spacing w:line="480" w:lineRule="auto"/>
              <w:jc w:val="center"/>
              <w:rPr>
                <w:lang w:val="en-US"/>
              </w:rPr>
            </w:pPr>
            <w:r>
              <w:rPr>
                <w:lang w:val="en-US"/>
              </w:rPr>
              <w:t>(</w:t>
            </w:r>
            <w:r w:rsidR="005702D3">
              <w:rPr>
                <w:lang w:val="en-US"/>
              </w:rPr>
              <w:t>21</w:t>
            </w:r>
            <w:r>
              <w:rPr>
                <w:lang w:val="en-US"/>
              </w:rPr>
              <w:t>)</w:t>
            </w:r>
          </w:p>
        </w:tc>
      </w:tr>
    </w:tbl>
    <w:p w:rsidR="005A4A89" w:rsidRDefault="007A00F9" w:rsidP="007A00F9">
      <w:pPr>
        <w:spacing w:line="480" w:lineRule="auto"/>
        <w:rPr>
          <w:lang w:val="en-US"/>
        </w:rPr>
      </w:pPr>
      <w:r>
        <w:rPr>
          <w:lang w:val="en-US"/>
        </w:rPr>
        <w:t>w</w:t>
      </w:r>
      <w:r w:rsidRPr="00C41714">
        <w:rPr>
          <w:lang w:val="en-US"/>
        </w:rPr>
        <w:t>here</w:t>
      </w:r>
      <w:r>
        <w:rPr>
          <w:lang w:val="en-US"/>
        </w:rPr>
        <w:t xml:space="preserve"> </w:t>
      </w:r>
      <w:r w:rsidRPr="00FD5A15">
        <w:rPr>
          <w:position w:val="-18"/>
        </w:rPr>
        <w:object w:dxaOrig="380" w:dyaOrig="440">
          <v:shape id="_x0000_i1092" type="#_x0000_t75" style="width:19.1pt;height:22.3pt" o:ole="">
            <v:imagedata r:id="rId140" o:title=""/>
          </v:shape>
          <o:OLEObject Type="Embed" ProgID="Equation.3" ShapeID="_x0000_i1092" DrawAspect="Content" ObjectID="_1343658031" r:id="rId141"/>
        </w:object>
      </w:r>
      <w:r>
        <w:t xml:space="preserve">is the 5% empirical quantile of the returns on the portfolio with weights  </w:t>
      </w:r>
      <w:r w:rsidRPr="006B39CC">
        <w:rPr>
          <w:position w:val="-12"/>
        </w:rPr>
        <w:object w:dxaOrig="380" w:dyaOrig="380">
          <v:shape id="_x0000_i1093" type="#_x0000_t75" style="width:19.1pt;height:19.1pt" o:ole="">
            <v:imagedata r:id="rId142" o:title=""/>
          </v:shape>
          <o:OLEObject Type="Embed" ProgID="Equation.3" ShapeID="_x0000_i1093" DrawAspect="Content" ObjectID="_1343658032" r:id="rId143"/>
        </w:object>
      </w:r>
      <w:r>
        <w:t xml:space="preserve"> </w:t>
      </w:r>
      <w:r>
        <w:rPr>
          <w:lang w:val="en-US"/>
        </w:rPr>
        <w:t xml:space="preserve">The higher the HI, the higher the out-of-sample concentration of downside risk.  </w:t>
      </w:r>
      <w:r w:rsidR="00BD5081">
        <w:rPr>
          <w:lang w:val="en-US"/>
        </w:rPr>
        <w:t xml:space="preserve">It is of interest to compare them with the ex ante CVaR allocation budgets in the right panels of Exhibits 4 and </w:t>
      </w:r>
      <w:r w:rsidR="000966DB">
        <w:rPr>
          <w:lang w:val="en-US"/>
        </w:rPr>
        <w:t>7</w:t>
      </w:r>
      <w:r w:rsidR="00BD5081">
        <w:rPr>
          <w:lang w:val="en-US"/>
        </w:rPr>
        <w:t xml:space="preserve">. Conform the ex ante predictions, we see that the out-of-sample concentration is the highest for the </w:t>
      </w:r>
      <w:r w:rsidR="003F46DF">
        <w:t>minimum CVaR</w:t>
      </w:r>
      <w:r w:rsidR="00BD5081">
        <w:rPr>
          <w:lang w:val="en-US"/>
        </w:rPr>
        <w:t xml:space="preserve"> portfolio (0.21%). Interestingly however, position limits </w:t>
      </w:r>
      <w:r w:rsidR="005552F9">
        <w:rPr>
          <w:lang w:val="en-US"/>
        </w:rPr>
        <w:t xml:space="preserve">seem to be </w:t>
      </w:r>
      <w:r w:rsidR="00BD5081">
        <w:rPr>
          <w:lang w:val="en-US"/>
        </w:rPr>
        <w:t>more effective in ensur</w:t>
      </w:r>
      <w:r w:rsidR="005552F9">
        <w:rPr>
          <w:lang w:val="en-US"/>
        </w:rPr>
        <w:t>ing</w:t>
      </w:r>
      <w:r w:rsidR="00BD5081">
        <w:rPr>
          <w:lang w:val="en-US"/>
        </w:rPr>
        <w:t xml:space="preserve"> ex post diversification than would be expected from the ex ante estimates. The lowest HI is attained for the </w:t>
      </w:r>
      <w:r w:rsidR="003F46DF">
        <w:rPr>
          <w:szCs w:val="20"/>
        </w:rPr>
        <w:t>equal-weight</w:t>
      </w:r>
      <w:r w:rsidR="00BD5081">
        <w:rPr>
          <w:lang w:val="en-US"/>
        </w:rPr>
        <w:t xml:space="preserve"> </w:t>
      </w:r>
      <w:r w:rsidR="00EF3F3D">
        <w:rPr>
          <w:lang w:val="en-US"/>
        </w:rPr>
        <w:t xml:space="preserve">portfolio (0.06%) and the position constrained </w:t>
      </w:r>
      <w:r w:rsidR="00F7188A">
        <w:rPr>
          <w:lang w:val="en-US"/>
        </w:rPr>
        <w:t xml:space="preserve">MCC </w:t>
      </w:r>
      <w:r w:rsidR="00EF3F3D">
        <w:rPr>
          <w:lang w:val="en-US"/>
        </w:rPr>
        <w:t xml:space="preserve">portfolio (0.07%). The HI of the </w:t>
      </w:r>
      <w:r w:rsidR="00F7188A">
        <w:rPr>
          <w:lang w:val="en-US"/>
        </w:rPr>
        <w:t xml:space="preserve">MCC </w:t>
      </w:r>
      <w:r w:rsidR="00EF3F3D">
        <w:rPr>
          <w:lang w:val="en-US"/>
        </w:rPr>
        <w:t xml:space="preserve">portfolio is 0.12%. As such it effectively reaches a good trade-off between a low total portfolio risk and a high diversification.  </w:t>
      </w:r>
    </w:p>
    <w:p w:rsidR="007A00F9" w:rsidRDefault="00EF3F3D" w:rsidP="00EF3F3D">
      <w:pPr>
        <w:spacing w:line="480" w:lineRule="auto"/>
        <w:ind w:firstLine="284"/>
        <w:rPr>
          <w:szCs w:val="20"/>
          <w:lang w:val="en-US"/>
        </w:rPr>
      </w:pPr>
      <w:r>
        <w:rPr>
          <w:lang w:val="en-US"/>
        </w:rPr>
        <w:t xml:space="preserve">Finally, we consider </w:t>
      </w:r>
      <w:r w:rsidR="007A00F9">
        <w:rPr>
          <w:lang w:val="en-US"/>
        </w:rPr>
        <w:t>t</w:t>
      </w:r>
      <w:r w:rsidR="007A00F9" w:rsidRPr="00916DCB">
        <w:rPr>
          <w:szCs w:val="20"/>
          <w:lang w:val="en-US"/>
        </w:rPr>
        <w:t xml:space="preserve">he portfolio </w:t>
      </w:r>
      <w:r w:rsidR="007A00F9" w:rsidRPr="00770CB8">
        <w:rPr>
          <w:iCs/>
          <w:szCs w:val="20"/>
          <w:lang w:val="en-US"/>
        </w:rPr>
        <w:t>turnover</w:t>
      </w:r>
      <w:r>
        <w:rPr>
          <w:iCs/>
          <w:szCs w:val="20"/>
          <w:lang w:val="en-US"/>
        </w:rPr>
        <w:t xml:space="preserve"> of the strategies</w:t>
      </w:r>
      <w:r w:rsidR="007A00F9">
        <w:rPr>
          <w:iCs/>
          <w:szCs w:val="20"/>
          <w:lang w:val="en-US"/>
        </w:rPr>
        <w:t xml:space="preserve">, </w:t>
      </w:r>
      <w:r w:rsidR="007A00F9" w:rsidRPr="00770CB8">
        <w:rPr>
          <w:szCs w:val="20"/>
          <w:lang w:val="en-US"/>
        </w:rPr>
        <w:t>defi</w:t>
      </w:r>
      <w:r w:rsidR="007A00F9" w:rsidRPr="00916DCB">
        <w:rPr>
          <w:szCs w:val="20"/>
          <w:lang w:val="en-US"/>
        </w:rPr>
        <w:t xml:space="preserve">ned </w:t>
      </w:r>
      <w:r w:rsidR="008C01FE">
        <w:rPr>
          <w:szCs w:val="20"/>
          <w:lang w:val="en-US"/>
        </w:rPr>
        <w:t xml:space="preserve">by DeMiguel, Garlappi and Uppal [2009] </w:t>
      </w:r>
      <w:r w:rsidR="007A00F9" w:rsidRPr="00916DCB">
        <w:rPr>
          <w:szCs w:val="20"/>
          <w:lang w:val="en-US"/>
        </w:rPr>
        <w:t xml:space="preserve">as the average sum of the absolute value of the trades across the </w:t>
      </w:r>
      <w:r w:rsidR="007A00F9" w:rsidRPr="00916DCB">
        <w:rPr>
          <w:i/>
          <w:iCs/>
          <w:szCs w:val="20"/>
          <w:lang w:val="en-US"/>
        </w:rPr>
        <w:t xml:space="preserve">N </w:t>
      </w:r>
      <w:r w:rsidR="007A00F9" w:rsidRPr="00916DCB">
        <w:rPr>
          <w:szCs w:val="20"/>
          <w:lang w:val="en-US"/>
        </w:rPr>
        <w:t>available assets: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07"/>
        <w:gridCol w:w="592"/>
      </w:tblGrid>
      <w:tr w:rsidR="007A00F9" w:rsidTr="009A512B">
        <w:trPr>
          <w:trHeight w:val="1081"/>
        </w:trPr>
        <w:tc>
          <w:tcPr>
            <w:tcW w:w="8607" w:type="dxa"/>
            <w:tcBorders>
              <w:top w:val="nil"/>
              <w:left w:val="nil"/>
              <w:bottom w:val="nil"/>
              <w:right w:val="nil"/>
            </w:tcBorders>
          </w:tcPr>
          <w:p w:rsidR="007A00F9" w:rsidRPr="00FF549C" w:rsidRDefault="007A00F9" w:rsidP="009A512B">
            <w:pPr>
              <w:pStyle w:val="Heading1"/>
              <w:numPr>
                <w:ilvl w:val="0"/>
                <w:numId w:val="0"/>
              </w:numPr>
              <w:ind w:left="170"/>
              <w:jc w:val="center"/>
              <w:rPr>
                <w:b w:val="0"/>
                <w:lang w:val="en-US"/>
              </w:rPr>
            </w:pPr>
            <w:r w:rsidRPr="00CD4516">
              <w:rPr>
                <w:b w:val="0"/>
                <w:sz w:val="20"/>
                <w:szCs w:val="20"/>
                <w:lang w:val="en-US"/>
              </w:rPr>
              <w:t>Turnover =</w:t>
            </w:r>
            <w:r w:rsidRPr="00FF549C">
              <w:rPr>
                <w:b w:val="0"/>
                <w:lang w:val="en-US"/>
              </w:rPr>
              <w:t xml:space="preserve"> </w:t>
            </w:r>
            <w:r w:rsidRPr="00FF549C">
              <w:rPr>
                <w:b w:val="0"/>
                <w:position w:val="-30"/>
              </w:rPr>
              <w:object w:dxaOrig="2740" w:dyaOrig="760">
                <v:shape id="_x0000_i1094" type="#_x0000_t75" style="width:137pt;height:38.25pt" o:ole="">
                  <v:imagedata r:id="rId144" o:title=""/>
                </v:shape>
                <o:OLEObject Type="Embed" ProgID="Equation.3" ShapeID="_x0000_i1094" DrawAspect="Content" ObjectID="_1343658033" r:id="rId145"/>
              </w:object>
            </w:r>
            <w:r>
              <w:rPr>
                <w:b w:val="0"/>
                <w:lang w:val="en-US"/>
              </w:rPr>
              <w:t>,</w:t>
            </w:r>
          </w:p>
        </w:tc>
        <w:tc>
          <w:tcPr>
            <w:tcW w:w="592" w:type="dxa"/>
            <w:tcBorders>
              <w:top w:val="nil"/>
              <w:left w:val="nil"/>
              <w:bottom w:val="nil"/>
              <w:right w:val="nil"/>
            </w:tcBorders>
            <w:vAlign w:val="center"/>
          </w:tcPr>
          <w:p w:rsidR="007A00F9" w:rsidRDefault="007A00F9" w:rsidP="005702D3">
            <w:pPr>
              <w:spacing w:line="480" w:lineRule="auto"/>
              <w:jc w:val="right"/>
              <w:rPr>
                <w:lang w:val="en-US"/>
              </w:rPr>
            </w:pPr>
            <w:r>
              <w:rPr>
                <w:lang w:val="en-US"/>
              </w:rPr>
              <w:t>(</w:t>
            </w:r>
            <w:r w:rsidR="00C7763C">
              <w:rPr>
                <w:lang w:val="en-US"/>
              </w:rPr>
              <w:t>2</w:t>
            </w:r>
            <w:r w:rsidR="005702D3">
              <w:rPr>
                <w:lang w:val="en-US"/>
              </w:rPr>
              <w:t>2</w:t>
            </w:r>
            <w:r>
              <w:rPr>
                <w:lang w:val="en-US"/>
              </w:rPr>
              <w:t>)</w:t>
            </w:r>
          </w:p>
        </w:tc>
      </w:tr>
    </w:tbl>
    <w:p w:rsidR="007A00F9" w:rsidRDefault="007A00F9" w:rsidP="007A00F9">
      <w:pPr>
        <w:spacing w:line="480" w:lineRule="auto"/>
      </w:pPr>
      <w:r>
        <w:rPr>
          <w:lang w:val="en-US"/>
        </w:rPr>
        <w:t xml:space="preserve">where </w:t>
      </w:r>
      <w:r w:rsidRPr="00E861D5">
        <w:rPr>
          <w:position w:val="-14"/>
        </w:rPr>
        <w:object w:dxaOrig="580" w:dyaOrig="400">
          <v:shape id="_x0000_i1095" type="#_x0000_t75" style="width:29.3pt;height:19.75pt" o:ole="">
            <v:imagedata r:id="rId146" o:title=""/>
          </v:shape>
          <o:OLEObject Type="Embed" ProgID="Equation.3" ShapeID="_x0000_i1095" DrawAspect="Content" ObjectID="_1343658034" r:id="rId147"/>
        </w:object>
      </w:r>
      <w:r>
        <w:t xml:space="preserve">is the weight of asset </w:t>
      </w:r>
      <w:r w:rsidRPr="00FF549C">
        <w:rPr>
          <w:position w:val="-6"/>
        </w:rPr>
        <w:object w:dxaOrig="139" w:dyaOrig="260">
          <v:shape id="_x0000_i1096" type="#_x0000_t75" style="width:7pt;height:12.75pt" o:ole="">
            <v:imagedata r:id="rId148" o:title=""/>
          </v:shape>
          <o:OLEObject Type="Embed" ProgID="Equation.3" ShapeID="_x0000_i1096" DrawAspect="Content" ObjectID="_1343658035" r:id="rId149"/>
        </w:object>
      </w:r>
      <w:r>
        <w:t xml:space="preserve">at the start of rebalancing period </w:t>
      </w:r>
      <w:r w:rsidRPr="003A1ED7">
        <w:rPr>
          <w:position w:val="-6"/>
        </w:rPr>
        <w:object w:dxaOrig="460" w:dyaOrig="279">
          <v:shape id="_x0000_i1097" type="#_x0000_t75" style="width:22.95pt;height:14pt" o:ole="">
            <v:imagedata r:id="rId150" o:title=""/>
          </v:shape>
          <o:OLEObject Type="Embed" ProgID="Equation.3" ShapeID="_x0000_i1097" DrawAspect="Content" ObjectID="_1343658036" r:id="rId151"/>
        </w:object>
      </w:r>
      <w:r>
        <w:t xml:space="preserve">, </w:t>
      </w:r>
      <w:r w:rsidRPr="00E861D5">
        <w:rPr>
          <w:position w:val="-14"/>
        </w:rPr>
        <w:object w:dxaOrig="540" w:dyaOrig="400">
          <v:shape id="_x0000_i1098" type="#_x0000_t75" style="width:26.75pt;height:19.75pt" o:ole="">
            <v:imagedata r:id="rId152" o:title=""/>
          </v:shape>
          <o:OLEObject Type="Embed" ProgID="Equation.3" ShapeID="_x0000_i1098" DrawAspect="Content" ObjectID="_1343658037" r:id="rId153"/>
        </w:object>
      </w:r>
      <w:r>
        <w:t xml:space="preserve">is the weight of that asset before rebalancing at </w:t>
      </w:r>
      <w:r w:rsidRPr="003A1ED7">
        <w:rPr>
          <w:position w:val="-6"/>
        </w:rPr>
        <w:object w:dxaOrig="460" w:dyaOrig="279">
          <v:shape id="_x0000_i1099" type="#_x0000_t75" style="width:22.95pt;height:14pt" o:ole="">
            <v:imagedata r:id="rId154" o:title=""/>
          </v:shape>
          <o:OLEObject Type="Embed" ProgID="Equation.3" ShapeID="_x0000_i1099" DrawAspect="Content" ObjectID="_1343658038" r:id="rId155"/>
        </w:object>
      </w:r>
      <w:r>
        <w:t xml:space="preserve">and </w:t>
      </w:r>
      <w:r w:rsidRPr="009712AC">
        <w:rPr>
          <w:position w:val="-10"/>
        </w:rPr>
        <w:object w:dxaOrig="300" w:dyaOrig="360">
          <v:shape id="_x0000_i1100" type="#_x0000_t75" style="width:15.3pt;height:17.85pt" o:ole="">
            <v:imagedata r:id="rId156" o:title=""/>
          </v:shape>
          <o:OLEObject Type="Embed" ProgID="Equation.3" ShapeID="_x0000_i1100" DrawAspect="Content" ObjectID="_1343658039" r:id="rId157"/>
        </w:object>
      </w:r>
      <w:r>
        <w:t>is the total number of rebalancing periods.</w:t>
      </w:r>
      <w:r w:rsidR="008C01FE">
        <w:t xml:space="preserve"> This turnover quantity can be interpreted as the average percentage of wealth traded in each period.</w:t>
      </w:r>
      <w:r w:rsidR="004E2462">
        <w:t xml:space="preserve"> </w:t>
      </w:r>
      <w:r w:rsidR="00E868D7">
        <w:t xml:space="preserve">The portfolio turnover is the lowest for the </w:t>
      </w:r>
      <w:r w:rsidR="003F46DF">
        <w:rPr>
          <w:szCs w:val="20"/>
        </w:rPr>
        <w:t>equal-weight</w:t>
      </w:r>
      <w:r w:rsidR="00E868D7">
        <w:t xml:space="preserve"> portfolio (1.26%) and the highest for the position constrained </w:t>
      </w:r>
      <w:r w:rsidR="003F46DF">
        <w:t>minimum CVaR</w:t>
      </w:r>
      <w:r w:rsidR="00E868D7">
        <w:t xml:space="preserve"> portfolio (3.55%). The </w:t>
      </w:r>
      <w:r w:rsidR="00F7188A">
        <w:t>MCC</w:t>
      </w:r>
      <w:r w:rsidR="00E868D7">
        <w:t xml:space="preserve"> portfolio has a significantly lower turnover (1.74%) than the </w:t>
      </w:r>
      <w:r w:rsidR="003F46DF">
        <w:t>minimum CVaR</w:t>
      </w:r>
      <w:r w:rsidR="00E868D7">
        <w:t xml:space="preserve"> portfolio (2.14%). </w:t>
      </w:r>
    </w:p>
    <w:p w:rsidR="007A00F9" w:rsidRDefault="00E868D7" w:rsidP="000D1401">
      <w:pPr>
        <w:tabs>
          <w:tab w:val="left" w:pos="284"/>
        </w:tabs>
        <w:spacing w:line="480" w:lineRule="auto"/>
        <w:rPr>
          <w:lang w:val="en-US"/>
        </w:rPr>
      </w:pPr>
      <w:r>
        <w:tab/>
        <w:t xml:space="preserve">In conclusion, the </w:t>
      </w:r>
      <w:r w:rsidR="003F46DF">
        <w:t>minimum CVaR</w:t>
      </w:r>
      <w:r>
        <w:t xml:space="preserve"> portfolio has the lowest out-of-sample risk but a high risk concentration and turnover. The </w:t>
      </w:r>
      <w:r w:rsidR="003F46DF">
        <w:t>equal-weight</w:t>
      </w:r>
      <w:r>
        <w:t xml:space="preserve"> strategy has the lowest turnover and risk concentration, but highest total risk. The proposed </w:t>
      </w:r>
      <w:r w:rsidR="00F7188A">
        <w:t>MCC</w:t>
      </w:r>
      <w:r>
        <w:t xml:space="preserve"> portfolio is on all these dimension</w:t>
      </w:r>
      <w:r w:rsidR="000D1401">
        <w:t>s</w:t>
      </w:r>
      <w:r>
        <w:t xml:space="preserve"> the second best and therefore an ideal compromise between a low risk, high diversification and low turnover objective.  </w:t>
      </w:r>
      <w:r w:rsidR="001E5C8B">
        <w:t xml:space="preserve">Moreover, it combines the good return/risk properties of the </w:t>
      </w:r>
      <w:r w:rsidR="003F46DF">
        <w:t>minimum CVaR</w:t>
      </w:r>
      <w:r w:rsidR="001E5C8B">
        <w:t xml:space="preserve"> in downturn markets and the upward potential of the equal-weight portfolio.</w:t>
      </w:r>
      <w:r w:rsidR="00510981">
        <w:tab/>
      </w:r>
      <w:r w:rsidR="007A00F9">
        <w:rPr>
          <w:lang w:val="en-US"/>
        </w:rPr>
        <w:t xml:space="preserve"> </w:t>
      </w:r>
    </w:p>
    <w:p w:rsidR="00782C89" w:rsidRDefault="00782C89" w:rsidP="00782C89">
      <w:pPr>
        <w:pStyle w:val="Heading1"/>
        <w:numPr>
          <w:ilvl w:val="0"/>
          <w:numId w:val="0"/>
        </w:numPr>
        <w:spacing w:line="480" w:lineRule="auto"/>
        <w:rPr>
          <w:lang w:val="en-US"/>
        </w:rPr>
      </w:pPr>
      <w:r>
        <w:rPr>
          <w:lang w:val="en-US"/>
        </w:rPr>
        <w:lastRenderedPageBreak/>
        <w:t>CONCLUSION</w:t>
      </w:r>
    </w:p>
    <w:p w:rsidR="001452E8" w:rsidRDefault="00A15750" w:rsidP="001452E8">
      <w:pPr>
        <w:spacing w:line="480" w:lineRule="auto"/>
        <w:ind w:firstLine="340"/>
      </w:pPr>
      <w:r>
        <w:rPr>
          <w:lang w:val="en-US"/>
        </w:rPr>
        <w:t xml:space="preserve">Portfolio risk budgeting is nowadays mainly based on an ex post analysis of the Euler decomposition of the portfolio value-at-risk. </w:t>
      </w:r>
      <w:r w:rsidR="0068724B">
        <w:rPr>
          <w:lang w:val="en-US"/>
        </w:rPr>
        <w:t xml:space="preserve">This paper shows that in a portfolio allocation setting, </w:t>
      </w:r>
      <w:r w:rsidR="00A70F7E">
        <w:rPr>
          <w:lang w:val="en-US"/>
        </w:rPr>
        <w:t>optimization of ex ante conditional value-at-risk (CVaR) budgets</w:t>
      </w:r>
      <w:r>
        <w:rPr>
          <w:lang w:val="en-US"/>
        </w:rPr>
        <w:t xml:space="preserve"> </w:t>
      </w:r>
      <w:r w:rsidR="0068724B">
        <w:rPr>
          <w:lang w:val="en-US"/>
        </w:rPr>
        <w:t>can be very useful</w:t>
      </w:r>
      <w:r w:rsidR="00A1449A">
        <w:rPr>
          <w:lang w:val="en-US"/>
        </w:rPr>
        <w:t xml:space="preserve">. A first strategy is to </w:t>
      </w:r>
      <w:r w:rsidR="00A1449A">
        <w:rPr>
          <w:szCs w:val="20"/>
        </w:rPr>
        <w:t xml:space="preserve">impose bound constraints on the percentage CVaR contributions. This is a direct substitute to the risk diversification approach based on position limits. </w:t>
      </w:r>
      <w:r w:rsidR="001B1659">
        <w:rPr>
          <w:lang w:val="en-US"/>
        </w:rPr>
        <w:t>A</w:t>
      </w:r>
      <w:r w:rsidR="00A1449A">
        <w:rPr>
          <w:lang w:val="en-US"/>
        </w:rPr>
        <w:t xml:space="preserve"> second strategy </w:t>
      </w:r>
      <w:r w:rsidR="001B1659">
        <w:rPr>
          <w:lang w:val="en-US"/>
        </w:rPr>
        <w:t>consists in</w:t>
      </w:r>
      <w:r w:rsidR="00A1449A">
        <w:rPr>
          <w:lang w:val="en-US"/>
        </w:rPr>
        <w:t xml:space="preserve"> minimizing the largest CVaR contribution. This leads to portfolios that are close to portfolios for which the contributions to CVaR of all assets are identical.  </w:t>
      </w:r>
      <w:r w:rsidR="00A70F7E">
        <w:t xml:space="preserve">For a portfolio invested in bonds, equity and commodities, </w:t>
      </w:r>
      <w:r w:rsidR="00A1449A">
        <w:rPr>
          <w:lang w:val="en-US"/>
        </w:rPr>
        <w:t>w</w:t>
      </w:r>
      <w:r w:rsidR="00BA1DBB">
        <w:rPr>
          <w:lang w:val="en-US"/>
        </w:rPr>
        <w:t>e find</w:t>
      </w:r>
      <w:r>
        <w:rPr>
          <w:lang w:val="en-US"/>
        </w:rPr>
        <w:t xml:space="preserve"> that </w:t>
      </w:r>
      <w:r w:rsidR="00A1449A">
        <w:rPr>
          <w:lang w:val="en-US"/>
        </w:rPr>
        <w:t xml:space="preserve">diversification strategies based on risk budgets yield portfolios </w:t>
      </w:r>
      <w:r w:rsidR="001452E8">
        <w:rPr>
          <w:lang w:val="en-US"/>
        </w:rPr>
        <w:t xml:space="preserve">that </w:t>
      </w:r>
      <w:r w:rsidR="001452E8">
        <w:t xml:space="preserve">offer an attractive compromise between the good return/risk properties of the minimum CVaR portfolio in downturn markets and the upward potential and low portfolio turnover of the equal-weight portfolio. </w:t>
      </w:r>
    </w:p>
    <w:p w:rsidR="00782C89" w:rsidRPr="001452E8" w:rsidRDefault="00782C89" w:rsidP="001452E8">
      <w:pPr>
        <w:spacing w:line="480" w:lineRule="auto"/>
        <w:ind w:firstLine="340"/>
      </w:pPr>
    </w:p>
    <w:p w:rsidR="00782C89" w:rsidRDefault="00B243AC" w:rsidP="0010225B">
      <w:pPr>
        <w:pStyle w:val="Heading2"/>
        <w:numPr>
          <w:ilvl w:val="0"/>
          <w:numId w:val="0"/>
        </w:numPr>
        <w:ind w:left="340" w:hanging="340"/>
        <w:rPr>
          <w:lang w:val="en-US"/>
        </w:rPr>
      </w:pPr>
      <w:r>
        <w:rPr>
          <w:lang w:val="en-US"/>
        </w:rPr>
        <w:t>ENDNOTE</w:t>
      </w:r>
      <w:r w:rsidR="00782C89">
        <w:rPr>
          <w:lang w:val="en-US"/>
        </w:rPr>
        <w:t>S</w:t>
      </w:r>
    </w:p>
    <w:p w:rsidR="00782C89" w:rsidRDefault="00E2661D" w:rsidP="00782C89">
      <w:pPr>
        <w:spacing w:line="480" w:lineRule="auto"/>
        <w:rPr>
          <w:lang w:val="en-US"/>
        </w:rPr>
      </w:pPr>
      <w:r>
        <w:rPr>
          <w:lang w:val="en-US"/>
        </w:rPr>
        <w:t xml:space="preserve">The authors thank </w:t>
      </w:r>
      <w:r w:rsidR="00CC1F79">
        <w:rPr>
          <w:lang w:val="en-US"/>
        </w:rPr>
        <w:t>David Ardia</w:t>
      </w:r>
      <w:r w:rsidR="00E40B28">
        <w:rPr>
          <w:lang w:val="en-US"/>
        </w:rPr>
        <w:t xml:space="preserve">, </w:t>
      </w:r>
      <w:r w:rsidR="00AE6BDE">
        <w:rPr>
          <w:lang w:val="en-US"/>
        </w:rPr>
        <w:t>Bernhard Pfaff</w:t>
      </w:r>
      <w:r w:rsidR="00CC1F79">
        <w:rPr>
          <w:lang w:val="en-US"/>
        </w:rPr>
        <w:t xml:space="preserve"> and </w:t>
      </w:r>
      <w:r>
        <w:rPr>
          <w:lang w:val="en-US"/>
        </w:rPr>
        <w:t xml:space="preserve">Dale Rosenthal for helpful comments and </w:t>
      </w:r>
      <w:r w:rsidR="00782C89">
        <w:rPr>
          <w:lang w:val="en-US"/>
        </w:rPr>
        <w:t xml:space="preserve">the National Bank of Belgium </w:t>
      </w:r>
      <w:r>
        <w:rPr>
          <w:lang w:val="en-US"/>
        </w:rPr>
        <w:t>for financial support</w:t>
      </w:r>
      <w:r w:rsidR="00782C89">
        <w:rPr>
          <w:lang w:val="en-US"/>
        </w:rPr>
        <w:t>.</w:t>
      </w:r>
      <w:r w:rsidR="00B243AC">
        <w:rPr>
          <w:lang w:val="en-US"/>
        </w:rPr>
        <w:t xml:space="preserve"> The code to replicate the analysis is </w:t>
      </w:r>
      <w:r w:rsidR="000822FC">
        <w:rPr>
          <w:lang w:val="en-US"/>
        </w:rPr>
        <w:t>available i</w:t>
      </w:r>
      <w:r w:rsidR="000C09BF">
        <w:rPr>
          <w:lang w:val="en-US"/>
        </w:rPr>
        <w:t>n</w:t>
      </w:r>
      <w:r w:rsidR="00B243AC">
        <w:rPr>
          <w:lang w:val="en-US"/>
        </w:rPr>
        <w:t xml:space="preserve"> the R package</w:t>
      </w:r>
      <w:r w:rsidR="000822FC">
        <w:rPr>
          <w:lang w:val="en-US"/>
        </w:rPr>
        <w:t>s</w:t>
      </w:r>
      <w:r w:rsidR="00B243AC">
        <w:rPr>
          <w:lang w:val="en-US"/>
        </w:rPr>
        <w:t xml:space="preserve"> Performance</w:t>
      </w:r>
      <w:r w:rsidR="000822FC">
        <w:rPr>
          <w:lang w:val="en-US"/>
        </w:rPr>
        <w:t>Analytics of Carl and Peterson [</w:t>
      </w:r>
      <w:r w:rsidR="00B243AC">
        <w:rPr>
          <w:lang w:val="en-US"/>
        </w:rPr>
        <w:t>20</w:t>
      </w:r>
      <w:r w:rsidR="004E2462">
        <w:rPr>
          <w:lang w:val="en-US"/>
        </w:rPr>
        <w:t>1</w:t>
      </w:r>
      <w:r w:rsidR="00B243AC">
        <w:rPr>
          <w:lang w:val="en-US"/>
        </w:rPr>
        <w:t>0</w:t>
      </w:r>
      <w:r w:rsidR="000822FC">
        <w:rPr>
          <w:lang w:val="en-US"/>
        </w:rPr>
        <w:t>] and PortfolioAnalytics of Boudt, Carl and Peterson [</w:t>
      </w:r>
      <w:r w:rsidR="00A12C3D">
        <w:rPr>
          <w:lang w:val="en-US"/>
        </w:rPr>
        <w:t>2010</w:t>
      </w:r>
      <w:r w:rsidR="000822FC">
        <w:rPr>
          <w:lang w:val="en-US"/>
        </w:rPr>
        <w:t>]</w:t>
      </w:r>
      <w:r w:rsidR="00B243AC">
        <w:rPr>
          <w:lang w:val="en-US"/>
        </w:rPr>
        <w:t xml:space="preserve">. </w:t>
      </w:r>
      <w:r w:rsidR="003A2DAD">
        <w:rPr>
          <w:lang w:val="en-US"/>
        </w:rPr>
        <w:t xml:space="preserve">More information on the utilization of these packages for the estimation and optimization of portfolio CVaR budgets can be found at www.econ.kuleuven.be/kris.boudt/public/riskbudgets.htm.  </w:t>
      </w:r>
    </w:p>
    <w:p w:rsidR="00782C89" w:rsidRDefault="00782C89" w:rsidP="00782C89">
      <w:pPr>
        <w:pStyle w:val="Heading1"/>
        <w:numPr>
          <w:ilvl w:val="0"/>
          <w:numId w:val="0"/>
        </w:numPr>
        <w:spacing w:line="480" w:lineRule="auto"/>
        <w:rPr>
          <w:lang w:val="en-US"/>
        </w:rPr>
      </w:pPr>
      <w:r>
        <w:rPr>
          <w:lang w:val="en-US"/>
        </w:rPr>
        <w:t>REFERENCES</w:t>
      </w:r>
    </w:p>
    <w:p w:rsidR="00526FC9" w:rsidRDefault="00526FC9" w:rsidP="00526FC9">
      <w:pPr>
        <w:spacing w:line="480" w:lineRule="auto"/>
        <w:rPr>
          <w:lang w:val="en-US"/>
        </w:rPr>
      </w:pPr>
      <w:r>
        <w:rPr>
          <w:lang w:val="en-US"/>
        </w:rPr>
        <w:t>Ar</w:t>
      </w:r>
      <w:r w:rsidR="00222CC9">
        <w:rPr>
          <w:lang w:val="en-US"/>
        </w:rPr>
        <w:t>t</w:t>
      </w:r>
      <w:r>
        <w:rPr>
          <w:lang w:val="en-US"/>
        </w:rPr>
        <w:t xml:space="preserve">zner, Philippe, Delbaen, Freddy, Eber, Jean-Marc and David Heath. “Coherent measures of risk”, </w:t>
      </w:r>
      <w:r>
        <w:rPr>
          <w:i/>
          <w:lang w:val="en-US"/>
        </w:rPr>
        <w:t>Mathematical Finance</w:t>
      </w:r>
      <w:r>
        <w:rPr>
          <w:lang w:val="en-US"/>
        </w:rPr>
        <w:t xml:space="preserve">, Vol. 6 (1998), pp. 203-228. </w:t>
      </w:r>
    </w:p>
    <w:p w:rsidR="00782C89" w:rsidRDefault="003A2DAD" w:rsidP="00782C89">
      <w:pPr>
        <w:spacing w:line="480" w:lineRule="auto"/>
        <w:rPr>
          <w:lang w:val="en-US"/>
        </w:rPr>
      </w:pPr>
      <w:r>
        <w:rPr>
          <w:lang w:val="en-US"/>
        </w:rPr>
        <w:t>Boudt, Kris, Peterson, Brian G.</w:t>
      </w:r>
      <w:r w:rsidR="00782C89">
        <w:rPr>
          <w:lang w:val="en-US"/>
        </w:rPr>
        <w:t xml:space="preserve"> and Christophe Croux. “Estimation and decomposition of downside risk for portfolios with non-normal returns.” </w:t>
      </w:r>
      <w:r w:rsidR="00782C89">
        <w:rPr>
          <w:i/>
          <w:lang w:val="en-US"/>
        </w:rPr>
        <w:t>The Journal of Risk</w:t>
      </w:r>
      <w:r w:rsidR="00782C89">
        <w:rPr>
          <w:lang w:val="en-US"/>
        </w:rPr>
        <w:t xml:space="preserve">, Winter 2008, pp. 79-103. </w:t>
      </w:r>
    </w:p>
    <w:p w:rsidR="00A96EB4" w:rsidRDefault="00A96EB4" w:rsidP="00A96EB4">
      <w:pPr>
        <w:spacing w:line="480" w:lineRule="auto"/>
        <w:rPr>
          <w:lang w:val="en-US"/>
        </w:rPr>
      </w:pPr>
      <w:r>
        <w:rPr>
          <w:lang w:val="en-US"/>
        </w:rPr>
        <w:t>Boudt, Kris, Carl, Peter and Peterson, Brian</w:t>
      </w:r>
      <w:r w:rsidR="003A2DAD">
        <w:rPr>
          <w:lang w:val="en-US"/>
        </w:rPr>
        <w:t xml:space="preserve"> G</w:t>
      </w:r>
      <w:r>
        <w:rPr>
          <w:lang w:val="en-US"/>
        </w:rPr>
        <w:t>. PortfolioAnalytics. R package version 0.0.</w:t>
      </w:r>
      <w:r w:rsidR="00E42DD7">
        <w:rPr>
          <w:lang w:val="en-US"/>
        </w:rPr>
        <w:t>6</w:t>
      </w:r>
      <w:r>
        <w:rPr>
          <w:lang w:val="en-US"/>
        </w:rPr>
        <w:t>, 20</w:t>
      </w:r>
      <w:r w:rsidR="00E42DD7">
        <w:rPr>
          <w:lang w:val="en-US"/>
        </w:rPr>
        <w:t>10</w:t>
      </w:r>
      <w:r>
        <w:rPr>
          <w:lang w:val="en-US"/>
        </w:rPr>
        <w:t xml:space="preserve">. </w:t>
      </w:r>
    </w:p>
    <w:p w:rsidR="000C09BF" w:rsidRDefault="000C09BF" w:rsidP="000C09BF">
      <w:pPr>
        <w:spacing w:line="480" w:lineRule="auto"/>
        <w:rPr>
          <w:lang w:val="en-US"/>
        </w:rPr>
      </w:pPr>
      <w:r>
        <w:rPr>
          <w:lang w:val="en-US"/>
        </w:rPr>
        <w:t>Carl, Peter and Peterson, Brian</w:t>
      </w:r>
      <w:r w:rsidR="003A2DAD">
        <w:rPr>
          <w:lang w:val="en-US"/>
        </w:rPr>
        <w:t xml:space="preserve"> G</w:t>
      </w:r>
      <w:r>
        <w:rPr>
          <w:lang w:val="en-US"/>
        </w:rPr>
        <w:t>. PerformanceAnalytics: Econometric tools for performance and ri</w:t>
      </w:r>
      <w:r w:rsidR="00D95838">
        <w:rPr>
          <w:lang w:val="en-US"/>
        </w:rPr>
        <w:t>sk analysis. R package version 1.0</w:t>
      </w:r>
      <w:r>
        <w:rPr>
          <w:lang w:val="en-US"/>
        </w:rPr>
        <w:t>.</w:t>
      </w:r>
      <w:r w:rsidR="004D30F6">
        <w:rPr>
          <w:lang w:val="en-US"/>
        </w:rPr>
        <w:t>2</w:t>
      </w:r>
      <w:r w:rsidR="00D95838">
        <w:rPr>
          <w:lang w:val="en-US"/>
        </w:rPr>
        <w:t>.</w:t>
      </w:r>
      <w:r w:rsidR="004D30F6">
        <w:rPr>
          <w:lang w:val="en-US"/>
        </w:rPr>
        <w:t>1</w:t>
      </w:r>
      <w:r>
        <w:rPr>
          <w:lang w:val="en-US"/>
        </w:rPr>
        <w:t xml:space="preserve">, </w:t>
      </w:r>
      <w:r w:rsidR="004D30F6">
        <w:rPr>
          <w:lang w:val="en-US"/>
        </w:rPr>
        <w:t>2010</w:t>
      </w:r>
      <w:r>
        <w:rPr>
          <w:lang w:val="en-US"/>
        </w:rPr>
        <w:t xml:space="preserve">. </w:t>
      </w:r>
    </w:p>
    <w:p w:rsidR="00782C89" w:rsidRDefault="00782C89" w:rsidP="00782C89">
      <w:pPr>
        <w:spacing w:line="480" w:lineRule="auto"/>
        <w:rPr>
          <w:lang w:val="en-US"/>
        </w:rPr>
      </w:pPr>
      <w:r>
        <w:rPr>
          <w:lang w:val="en-US"/>
        </w:rPr>
        <w:t xml:space="preserve">Chow, George, and Mark Kritzman. “Risk budgets.” </w:t>
      </w:r>
      <w:r>
        <w:rPr>
          <w:i/>
          <w:lang w:val="en-US"/>
        </w:rPr>
        <w:t xml:space="preserve">The Journal of Portfolio </w:t>
      </w:r>
      <w:r w:rsidRPr="00743AC9">
        <w:rPr>
          <w:i/>
          <w:lang w:val="en-US"/>
        </w:rPr>
        <w:t>Management</w:t>
      </w:r>
      <w:r>
        <w:rPr>
          <w:lang w:val="en-US"/>
        </w:rPr>
        <w:t xml:space="preserve">, Winter 2001, pp. 56-60. </w:t>
      </w:r>
    </w:p>
    <w:p w:rsidR="00C12158" w:rsidRDefault="002F58A1" w:rsidP="00782C89">
      <w:pPr>
        <w:spacing w:line="480" w:lineRule="auto"/>
      </w:pPr>
      <w:r>
        <w:lastRenderedPageBreak/>
        <w:t xml:space="preserve">DeMiguel, Victor, Garlappi, Lorenzo and Raman Uppal. “Optimal versus naïve diversification: How inefficient in the 1/N portfolio strategy?” </w:t>
      </w:r>
      <w:r>
        <w:rPr>
          <w:i/>
        </w:rPr>
        <w:t>Review of Financial Studies</w:t>
      </w:r>
      <w:r>
        <w:t>, Vol. 22 (2009), pp. 1915-1953.</w:t>
      </w:r>
    </w:p>
    <w:p w:rsidR="00782C89" w:rsidRDefault="00782C89" w:rsidP="00782C89">
      <w:pPr>
        <w:spacing w:line="480" w:lineRule="auto"/>
      </w:pPr>
      <w:r>
        <w:t xml:space="preserve">Denault, Michel. “Coherent allocation of risk capital.” </w:t>
      </w:r>
      <w:r w:rsidRPr="009B04E1">
        <w:rPr>
          <w:i/>
        </w:rPr>
        <w:t>The Journal of Risk</w:t>
      </w:r>
      <w:r>
        <w:t>, Fall 2001, pp. 1-33.</w:t>
      </w:r>
    </w:p>
    <w:p w:rsidR="00C12158" w:rsidRPr="00F917A5" w:rsidRDefault="00C12158" w:rsidP="00782C89">
      <w:pPr>
        <w:spacing w:line="480" w:lineRule="auto"/>
      </w:pPr>
      <w:r w:rsidRPr="00F917A5">
        <w:t xml:space="preserve">Ellis, J.H. </w:t>
      </w:r>
      <w:r w:rsidRPr="00F917A5">
        <w:rPr>
          <w:szCs w:val="20"/>
        </w:rPr>
        <w:t xml:space="preserve">Ahead of the curve: a commonsense guide to forecasting business and market cycles. Harvard Business Press, 2005. </w:t>
      </w:r>
    </w:p>
    <w:p w:rsidR="00EC1683" w:rsidRDefault="00EC1683" w:rsidP="00EC1683">
      <w:pPr>
        <w:spacing w:line="480" w:lineRule="auto"/>
        <w:rPr>
          <w:lang w:val="en-US"/>
        </w:rPr>
      </w:pPr>
      <w:r>
        <w:rPr>
          <w:lang w:val="en-US"/>
        </w:rPr>
        <w:t>Keel, Simon and David Ardia. “Generaliz</w:t>
      </w:r>
      <w:r w:rsidR="0088470E">
        <w:rPr>
          <w:lang w:val="en-US"/>
        </w:rPr>
        <w:t>e</w:t>
      </w:r>
      <w:r>
        <w:rPr>
          <w:lang w:val="en-US"/>
        </w:rPr>
        <w:t xml:space="preserve">d marginal risk.” Aeris </w:t>
      </w:r>
      <w:r w:rsidR="003B6EC7">
        <w:rPr>
          <w:lang w:val="en-US"/>
        </w:rPr>
        <w:t>C</w:t>
      </w:r>
      <w:r>
        <w:rPr>
          <w:lang w:val="en-US"/>
        </w:rPr>
        <w:t>apital working paper</w:t>
      </w:r>
      <w:r w:rsidR="003B6EC7">
        <w:rPr>
          <w:lang w:val="en-US"/>
        </w:rPr>
        <w:t>, 2009</w:t>
      </w:r>
      <w:r>
        <w:rPr>
          <w:lang w:val="en-US"/>
        </w:rPr>
        <w:t xml:space="preserve">. </w:t>
      </w:r>
    </w:p>
    <w:p w:rsidR="00782C89" w:rsidRDefault="00782C89" w:rsidP="00782C89">
      <w:pPr>
        <w:spacing w:line="480" w:lineRule="auto"/>
        <w:rPr>
          <w:lang w:val="en-US"/>
        </w:rPr>
      </w:pPr>
      <w:r>
        <w:rPr>
          <w:lang w:val="en-US"/>
        </w:rPr>
        <w:t>Litterman, Robert B. “Hot Spots</w:t>
      </w:r>
      <w:r>
        <w:rPr>
          <w:vertAlign w:val="superscript"/>
          <w:lang w:val="en-US"/>
        </w:rPr>
        <w:t>TM</w:t>
      </w:r>
      <w:r>
        <w:rPr>
          <w:lang w:val="en-US"/>
        </w:rPr>
        <w:t xml:space="preserve"> and hedges.” </w:t>
      </w:r>
      <w:r>
        <w:rPr>
          <w:i/>
          <w:lang w:val="en-US"/>
        </w:rPr>
        <w:t xml:space="preserve">The Journal of Portfolio </w:t>
      </w:r>
      <w:r w:rsidRPr="00743AC9">
        <w:rPr>
          <w:i/>
          <w:lang w:val="en-US"/>
        </w:rPr>
        <w:t>Management</w:t>
      </w:r>
      <w:r>
        <w:rPr>
          <w:lang w:val="en-US"/>
        </w:rPr>
        <w:t xml:space="preserve">, 1996 Special Issue, pp. 52-75. </w:t>
      </w:r>
    </w:p>
    <w:p w:rsidR="004D075E" w:rsidRDefault="00D7392C" w:rsidP="004D075E">
      <w:pPr>
        <w:spacing w:line="480" w:lineRule="auto"/>
        <w:rPr>
          <w:lang w:val="en-US"/>
        </w:rPr>
      </w:pPr>
      <w:r>
        <w:rPr>
          <w:lang w:val="en-US"/>
        </w:rPr>
        <w:t xml:space="preserve">Maillard, Sébastien, Roncalli, Thierry and Jérôme Teiletche. “On the properties of equally-weighted risk contributions portfolios.” </w:t>
      </w:r>
      <w:r w:rsidR="004D075E">
        <w:rPr>
          <w:i/>
          <w:lang w:val="en-US"/>
        </w:rPr>
        <w:t xml:space="preserve">The Journal of Portfolio </w:t>
      </w:r>
      <w:r w:rsidR="004D075E" w:rsidRPr="00743AC9">
        <w:rPr>
          <w:i/>
          <w:lang w:val="en-US"/>
        </w:rPr>
        <w:t>Management</w:t>
      </w:r>
      <w:r w:rsidR="004D075E">
        <w:rPr>
          <w:lang w:val="en-US"/>
        </w:rPr>
        <w:t xml:space="preserve">, Summer 2010, pp. 60-70. </w:t>
      </w:r>
    </w:p>
    <w:p w:rsidR="00192069" w:rsidRDefault="00192069" w:rsidP="00192069">
      <w:pPr>
        <w:spacing w:line="480" w:lineRule="auto"/>
        <w:rPr>
          <w:lang w:val="en-US"/>
        </w:rPr>
      </w:pPr>
      <w:r>
        <w:rPr>
          <w:lang w:val="en-US"/>
        </w:rPr>
        <w:t xml:space="preserve">Pearson, N.D.  </w:t>
      </w:r>
      <w:r w:rsidRPr="009C3EB7">
        <w:rPr>
          <w:lang w:val="en-US"/>
        </w:rPr>
        <w:t>Risk Budgeting.</w:t>
      </w:r>
      <w:r>
        <w:rPr>
          <w:lang w:val="en-US"/>
        </w:rPr>
        <w:t xml:space="preserve"> New York: John Wile</w:t>
      </w:r>
      <w:r w:rsidR="00AD12A9">
        <w:rPr>
          <w:lang w:val="en-US"/>
        </w:rPr>
        <w:t>y</w:t>
      </w:r>
      <w:r>
        <w:rPr>
          <w:lang w:val="en-US"/>
        </w:rPr>
        <w:t xml:space="preserve"> and Sons, 2002. </w:t>
      </w:r>
    </w:p>
    <w:p w:rsidR="0019172D" w:rsidRDefault="0019172D" w:rsidP="0019172D">
      <w:pPr>
        <w:spacing w:line="480" w:lineRule="auto"/>
        <w:rPr>
          <w:lang w:val="en-US"/>
        </w:rPr>
      </w:pPr>
      <w:r w:rsidRPr="00E06346">
        <w:rPr>
          <w:lang w:val="en-US"/>
        </w:rPr>
        <w:t xml:space="preserve">Peterson, Brian, and Kris Boudt. </w:t>
      </w:r>
      <w:r>
        <w:rPr>
          <w:lang w:val="en-US"/>
        </w:rPr>
        <w:t>“</w:t>
      </w:r>
      <w:r w:rsidR="00E06346">
        <w:rPr>
          <w:lang w:val="en-US"/>
        </w:rPr>
        <w:t xml:space="preserve">Component VaR for a non-normal world.” </w:t>
      </w:r>
      <w:r>
        <w:rPr>
          <w:i/>
          <w:lang w:val="en-US"/>
        </w:rPr>
        <w:t>R</w:t>
      </w:r>
      <w:r w:rsidR="00E06346">
        <w:rPr>
          <w:i/>
          <w:lang w:val="en-US"/>
        </w:rPr>
        <w:t>ISK</w:t>
      </w:r>
      <w:r w:rsidR="00E06346">
        <w:rPr>
          <w:lang w:val="en-US"/>
        </w:rPr>
        <w:t>, November</w:t>
      </w:r>
      <w:r>
        <w:rPr>
          <w:lang w:val="en-US"/>
        </w:rPr>
        <w:t xml:space="preserve"> 2008, pp. 7</w:t>
      </w:r>
      <w:r w:rsidR="00E14463">
        <w:rPr>
          <w:lang w:val="en-US"/>
        </w:rPr>
        <w:t>8-81</w:t>
      </w:r>
      <w:r>
        <w:rPr>
          <w:lang w:val="en-US"/>
        </w:rPr>
        <w:t xml:space="preserve">. </w:t>
      </w:r>
    </w:p>
    <w:p w:rsidR="00510799" w:rsidRPr="00510799" w:rsidRDefault="00510799" w:rsidP="00510799">
      <w:pPr>
        <w:spacing w:line="480" w:lineRule="auto"/>
        <w:rPr>
          <w:szCs w:val="20"/>
          <w:lang w:val="en-US"/>
        </w:rPr>
      </w:pPr>
      <w:r w:rsidRPr="00510799">
        <w:rPr>
          <w:rStyle w:val="apple-style-span"/>
          <w:color w:val="000000"/>
          <w:szCs w:val="20"/>
        </w:rPr>
        <w:t>Pflug, G. Ch.  “Some remarks on the value-at-risk and the conditional value-at-risk.” In S. Uryasev, ed., Probabilistic Constrained Optimization: Methodology and Applications, Dordrecht: Kluwer, 2000, pp. 272-281.</w:t>
      </w:r>
    </w:p>
    <w:p w:rsidR="00654A1D" w:rsidRDefault="00A06793" w:rsidP="00654A1D">
      <w:pPr>
        <w:spacing w:line="480" w:lineRule="auto"/>
        <w:rPr>
          <w:lang w:val="en-US"/>
        </w:rPr>
      </w:pPr>
      <w:r>
        <w:rPr>
          <w:lang w:val="en-US"/>
        </w:rPr>
        <w:t xml:space="preserve">Price, </w:t>
      </w:r>
      <w:r w:rsidR="00654A1D" w:rsidRPr="00654A1D">
        <w:rPr>
          <w:lang w:val="en-US"/>
        </w:rPr>
        <w:t>K</w:t>
      </w:r>
      <w:r>
        <w:rPr>
          <w:lang w:val="en-US"/>
        </w:rPr>
        <w:t xml:space="preserve">.V., Storn, R.M. and Lampinen, J.A. </w:t>
      </w:r>
      <w:r w:rsidR="00654A1D" w:rsidRPr="00654A1D">
        <w:rPr>
          <w:lang w:val="en-US"/>
        </w:rPr>
        <w:t xml:space="preserve"> </w:t>
      </w:r>
      <w:r w:rsidRPr="00654A1D">
        <w:rPr>
          <w:lang w:val="en-US"/>
        </w:rPr>
        <w:t>Differential Evolution - A Practical Approach to Global Optimization.</w:t>
      </w:r>
      <w:r>
        <w:rPr>
          <w:lang w:val="en-US"/>
        </w:rPr>
        <w:t xml:space="preserve"> </w:t>
      </w:r>
      <w:r w:rsidRPr="00654A1D">
        <w:rPr>
          <w:lang w:val="en-US"/>
        </w:rPr>
        <w:t xml:space="preserve">  Springer-Verlag</w:t>
      </w:r>
      <w:r w:rsidR="00B85893">
        <w:rPr>
          <w:lang w:val="en-US"/>
        </w:rPr>
        <w:t xml:space="preserve">, 2006. </w:t>
      </w:r>
    </w:p>
    <w:p w:rsidR="00D7392C" w:rsidRDefault="00D7392C" w:rsidP="00D7392C">
      <w:pPr>
        <w:spacing w:line="480" w:lineRule="auto"/>
        <w:rPr>
          <w:lang w:val="en-US"/>
        </w:rPr>
      </w:pPr>
      <w:r>
        <w:rPr>
          <w:lang w:val="en-US"/>
        </w:rPr>
        <w:t xml:space="preserve">Qian, Edward E. “Risk parity portfolios: Efficient portfolios through true diversification of risk.” Panagora Asset Management, September. </w:t>
      </w:r>
    </w:p>
    <w:p w:rsidR="00782C89" w:rsidRDefault="00782C89" w:rsidP="00782C89">
      <w:pPr>
        <w:spacing w:line="480" w:lineRule="auto"/>
        <w:rPr>
          <w:lang w:val="en-US"/>
        </w:rPr>
      </w:pPr>
      <w:r>
        <w:rPr>
          <w:lang w:val="en-US"/>
        </w:rPr>
        <w:t xml:space="preserve">Scaillet, Olivier. “Nonparametric estimation and sensitivity analysis of expected shortfall.” </w:t>
      </w:r>
      <w:r>
        <w:rPr>
          <w:i/>
          <w:lang w:val="en-US"/>
        </w:rPr>
        <w:t>Mathematical Finance</w:t>
      </w:r>
      <w:r>
        <w:rPr>
          <w:lang w:val="en-US"/>
        </w:rPr>
        <w:t xml:space="preserve">, Vol. 14 (2002), pp. 74-86. </w:t>
      </w:r>
    </w:p>
    <w:p w:rsidR="009F7F95" w:rsidRDefault="009F7F95" w:rsidP="009F7F95">
      <w:pPr>
        <w:spacing w:line="480" w:lineRule="auto"/>
        <w:rPr>
          <w:lang w:val="en-US"/>
        </w:rPr>
      </w:pPr>
      <w:r>
        <w:rPr>
          <w:lang w:val="en-US"/>
        </w:rPr>
        <w:t xml:space="preserve">Scherer, B. Portfolio Construction &amp; Risk Budgeting. London: Risk Books, 2002. </w:t>
      </w:r>
    </w:p>
    <w:p w:rsidR="00241B5F" w:rsidRDefault="00241B5F" w:rsidP="00241B5F">
      <w:pPr>
        <w:spacing w:line="480" w:lineRule="auto"/>
        <w:rPr>
          <w:lang w:val="en-US"/>
        </w:rPr>
      </w:pPr>
      <w:r>
        <w:rPr>
          <w:lang w:val="en-US"/>
        </w:rPr>
        <w:t>Stoyanov, Stoyan, Rachev, Svetlozar T</w:t>
      </w:r>
      <w:r w:rsidR="0015411F">
        <w:rPr>
          <w:lang w:val="en-US"/>
        </w:rPr>
        <w:t>.</w:t>
      </w:r>
      <w:r>
        <w:rPr>
          <w:lang w:val="en-US"/>
        </w:rPr>
        <w:t xml:space="preserve"> and Frank J</w:t>
      </w:r>
      <w:r w:rsidR="0015411F">
        <w:rPr>
          <w:lang w:val="en-US"/>
        </w:rPr>
        <w:t>.</w:t>
      </w:r>
      <w:r>
        <w:rPr>
          <w:lang w:val="en-US"/>
        </w:rPr>
        <w:t xml:space="preserve"> Fabozzi. “Sensitivity of portfolio VaR and CVaR to portfolio return characteristics.” Universität Karlsruhe working paper, 2009. </w:t>
      </w:r>
    </w:p>
    <w:p w:rsidR="00241B5F" w:rsidRDefault="000B4FAA" w:rsidP="00782C89">
      <w:pPr>
        <w:spacing w:line="480" w:lineRule="auto"/>
        <w:rPr>
          <w:lang w:val="en-US"/>
        </w:rPr>
      </w:pPr>
      <w:r>
        <w:rPr>
          <w:lang w:val="en-US"/>
        </w:rPr>
        <w:br w:type="page"/>
      </w:r>
    </w:p>
    <w:p w:rsidR="00EC6260" w:rsidRDefault="00EC6260" w:rsidP="00EC6260">
      <w:pPr>
        <w:pStyle w:val="Heading1"/>
        <w:numPr>
          <w:ilvl w:val="0"/>
          <w:numId w:val="0"/>
        </w:numPr>
        <w:spacing w:line="480" w:lineRule="auto"/>
        <w:rPr>
          <w:lang w:val="en-US"/>
        </w:rPr>
      </w:pPr>
      <w:r>
        <w:rPr>
          <w:lang w:val="en-US"/>
        </w:rPr>
        <w:t>APPENDIX</w:t>
      </w:r>
    </w:p>
    <w:p w:rsidR="00AF1890" w:rsidRPr="008B4C94" w:rsidRDefault="00AF1890" w:rsidP="00AF1890">
      <w:pPr>
        <w:pStyle w:val="Heading2"/>
        <w:numPr>
          <w:ilvl w:val="0"/>
          <w:numId w:val="0"/>
        </w:numPr>
        <w:ind w:left="340" w:hanging="340"/>
        <w:rPr>
          <w:lang w:val="en-US"/>
        </w:rPr>
      </w:pPr>
      <w:r w:rsidRPr="008B4C94">
        <w:rPr>
          <w:lang w:val="en-US"/>
        </w:rPr>
        <w:t>CVaR BUDGET OF MINIMUM CVaR PORTFOLIO</w:t>
      </w:r>
    </w:p>
    <w:p w:rsidR="00AF1890" w:rsidRDefault="00AF1890" w:rsidP="00AF1890">
      <w:pPr>
        <w:autoSpaceDE w:val="0"/>
        <w:autoSpaceDN w:val="0"/>
        <w:adjustRightInd w:val="0"/>
        <w:spacing w:line="480" w:lineRule="auto"/>
        <w:rPr>
          <w:lang w:val="en-US"/>
        </w:rPr>
      </w:pPr>
      <w:r>
        <w:rPr>
          <w:lang w:val="en-US"/>
        </w:rPr>
        <w:t>The first order conditions of the minimum CVaR portfolio are that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13"/>
        <w:gridCol w:w="567"/>
      </w:tblGrid>
      <w:tr w:rsidR="00AF1890" w:rsidTr="00137768">
        <w:trPr>
          <w:trHeight w:val="1081"/>
        </w:trPr>
        <w:tc>
          <w:tcPr>
            <w:tcW w:w="8613" w:type="dxa"/>
            <w:tcBorders>
              <w:top w:val="nil"/>
              <w:left w:val="nil"/>
              <w:bottom w:val="nil"/>
              <w:right w:val="nil"/>
            </w:tcBorders>
          </w:tcPr>
          <w:p w:rsidR="00AF1890" w:rsidRDefault="00AF1890" w:rsidP="00137768">
            <w:pPr>
              <w:spacing w:line="480" w:lineRule="auto"/>
              <w:jc w:val="center"/>
              <w:rPr>
                <w:lang w:val="en-US"/>
              </w:rPr>
            </w:pPr>
            <w:r w:rsidRPr="008B4C94">
              <w:rPr>
                <w:position w:val="-34"/>
                <w:lang w:val="en-US"/>
              </w:rPr>
              <w:object w:dxaOrig="2880" w:dyaOrig="760">
                <v:shape id="_x0000_i1101" type="#_x0000_t75" style="width:2in;height:38.25pt" o:ole="">
                  <v:imagedata r:id="rId158" o:title=""/>
                </v:shape>
                <o:OLEObject Type="Embed" ProgID="Equation.3" ShapeID="_x0000_i1101" DrawAspect="Content" ObjectID="_1343658040" r:id="rId159"/>
              </w:object>
            </w:r>
          </w:p>
        </w:tc>
        <w:tc>
          <w:tcPr>
            <w:tcW w:w="567" w:type="dxa"/>
            <w:tcBorders>
              <w:top w:val="nil"/>
              <w:left w:val="nil"/>
              <w:bottom w:val="nil"/>
              <w:right w:val="nil"/>
            </w:tcBorders>
            <w:vAlign w:val="center"/>
          </w:tcPr>
          <w:p w:rsidR="00AF1890" w:rsidRDefault="00AF1890" w:rsidP="00C7763C">
            <w:pPr>
              <w:spacing w:line="480" w:lineRule="auto"/>
              <w:jc w:val="right"/>
              <w:rPr>
                <w:lang w:val="en-US"/>
              </w:rPr>
            </w:pPr>
            <w:r>
              <w:rPr>
                <w:lang w:val="en-US"/>
              </w:rPr>
              <w:t>(</w:t>
            </w:r>
            <w:r w:rsidR="004E4981">
              <w:rPr>
                <w:lang w:val="en-US"/>
              </w:rPr>
              <w:t>2</w:t>
            </w:r>
            <w:r w:rsidR="005702D3">
              <w:rPr>
                <w:lang w:val="en-US"/>
              </w:rPr>
              <w:t>2</w:t>
            </w:r>
            <w:r>
              <w:rPr>
                <w:lang w:val="en-US"/>
              </w:rPr>
              <w:t>)</w:t>
            </w:r>
          </w:p>
        </w:tc>
      </w:tr>
    </w:tbl>
    <w:p w:rsidR="00AF1890" w:rsidRDefault="00990C86" w:rsidP="00AF1890">
      <w:pPr>
        <w:spacing w:line="360" w:lineRule="auto"/>
        <w:rPr>
          <w:lang w:val="en-US"/>
        </w:rPr>
      </w:pPr>
      <w:r>
        <w:rPr>
          <w:lang w:val="en-US"/>
        </w:rPr>
        <w:t>By</w:t>
      </w:r>
      <w:r w:rsidR="00AF1890">
        <w:rPr>
          <w:lang w:val="en-US"/>
        </w:rPr>
        <w:t xml:space="preserve"> l’Hôpital’s rule we have that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05"/>
        <w:gridCol w:w="584"/>
      </w:tblGrid>
      <w:tr w:rsidR="00AF1890" w:rsidTr="00137768">
        <w:trPr>
          <w:trHeight w:val="1081"/>
        </w:trPr>
        <w:tc>
          <w:tcPr>
            <w:tcW w:w="8481" w:type="dxa"/>
            <w:tcBorders>
              <w:top w:val="nil"/>
              <w:left w:val="nil"/>
              <w:bottom w:val="nil"/>
              <w:right w:val="nil"/>
            </w:tcBorders>
          </w:tcPr>
          <w:p w:rsidR="00AF1890" w:rsidRDefault="00AF1890" w:rsidP="00137768">
            <w:pPr>
              <w:spacing w:line="480" w:lineRule="auto"/>
              <w:jc w:val="center"/>
              <w:rPr>
                <w:lang w:val="en-US"/>
              </w:rPr>
            </w:pPr>
            <w:r w:rsidRPr="00DA66BF">
              <w:rPr>
                <w:position w:val="-68"/>
                <w:lang w:val="en-US"/>
              </w:rPr>
              <w:object w:dxaOrig="8380" w:dyaOrig="1480">
                <v:shape id="_x0000_i1102" type="#_x0000_t75" style="width:419.25pt;height:73.9pt" o:ole="">
                  <v:imagedata r:id="rId160" o:title=""/>
                </v:shape>
                <o:OLEObject Type="Embed" ProgID="Equation.3" ShapeID="_x0000_i1102" DrawAspect="Content" ObjectID="_1343658041" r:id="rId161"/>
              </w:object>
            </w:r>
          </w:p>
        </w:tc>
        <w:tc>
          <w:tcPr>
            <w:tcW w:w="584" w:type="dxa"/>
            <w:tcBorders>
              <w:top w:val="nil"/>
              <w:left w:val="nil"/>
              <w:bottom w:val="nil"/>
              <w:right w:val="nil"/>
            </w:tcBorders>
            <w:vAlign w:val="center"/>
          </w:tcPr>
          <w:p w:rsidR="00AF1890" w:rsidRDefault="00AF1890" w:rsidP="005702D3">
            <w:pPr>
              <w:spacing w:line="480" w:lineRule="auto"/>
              <w:jc w:val="right"/>
              <w:rPr>
                <w:lang w:val="en-US"/>
              </w:rPr>
            </w:pPr>
            <w:r>
              <w:rPr>
                <w:lang w:val="en-US"/>
              </w:rPr>
              <w:t>(2</w:t>
            </w:r>
            <w:r w:rsidR="005702D3">
              <w:rPr>
                <w:lang w:val="en-US"/>
              </w:rPr>
              <w:t>3</w:t>
            </w:r>
            <w:r>
              <w:rPr>
                <w:lang w:val="en-US"/>
              </w:rPr>
              <w:t>)</w:t>
            </w:r>
          </w:p>
        </w:tc>
      </w:tr>
    </w:tbl>
    <w:p w:rsidR="00AF1890" w:rsidRDefault="00AF1890" w:rsidP="00AF1890">
      <w:pPr>
        <w:rPr>
          <w:lang w:val="en-US"/>
        </w:rPr>
      </w:pPr>
      <w:r>
        <w:rPr>
          <w:lang w:val="en-US"/>
        </w:rPr>
        <w:t xml:space="preserve">Hence the weight and CVaR allocation coincide for the minimum CVaR portfolio.  </w:t>
      </w:r>
    </w:p>
    <w:p w:rsidR="003820D2" w:rsidRPr="009750A7" w:rsidRDefault="003820D2" w:rsidP="003820D2">
      <w:pPr>
        <w:spacing w:line="480" w:lineRule="auto"/>
        <w:rPr>
          <w:lang w:val="en-US"/>
        </w:rPr>
      </w:pPr>
    </w:p>
    <w:p w:rsidR="00746A54" w:rsidRPr="008B4C94" w:rsidRDefault="00746A54" w:rsidP="00746A54">
      <w:pPr>
        <w:pStyle w:val="Heading2"/>
        <w:numPr>
          <w:ilvl w:val="0"/>
          <w:numId w:val="0"/>
        </w:numPr>
        <w:ind w:left="340" w:hanging="340"/>
        <w:rPr>
          <w:lang w:val="en-US"/>
        </w:rPr>
      </w:pPr>
      <w:r>
        <w:rPr>
          <w:lang w:val="en-US"/>
        </w:rPr>
        <w:t>EQUAL CVaR CONTRIBUTION PORTFOLIO UNDER A ZERO MEAN NORMAL DISTRIBUTION</w:t>
      </w:r>
    </w:p>
    <w:p w:rsidR="00746A54" w:rsidRDefault="00746A54" w:rsidP="00746A54">
      <w:pPr>
        <w:spacing w:line="480" w:lineRule="auto"/>
      </w:pPr>
      <w:r>
        <w:t xml:space="preserve">Consider a two-asset portfolio with asset returns that have a normal distribution with means </w:t>
      </w:r>
      <w:r w:rsidRPr="0049075A">
        <w:rPr>
          <w:position w:val="-10"/>
        </w:rPr>
        <w:object w:dxaOrig="320" w:dyaOrig="360">
          <v:shape id="_x0000_i1103" type="#_x0000_t75" style="width:15.95pt;height:17.85pt" o:ole="">
            <v:imagedata r:id="rId110" o:title=""/>
          </v:shape>
          <o:OLEObject Type="Embed" ProgID="Equation.3" ShapeID="_x0000_i1103" DrawAspect="Content" ObjectID="_1343658042" r:id="rId162"/>
        </w:object>
      </w:r>
      <w:r w:rsidR="00866B6A">
        <w:t xml:space="preserve"> </w:t>
      </w:r>
      <w:r>
        <w:t xml:space="preserve">and </w:t>
      </w:r>
      <w:r w:rsidRPr="0049075A">
        <w:rPr>
          <w:position w:val="-10"/>
        </w:rPr>
        <w:object w:dxaOrig="320" w:dyaOrig="360">
          <v:shape id="_x0000_i1104" type="#_x0000_t75" style="width:15.95pt;height:17.85pt" o:ole="">
            <v:imagedata r:id="rId112" o:title=""/>
          </v:shape>
          <o:OLEObject Type="Embed" ProgID="Equation.3" ShapeID="_x0000_i1104" DrawAspect="Content" ObjectID="_1343658043" r:id="rId163"/>
        </w:object>
      </w:r>
      <w:r>
        <w:t xml:space="preserve">,  correlation </w:t>
      </w:r>
      <w:r w:rsidRPr="0049075A">
        <w:rPr>
          <w:position w:val="-10"/>
        </w:rPr>
        <w:object w:dxaOrig="240" w:dyaOrig="260">
          <v:shape id="_x0000_i1105" type="#_x0000_t75" style="width:12.1pt;height:12.75pt" o:ole="">
            <v:imagedata r:id="rId114" o:title=""/>
          </v:shape>
          <o:OLEObject Type="Embed" ProgID="Equation.3" ShapeID="_x0000_i1105" DrawAspect="Content" ObjectID="_1343658044" r:id="rId164"/>
        </w:object>
      </w:r>
      <w:r>
        <w:t xml:space="preserve">and standard deviations </w:t>
      </w:r>
      <w:r w:rsidRPr="0049075A">
        <w:rPr>
          <w:position w:val="-10"/>
        </w:rPr>
        <w:object w:dxaOrig="320" w:dyaOrig="360">
          <v:shape id="_x0000_i1106" type="#_x0000_t75" style="width:15.95pt;height:17.85pt" o:ole="">
            <v:imagedata r:id="rId116" o:title=""/>
          </v:shape>
          <o:OLEObject Type="Embed" ProgID="Equation.3" ShapeID="_x0000_i1106" DrawAspect="Content" ObjectID="_1343658045" r:id="rId165"/>
        </w:object>
      </w:r>
      <w:r>
        <w:t xml:space="preserve">and </w:t>
      </w:r>
      <w:r w:rsidRPr="0049075A">
        <w:rPr>
          <w:position w:val="-10"/>
        </w:rPr>
        <w:object w:dxaOrig="320" w:dyaOrig="360">
          <v:shape id="_x0000_i1107" type="#_x0000_t75" style="width:15.95pt;height:17.85pt" o:ole="">
            <v:imagedata r:id="rId118" o:title=""/>
          </v:shape>
          <o:OLEObject Type="Embed" ProgID="Equation.3" ShapeID="_x0000_i1107" DrawAspect="Content" ObjectID="_1343658046" r:id="rId166"/>
        </w:object>
      </w:r>
      <w:r>
        <w:t xml:space="preserve">. </w:t>
      </w:r>
      <w:r w:rsidR="003820D2">
        <w:t xml:space="preserve">We will show that there is a unique portfolio that satisfies the ERC constraint. </w:t>
      </w:r>
      <w:r>
        <w:t xml:space="preserve">Let </w:t>
      </w:r>
      <w:r w:rsidRPr="00746A54">
        <w:rPr>
          <w:position w:val="-4"/>
        </w:rPr>
        <w:object w:dxaOrig="220" w:dyaOrig="240">
          <v:shape id="_x0000_i1108" type="#_x0000_t75" style="width:10.85pt;height:12.1pt" o:ole="">
            <v:imagedata r:id="rId167" o:title=""/>
          </v:shape>
          <o:OLEObject Type="Embed" ProgID="Equation.3" ShapeID="_x0000_i1108" DrawAspect="Content" ObjectID="_1343658047" r:id="rId168"/>
        </w:object>
      </w:r>
      <w:r>
        <w:t xml:space="preserve"> be the corresponding covariance matrix. In this setting, the condition </w:t>
      </w:r>
      <w:r w:rsidRPr="00A26A8C">
        <w:rPr>
          <w:position w:val="-14"/>
        </w:rPr>
        <w:object w:dxaOrig="3019" w:dyaOrig="400">
          <v:shape id="_x0000_i1109" type="#_x0000_t75" style="width:151pt;height:19.75pt" o:ole="">
            <v:imagedata r:id="rId169" o:title=""/>
          </v:shape>
          <o:OLEObject Type="Embed" ProgID="Equation.3" ShapeID="_x0000_i1109" DrawAspect="Content" ObjectID="_1343658048" r:id="rId170"/>
        </w:object>
      </w:r>
      <w:r>
        <w:t>is equivalent to:</w:t>
      </w:r>
    </w:p>
    <w:tbl>
      <w:tblP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59"/>
        <w:gridCol w:w="556"/>
      </w:tblGrid>
      <w:tr w:rsidR="00746A54" w:rsidTr="009C49CC">
        <w:trPr>
          <w:trHeight w:val="613"/>
        </w:trPr>
        <w:tc>
          <w:tcPr>
            <w:tcW w:w="8659" w:type="dxa"/>
            <w:tcBorders>
              <w:top w:val="nil"/>
              <w:left w:val="nil"/>
              <w:bottom w:val="nil"/>
              <w:right w:val="nil"/>
            </w:tcBorders>
          </w:tcPr>
          <w:p w:rsidR="00746A54" w:rsidRDefault="00746A54" w:rsidP="005E0294">
            <w:pPr>
              <w:spacing w:line="480" w:lineRule="auto"/>
              <w:jc w:val="center"/>
              <w:rPr>
                <w:lang w:val="en-US"/>
              </w:rPr>
            </w:pPr>
            <w:r w:rsidRPr="000C4137">
              <w:rPr>
                <w:position w:val="-38"/>
                <w:lang w:val="en-US"/>
              </w:rPr>
              <w:object w:dxaOrig="5520" w:dyaOrig="840">
                <v:shape id="_x0000_i1110" type="#_x0000_t75" style="width:275.9pt;height:42.05pt" o:ole="">
                  <v:imagedata r:id="rId171" o:title=""/>
                </v:shape>
                <o:OLEObject Type="Embed" ProgID="Equation.3" ShapeID="_x0000_i1110" DrawAspect="Content" ObjectID="_1343658049" r:id="rId172"/>
              </w:object>
            </w:r>
          </w:p>
        </w:tc>
        <w:tc>
          <w:tcPr>
            <w:tcW w:w="556" w:type="dxa"/>
            <w:tcBorders>
              <w:top w:val="nil"/>
              <w:left w:val="nil"/>
              <w:bottom w:val="nil"/>
              <w:right w:val="nil"/>
            </w:tcBorders>
            <w:vAlign w:val="center"/>
          </w:tcPr>
          <w:p w:rsidR="00746A54" w:rsidRDefault="00746A54" w:rsidP="005702D3">
            <w:pPr>
              <w:spacing w:line="480" w:lineRule="auto"/>
              <w:jc w:val="center"/>
              <w:rPr>
                <w:lang w:val="en-US"/>
              </w:rPr>
            </w:pPr>
            <w:r>
              <w:rPr>
                <w:lang w:val="en-US"/>
              </w:rPr>
              <w:t>(</w:t>
            </w:r>
            <w:r w:rsidR="00AF1890">
              <w:rPr>
                <w:lang w:val="en-US"/>
              </w:rPr>
              <w:t>2</w:t>
            </w:r>
            <w:r w:rsidR="005702D3">
              <w:rPr>
                <w:lang w:val="en-US"/>
              </w:rPr>
              <w:t>4</w:t>
            </w:r>
            <w:r>
              <w:rPr>
                <w:lang w:val="en-US"/>
              </w:rPr>
              <w:t>)</w:t>
            </w:r>
          </w:p>
        </w:tc>
      </w:tr>
    </w:tbl>
    <w:p w:rsidR="00746A54" w:rsidRDefault="00746A54" w:rsidP="00695696">
      <w:pPr>
        <w:spacing w:line="480" w:lineRule="auto"/>
      </w:pPr>
      <w:r>
        <w:t>If we assume the means to be zero, the ERC condition in (</w:t>
      </w:r>
      <w:r w:rsidR="004E4981">
        <w:t>2</w:t>
      </w:r>
      <w:r w:rsidR="00787423">
        <w:t>3</w:t>
      </w:r>
      <w:r>
        <w:t xml:space="preserve">) simplifies to  </w:t>
      </w:r>
      <w:r w:rsidRPr="00A26A8C">
        <w:rPr>
          <w:position w:val="-14"/>
        </w:rPr>
        <w:object w:dxaOrig="1640" w:dyaOrig="400">
          <v:shape id="_x0000_i1111" type="#_x0000_t75" style="width:82.2pt;height:19.75pt" o:ole="">
            <v:imagedata r:id="rId173" o:title=""/>
          </v:shape>
          <o:OLEObject Type="Embed" ProgID="Equation.3" ShapeID="_x0000_i1111" DrawAspect="Content" ObjectID="_1343658050" r:id="rId174"/>
        </w:object>
      </w:r>
      <w:r>
        <w:t xml:space="preserve"> For a fully invested portfolio, this implies solving the quadratic equation </w:t>
      </w:r>
      <w:r w:rsidR="004A480C" w:rsidRPr="00A26A8C">
        <w:rPr>
          <w:position w:val="-14"/>
        </w:rPr>
        <w:object w:dxaOrig="3320" w:dyaOrig="400">
          <v:shape id="_x0000_i1112" type="#_x0000_t75" style="width:166.3pt;height:19.75pt" o:ole="">
            <v:imagedata r:id="rId175" o:title=""/>
          </v:shape>
          <o:OLEObject Type="Embed" ProgID="Equation.3" ShapeID="_x0000_i1112" DrawAspect="Content" ObjectID="_1343658051" r:id="rId176"/>
        </w:object>
      </w:r>
      <w:r w:rsidR="00695696">
        <w:t xml:space="preserve">with roots </w:t>
      </w:r>
      <w:r w:rsidR="00787423" w:rsidRPr="00E570D2">
        <w:rPr>
          <w:position w:val="-14"/>
        </w:rPr>
        <w:object w:dxaOrig="2079" w:dyaOrig="400">
          <v:shape id="_x0000_i1113" type="#_x0000_t75" style="width:103.85pt;height:19.75pt" o:ole="">
            <v:imagedata r:id="rId177" o:title=""/>
          </v:shape>
          <o:OLEObject Type="Embed" ProgID="Equation.3" ShapeID="_x0000_i1113" DrawAspect="Content" ObjectID="_1343658052" r:id="rId178"/>
        </w:object>
      </w:r>
      <w:r w:rsidR="00BA3C3E">
        <w:t xml:space="preserve">and </w:t>
      </w:r>
      <w:r w:rsidR="00787423" w:rsidRPr="00E570D2">
        <w:rPr>
          <w:position w:val="-14"/>
        </w:rPr>
        <w:object w:dxaOrig="2120" w:dyaOrig="400">
          <v:shape id="_x0000_i1114" type="#_x0000_t75" style="width:106.4pt;height:19.75pt" o:ole="">
            <v:imagedata r:id="rId179" o:title=""/>
          </v:shape>
          <o:OLEObject Type="Embed" ProgID="Equation.3" ShapeID="_x0000_i1114" DrawAspect="Content" ObjectID="_1343658053" r:id="rId180"/>
        </w:object>
      </w:r>
      <w:r w:rsidR="00BA3C3E">
        <w:t xml:space="preserve">The first solution does not satisfy the constraint </w:t>
      </w:r>
      <w:r w:rsidR="003860BB">
        <w:t xml:space="preserve">that the weights have to be between 0 and 1. </w:t>
      </w:r>
      <w:r w:rsidR="00787423">
        <w:t xml:space="preserve">Multiplying numerator and denominator of this weight with </w:t>
      </w:r>
      <w:r w:rsidR="00787423" w:rsidRPr="00787423">
        <w:rPr>
          <w:position w:val="-10"/>
        </w:rPr>
        <w:object w:dxaOrig="720" w:dyaOrig="360">
          <v:shape id="_x0000_i1115" type="#_x0000_t75" style="width:36.3pt;height:17.85pt" o:ole="">
            <v:imagedata r:id="rId181" o:title=""/>
          </v:shape>
          <o:OLEObject Type="Embed" ProgID="Equation.3" ShapeID="_x0000_i1115" DrawAspect="Content" ObjectID="_1343658054" r:id="rId182"/>
        </w:object>
      </w:r>
      <w:r w:rsidR="00787423">
        <w:rPr>
          <w:position w:val="-14"/>
        </w:rPr>
        <w:t xml:space="preserve"> </w:t>
      </w:r>
      <w:r w:rsidR="00787423">
        <w:t xml:space="preserve">yields an equivalent expression, namely: </w:t>
      </w:r>
      <w:r w:rsidR="00787423" w:rsidRPr="00E570D2">
        <w:rPr>
          <w:position w:val="-14"/>
        </w:rPr>
        <w:object w:dxaOrig="2360" w:dyaOrig="400">
          <v:shape id="_x0000_i1116" type="#_x0000_t75" style="width:118.5pt;height:19.75pt" o:ole="">
            <v:imagedata r:id="rId183" o:title=""/>
          </v:shape>
          <o:OLEObject Type="Embed" ProgID="Equation.3" ShapeID="_x0000_i1116" DrawAspect="Content" ObjectID="_1343658055" r:id="rId184"/>
        </w:object>
      </w:r>
      <w:r w:rsidR="00787423">
        <w:t xml:space="preserve">which corresponds to the ERC portfolio using standard deviation as a risk measure (Maillard, Roncalli and Teiletche [2010]). </w:t>
      </w:r>
    </w:p>
    <w:p w:rsidR="00756D06" w:rsidRPr="00787423" w:rsidRDefault="00756D06" w:rsidP="005A73EC">
      <w:pPr>
        <w:spacing w:line="360" w:lineRule="auto"/>
      </w:pPr>
    </w:p>
    <w:p w:rsidR="00355232" w:rsidRDefault="00355232" w:rsidP="00355232">
      <w:pPr>
        <w:pStyle w:val="Heading2"/>
        <w:numPr>
          <w:ilvl w:val="0"/>
          <w:numId w:val="0"/>
        </w:numPr>
        <w:ind w:left="340" w:hanging="340"/>
        <w:rPr>
          <w:lang w:val="en-US"/>
        </w:rPr>
      </w:pPr>
      <w:r>
        <w:rPr>
          <w:lang w:val="en-US"/>
        </w:rPr>
        <w:lastRenderedPageBreak/>
        <w:t xml:space="preserve">DETAILS ON </w:t>
      </w:r>
      <w:r w:rsidR="00510DE9">
        <w:rPr>
          <w:lang w:val="en-US"/>
        </w:rPr>
        <w:t xml:space="preserve">ESTIMATION </w:t>
      </w:r>
      <w:r w:rsidR="00FA43D4">
        <w:rPr>
          <w:lang w:val="en-US"/>
        </w:rPr>
        <w:t>METHOD</w:t>
      </w:r>
    </w:p>
    <w:p w:rsidR="00A251A0" w:rsidRDefault="00355232" w:rsidP="00355232">
      <w:pPr>
        <w:spacing w:line="480" w:lineRule="auto"/>
      </w:pPr>
      <w:r>
        <w:rPr>
          <w:lang w:val="en-US"/>
        </w:rPr>
        <w:t xml:space="preserve">Because of the non-normality in the data, we use </w:t>
      </w:r>
      <w:r>
        <w:t>the Cornish-Fisher CVaR estimator</w:t>
      </w:r>
      <w:r w:rsidR="00FA43D4">
        <w:t xml:space="preserve"> of Boudt, Peterson and Croux [2008]</w:t>
      </w:r>
      <w:r>
        <w:t xml:space="preserve">. Its implementation requires an estimate of the first four moments of the portfolio returns. </w:t>
      </w:r>
      <w:r w:rsidR="000C0DCF">
        <w:t xml:space="preserve">For the static portfolio, </w:t>
      </w:r>
      <w:r w:rsidR="004A480C">
        <w:t xml:space="preserve">the </w:t>
      </w:r>
      <w:r w:rsidR="000C0DCF">
        <w:t xml:space="preserve">moment estimates are </w:t>
      </w:r>
      <w:r w:rsidR="004A480C">
        <w:t>their samples counterparts</w:t>
      </w:r>
      <w:r w:rsidR="000C0DCF">
        <w:t xml:space="preserve"> using all data</w:t>
      </w:r>
      <w:r w:rsidR="00CA511F">
        <w:t xml:space="preserve"> available</w:t>
      </w:r>
      <w:r w:rsidR="000C0DCF">
        <w:t>. For the dynamic portfolio</w:t>
      </w:r>
      <w:r w:rsidR="00CA511F">
        <w:t xml:space="preserve"> allocation</w:t>
      </w:r>
      <w:r w:rsidR="000C0DCF">
        <w:t xml:space="preserve">, </w:t>
      </w:r>
      <w:r w:rsidR="00EC239A">
        <w:t>time-varying conditional</w:t>
      </w:r>
      <w:r w:rsidR="00AE1190">
        <w:t xml:space="preserve"> moment estimates are </w:t>
      </w:r>
      <w:r w:rsidR="00EC239A">
        <w:t>obtained as follows</w:t>
      </w:r>
      <w:r w:rsidR="007554D4">
        <w:t>.</w:t>
      </w:r>
      <w:r>
        <w:t xml:space="preserve"> We </w:t>
      </w:r>
      <w:r w:rsidR="000C0DCF">
        <w:t xml:space="preserve">first </w:t>
      </w:r>
      <w:r>
        <w:t xml:space="preserve">center the returns </w:t>
      </w:r>
      <w:r w:rsidR="00EC239A">
        <w:t>around</w:t>
      </w:r>
      <w:r>
        <w:t xml:space="preserve"> a</w:t>
      </w:r>
      <w:r w:rsidR="00C86074">
        <w:t xml:space="preserve">n exponentially weighted average of </w:t>
      </w:r>
      <w:r>
        <w:t>the return</w:t>
      </w:r>
      <w:r w:rsidR="00C86074">
        <w:t>s</w:t>
      </w:r>
      <w:r>
        <w:t xml:space="preserve"> over the past </w:t>
      </w:r>
      <w:r w:rsidR="002D61D6">
        <w:t>eight</w:t>
      </w:r>
      <w:r w:rsidR="00C86074">
        <w:t xml:space="preserve"> years</w:t>
      </w:r>
      <w:r w:rsidR="005131CF">
        <w:t>.</w:t>
      </w:r>
      <w:r w:rsidR="005706C2">
        <w:t xml:space="preserve"> </w:t>
      </w:r>
      <w:r>
        <w:t>The centere</w:t>
      </w:r>
      <w:r w:rsidR="00FA43D4">
        <w:t>d returns are modelled</w:t>
      </w:r>
      <w:r>
        <w:t xml:space="preserve"> </w:t>
      </w:r>
      <w:r w:rsidR="00FA43D4">
        <w:t xml:space="preserve">as </w:t>
      </w:r>
      <w:r>
        <w:t xml:space="preserve">a GARCH(1,1) process whose parameters are estimated by Gaussian quasi-maximum likelihood using all data available from inception up to the time for which the CVaR estimate is needed. </w:t>
      </w:r>
      <w:r w:rsidR="007554D4">
        <w:t xml:space="preserve">We then compute the </w:t>
      </w:r>
      <w:r w:rsidR="00A251A0">
        <w:t xml:space="preserve">innovations as the centered returns divided by their volatility estimate. </w:t>
      </w:r>
      <w:r w:rsidR="007554D4">
        <w:t xml:space="preserve">The </w:t>
      </w:r>
      <w:r w:rsidR="00A251A0">
        <w:t xml:space="preserve">correlation, </w:t>
      </w:r>
      <w:r w:rsidR="007554D4">
        <w:t>coskewness and cokurtosis matrices of these innovations are then estimated</w:t>
      </w:r>
      <w:r w:rsidR="00A251A0">
        <w:t xml:space="preserve"> as the rolling </w:t>
      </w:r>
      <w:r w:rsidR="002D61D6">
        <w:t>eight</w:t>
      </w:r>
      <w:r w:rsidR="00A251A0">
        <w:t xml:space="preserve"> year sample correlation, coskewness and cokurtosis matrix of a winsorized version of the</w:t>
      </w:r>
      <w:r w:rsidR="007554D4">
        <w:t>se</w:t>
      </w:r>
      <w:r w:rsidR="00A251A0">
        <w:t xml:space="preserve"> innovations. </w:t>
      </w:r>
      <w:r w:rsidR="00EC239A">
        <w:t xml:space="preserve">The winsorization ensures the outlier-robustness of the estimates and is described in </w:t>
      </w:r>
      <w:r>
        <w:t xml:space="preserve">Boudt, Peterson and Croux [2008]. </w:t>
      </w:r>
    </w:p>
    <w:sectPr w:rsidR="00A251A0" w:rsidSect="005D674D">
      <w:footerReference w:type="even" r:id="rId185"/>
      <w:footerReference w:type="default" r:id="rId186"/>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6B34" w:rsidRDefault="00966B34">
      <w:r>
        <w:separator/>
      </w:r>
    </w:p>
  </w:endnote>
  <w:endnote w:type="continuationSeparator" w:id="0">
    <w:p w:rsidR="00966B34" w:rsidRDefault="00966B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6DF" w:rsidRDefault="003F46DF" w:rsidP="008204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F46DF" w:rsidRDefault="003F46DF" w:rsidP="00F33B2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6DF" w:rsidRDefault="003F46DF">
    <w:pPr>
      <w:pStyle w:val="Footer"/>
      <w:jc w:val="center"/>
    </w:pPr>
    <w:fldSimple w:instr=" PAGE   \* MERGEFORMAT ">
      <w:r w:rsidR="00CB7A23">
        <w:rPr>
          <w:noProof/>
        </w:rPr>
        <w:t>11</w:t>
      </w:r>
    </w:fldSimple>
  </w:p>
  <w:p w:rsidR="003F46DF" w:rsidRDefault="003F46DF" w:rsidP="00F33B2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6B34" w:rsidRDefault="00966B34">
      <w:r>
        <w:separator/>
      </w:r>
    </w:p>
  </w:footnote>
  <w:footnote w:type="continuationSeparator" w:id="0">
    <w:p w:rsidR="00966B34" w:rsidRDefault="00966B34">
      <w:r>
        <w:continuationSeparator/>
      </w:r>
    </w:p>
  </w:footnote>
  <w:footnote w:id="1">
    <w:p w:rsidR="003F46DF" w:rsidRPr="00B136B3" w:rsidRDefault="003F46DF">
      <w:pPr>
        <w:pStyle w:val="FootnoteText"/>
        <w:rPr>
          <w:lang w:val="en-US"/>
        </w:rPr>
      </w:pPr>
      <w:r>
        <w:rPr>
          <w:rStyle w:val="FootnoteReference"/>
        </w:rPr>
        <w:footnoteRef/>
      </w:r>
      <w:r>
        <w:t xml:space="preserve"> </w:t>
      </w:r>
      <w:r w:rsidRPr="00B136B3">
        <w:rPr>
          <w:lang w:val="en-US"/>
        </w:rPr>
        <w:t xml:space="preserve">Unfinished. This version: </w:t>
      </w:r>
      <w:r>
        <w:rPr>
          <w:lang w:val="en-US"/>
        </w:rPr>
        <w:t>August 18, 2010</w:t>
      </w:r>
      <w:r w:rsidRPr="00B136B3">
        <w:rPr>
          <w:lang w:val="en-US"/>
        </w:rPr>
        <w:t xml:space="preserve">. Comments are welcome. </w:t>
      </w:r>
    </w:p>
  </w:footnote>
  <w:footnote w:id="2">
    <w:p w:rsidR="003F46DF" w:rsidRDefault="003F46DF" w:rsidP="002214D1">
      <w:pPr>
        <w:ind w:firstLine="340"/>
        <w:rPr>
          <w:szCs w:val="20"/>
        </w:rPr>
      </w:pPr>
      <w:r>
        <w:rPr>
          <w:rStyle w:val="FootnoteReference"/>
        </w:rPr>
        <w:footnoteRef/>
      </w:r>
      <w:r>
        <w:t xml:space="preserve"> </w:t>
      </w:r>
      <w:r>
        <w:rPr>
          <w:szCs w:val="20"/>
        </w:rPr>
        <w:t xml:space="preserve">For our sample, the bear market periods are September-November 1987, June-October 1990, July-August 1998 and November 2007-February 2009.   </w:t>
      </w:r>
    </w:p>
    <w:p w:rsidR="003F46DF" w:rsidRPr="002214D1" w:rsidRDefault="003F46DF">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EAB"/>
    <w:multiLevelType w:val="multilevel"/>
    <w:tmpl w:val="5308C9F0"/>
    <w:lvl w:ilvl="0">
      <w:start w:val="1"/>
      <w:numFmt w:val="decimal"/>
      <w:pStyle w:val="Heading1"/>
      <w:lvlText w:val="%1"/>
      <w:lvlJc w:val="left"/>
      <w:pPr>
        <w:tabs>
          <w:tab w:val="num" w:pos="360"/>
        </w:tabs>
        <w:ind w:left="170" w:hanging="170"/>
      </w:pPr>
      <w:rPr>
        <w:rFonts w:hint="default"/>
      </w:rPr>
    </w:lvl>
    <w:lvl w:ilvl="1">
      <w:start w:val="1"/>
      <w:numFmt w:val="decimal"/>
      <w:pStyle w:val="Heading2"/>
      <w:lvlText w:val="%1.%2"/>
      <w:lvlJc w:val="left"/>
      <w:pPr>
        <w:tabs>
          <w:tab w:val="num" w:pos="360"/>
        </w:tabs>
        <w:ind w:left="340" w:hanging="340"/>
      </w:pPr>
      <w:rPr>
        <w:rFonts w:hint="default"/>
      </w:rPr>
    </w:lvl>
    <w:lvl w:ilvl="2">
      <w:start w:val="1"/>
      <w:numFmt w:val="decimal"/>
      <w:pStyle w:val="Heading3"/>
      <w:lvlText w:val="%1.%2.%3"/>
      <w:lvlJc w:val="left"/>
      <w:pPr>
        <w:tabs>
          <w:tab w:val="num" w:pos="510"/>
        </w:tabs>
        <w:ind w:left="510" w:hanging="510"/>
      </w:pPr>
      <w:rPr>
        <w:rFonts w:hint="default"/>
      </w:rPr>
    </w:lvl>
    <w:lvl w:ilvl="3">
      <w:start w:val="1"/>
      <w:numFmt w:val="none"/>
      <w:pStyle w:val="Heading4"/>
      <w:lvlText w:val="INVALID SELECTION"/>
      <w:lvlJc w:val="left"/>
      <w:pPr>
        <w:tabs>
          <w:tab w:val="num" w:pos="2520"/>
        </w:tabs>
        <w:ind w:left="864" w:hanging="864"/>
      </w:pPr>
      <w:rPr>
        <w:rFonts w:ascii="Arial Black" w:hAnsi="Arial Black" w:hint="default"/>
        <w:sz w:val="20"/>
      </w:rPr>
    </w:lvl>
    <w:lvl w:ilvl="4">
      <w:start w:val="1"/>
      <w:numFmt w:val="none"/>
      <w:pStyle w:val="Heading5"/>
      <w:lvlText w:val="INVALID SELECTION"/>
      <w:lvlJc w:val="left"/>
      <w:pPr>
        <w:tabs>
          <w:tab w:val="num" w:pos="2520"/>
        </w:tabs>
        <w:ind w:left="1008" w:hanging="1008"/>
      </w:pPr>
      <w:rPr>
        <w:rFonts w:ascii="Arial Black" w:hAnsi="Arial Black" w:hint="default"/>
        <w:sz w:val="20"/>
      </w:rPr>
    </w:lvl>
    <w:lvl w:ilvl="5">
      <w:start w:val="1"/>
      <w:numFmt w:val="none"/>
      <w:pStyle w:val="Heading6"/>
      <w:lvlText w:val="INVALID SELECTION"/>
      <w:lvlJc w:val="left"/>
      <w:pPr>
        <w:tabs>
          <w:tab w:val="num" w:pos="2520"/>
        </w:tabs>
        <w:ind w:left="1152" w:hanging="1152"/>
      </w:pPr>
      <w:rPr>
        <w:rFonts w:ascii="Arial Black" w:hAnsi="Arial Black" w:hint="default"/>
        <w:sz w:val="20"/>
      </w:rPr>
    </w:lvl>
    <w:lvl w:ilvl="6">
      <w:start w:val="1"/>
      <w:numFmt w:val="none"/>
      <w:pStyle w:val="Heading7"/>
      <w:lvlText w:val="INVALID SELECTION"/>
      <w:lvlJc w:val="left"/>
      <w:pPr>
        <w:tabs>
          <w:tab w:val="num" w:pos="2520"/>
        </w:tabs>
        <w:ind w:left="1296" w:hanging="1296"/>
      </w:pPr>
      <w:rPr>
        <w:rFonts w:ascii="Arial Black" w:hAnsi="Arial Black" w:hint="default"/>
        <w:sz w:val="20"/>
      </w:rPr>
    </w:lvl>
    <w:lvl w:ilvl="7">
      <w:start w:val="1"/>
      <w:numFmt w:val="none"/>
      <w:pStyle w:val="Heading8"/>
      <w:lvlText w:val="INVALID SELECTION"/>
      <w:lvlJc w:val="left"/>
      <w:pPr>
        <w:tabs>
          <w:tab w:val="num" w:pos="2520"/>
        </w:tabs>
        <w:ind w:left="1440" w:hanging="1440"/>
      </w:pPr>
      <w:rPr>
        <w:rFonts w:ascii="Arial Black" w:hAnsi="Arial Black" w:hint="default"/>
        <w:sz w:val="20"/>
      </w:rPr>
    </w:lvl>
    <w:lvl w:ilvl="8">
      <w:start w:val="1"/>
      <w:numFmt w:val="none"/>
      <w:pStyle w:val="Heading9"/>
      <w:lvlText w:val="INVALID SELECTION"/>
      <w:lvlJc w:val="left"/>
      <w:pPr>
        <w:tabs>
          <w:tab w:val="num" w:pos="2520"/>
        </w:tabs>
        <w:ind w:left="1584" w:hanging="1584"/>
      </w:pPr>
      <w:rPr>
        <w:rFonts w:ascii="Arial Black" w:hAnsi="Arial Black" w:hint="default"/>
        <w:sz w:val="20"/>
      </w:rPr>
    </w:lvl>
  </w:abstractNum>
  <w:abstractNum w:abstractNumId="1">
    <w:nsid w:val="04A72DCF"/>
    <w:multiLevelType w:val="hybridMultilevel"/>
    <w:tmpl w:val="73FE4D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1072135"/>
    <w:multiLevelType w:val="hybridMultilevel"/>
    <w:tmpl w:val="2C2A9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60EDB"/>
    <w:multiLevelType w:val="hybridMultilevel"/>
    <w:tmpl w:val="C432418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0005AF"/>
    <w:multiLevelType w:val="hybridMultilevel"/>
    <w:tmpl w:val="18EC66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946441"/>
    <w:multiLevelType w:val="hybridMultilevel"/>
    <w:tmpl w:val="0744152C"/>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E03A6F"/>
    <w:multiLevelType w:val="multilevel"/>
    <w:tmpl w:val="0BAAE67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4CD5425D"/>
    <w:multiLevelType w:val="hybridMultilevel"/>
    <w:tmpl w:val="0744152C"/>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07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48D4883"/>
    <w:multiLevelType w:val="hybridMultilevel"/>
    <w:tmpl w:val="BC8265F0"/>
    <w:lvl w:ilvl="0" w:tplc="D8FA971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2F50084"/>
    <w:multiLevelType w:val="hybridMultilevel"/>
    <w:tmpl w:val="381E3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10"/>
  </w:num>
  <w:num w:numId="5">
    <w:abstractNumId w:val="8"/>
  </w:num>
  <w:num w:numId="6">
    <w:abstractNumId w:val="6"/>
  </w:num>
  <w:num w:numId="7">
    <w:abstractNumId w:val="2"/>
  </w:num>
  <w:num w:numId="8">
    <w:abstractNumId w:val="5"/>
  </w:num>
  <w:num w:numId="9">
    <w:abstractNumId w:val="7"/>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stylePaneFormatFilter w:val="3F01"/>
  <w:doNotTrackMoves/>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C56C2"/>
    <w:rsid w:val="0000070B"/>
    <w:rsid w:val="0000074C"/>
    <w:rsid w:val="00000997"/>
    <w:rsid w:val="00002448"/>
    <w:rsid w:val="00002552"/>
    <w:rsid w:val="00002635"/>
    <w:rsid w:val="00002D35"/>
    <w:rsid w:val="000036A0"/>
    <w:rsid w:val="00003890"/>
    <w:rsid w:val="00010C9C"/>
    <w:rsid w:val="00010F9E"/>
    <w:rsid w:val="00011156"/>
    <w:rsid w:val="00011162"/>
    <w:rsid w:val="000116DB"/>
    <w:rsid w:val="00011E4A"/>
    <w:rsid w:val="00012D20"/>
    <w:rsid w:val="00013344"/>
    <w:rsid w:val="000142DC"/>
    <w:rsid w:val="0001451D"/>
    <w:rsid w:val="00015488"/>
    <w:rsid w:val="00015606"/>
    <w:rsid w:val="0001648E"/>
    <w:rsid w:val="00017AB3"/>
    <w:rsid w:val="00017CC0"/>
    <w:rsid w:val="0002060C"/>
    <w:rsid w:val="00020EA0"/>
    <w:rsid w:val="00022159"/>
    <w:rsid w:val="00022C4F"/>
    <w:rsid w:val="000246A2"/>
    <w:rsid w:val="00024D4A"/>
    <w:rsid w:val="00024E3A"/>
    <w:rsid w:val="000251A7"/>
    <w:rsid w:val="00025234"/>
    <w:rsid w:val="0002561D"/>
    <w:rsid w:val="000262A6"/>
    <w:rsid w:val="00026938"/>
    <w:rsid w:val="00027150"/>
    <w:rsid w:val="00030918"/>
    <w:rsid w:val="00031A78"/>
    <w:rsid w:val="00031CA5"/>
    <w:rsid w:val="00035766"/>
    <w:rsid w:val="00035996"/>
    <w:rsid w:val="00035F2D"/>
    <w:rsid w:val="00036FAB"/>
    <w:rsid w:val="00037900"/>
    <w:rsid w:val="0004008C"/>
    <w:rsid w:val="000409D8"/>
    <w:rsid w:val="000419AA"/>
    <w:rsid w:val="000420CF"/>
    <w:rsid w:val="00042691"/>
    <w:rsid w:val="000429A5"/>
    <w:rsid w:val="00043143"/>
    <w:rsid w:val="000443E6"/>
    <w:rsid w:val="00044F76"/>
    <w:rsid w:val="00045266"/>
    <w:rsid w:val="00045814"/>
    <w:rsid w:val="00045B99"/>
    <w:rsid w:val="00046366"/>
    <w:rsid w:val="000465DC"/>
    <w:rsid w:val="00046AFC"/>
    <w:rsid w:val="00046CD2"/>
    <w:rsid w:val="000471D4"/>
    <w:rsid w:val="0004775A"/>
    <w:rsid w:val="000502D1"/>
    <w:rsid w:val="000503C4"/>
    <w:rsid w:val="00050CAE"/>
    <w:rsid w:val="00050FF4"/>
    <w:rsid w:val="00051FE9"/>
    <w:rsid w:val="00052D8C"/>
    <w:rsid w:val="00053AA6"/>
    <w:rsid w:val="00054496"/>
    <w:rsid w:val="000544C6"/>
    <w:rsid w:val="000547CF"/>
    <w:rsid w:val="00054CAC"/>
    <w:rsid w:val="00055549"/>
    <w:rsid w:val="00055BB4"/>
    <w:rsid w:val="00055C87"/>
    <w:rsid w:val="0005675F"/>
    <w:rsid w:val="0005686E"/>
    <w:rsid w:val="0005700D"/>
    <w:rsid w:val="0005767C"/>
    <w:rsid w:val="00057807"/>
    <w:rsid w:val="000628A2"/>
    <w:rsid w:val="0006439C"/>
    <w:rsid w:val="000644AA"/>
    <w:rsid w:val="00066942"/>
    <w:rsid w:val="00067DBB"/>
    <w:rsid w:val="00070D3D"/>
    <w:rsid w:val="00070E8E"/>
    <w:rsid w:val="00071775"/>
    <w:rsid w:val="00071797"/>
    <w:rsid w:val="00071B7B"/>
    <w:rsid w:val="0007369E"/>
    <w:rsid w:val="00073DD1"/>
    <w:rsid w:val="00073FC4"/>
    <w:rsid w:val="00075668"/>
    <w:rsid w:val="00076F11"/>
    <w:rsid w:val="000771DE"/>
    <w:rsid w:val="000810B3"/>
    <w:rsid w:val="000816AE"/>
    <w:rsid w:val="000818FD"/>
    <w:rsid w:val="00081A1F"/>
    <w:rsid w:val="00081C3E"/>
    <w:rsid w:val="000822FC"/>
    <w:rsid w:val="000824C6"/>
    <w:rsid w:val="0008291B"/>
    <w:rsid w:val="00082926"/>
    <w:rsid w:val="00082962"/>
    <w:rsid w:val="000840FE"/>
    <w:rsid w:val="000845D1"/>
    <w:rsid w:val="00086134"/>
    <w:rsid w:val="000862AE"/>
    <w:rsid w:val="00086D99"/>
    <w:rsid w:val="00087B07"/>
    <w:rsid w:val="000904AB"/>
    <w:rsid w:val="00090CFF"/>
    <w:rsid w:val="00091835"/>
    <w:rsid w:val="00091C40"/>
    <w:rsid w:val="00091C55"/>
    <w:rsid w:val="00091DD1"/>
    <w:rsid w:val="0009207F"/>
    <w:rsid w:val="00092406"/>
    <w:rsid w:val="00092E89"/>
    <w:rsid w:val="00092F85"/>
    <w:rsid w:val="000931D5"/>
    <w:rsid w:val="000945E5"/>
    <w:rsid w:val="00095C77"/>
    <w:rsid w:val="000966DB"/>
    <w:rsid w:val="00096ADF"/>
    <w:rsid w:val="00096C1D"/>
    <w:rsid w:val="000973BE"/>
    <w:rsid w:val="00097B2E"/>
    <w:rsid w:val="000A0272"/>
    <w:rsid w:val="000A1A00"/>
    <w:rsid w:val="000A3922"/>
    <w:rsid w:val="000A3D8D"/>
    <w:rsid w:val="000A54DE"/>
    <w:rsid w:val="000A563B"/>
    <w:rsid w:val="000A59A9"/>
    <w:rsid w:val="000A625C"/>
    <w:rsid w:val="000A69B0"/>
    <w:rsid w:val="000A7433"/>
    <w:rsid w:val="000A7891"/>
    <w:rsid w:val="000A791E"/>
    <w:rsid w:val="000B042E"/>
    <w:rsid w:val="000B1D6C"/>
    <w:rsid w:val="000B28B6"/>
    <w:rsid w:val="000B41EC"/>
    <w:rsid w:val="000B4FAA"/>
    <w:rsid w:val="000B6417"/>
    <w:rsid w:val="000B641A"/>
    <w:rsid w:val="000B6499"/>
    <w:rsid w:val="000B71BE"/>
    <w:rsid w:val="000C02B1"/>
    <w:rsid w:val="000C04EE"/>
    <w:rsid w:val="000C09BF"/>
    <w:rsid w:val="000C0DCF"/>
    <w:rsid w:val="000C0E04"/>
    <w:rsid w:val="000C3659"/>
    <w:rsid w:val="000C388A"/>
    <w:rsid w:val="000C3AA3"/>
    <w:rsid w:val="000C4137"/>
    <w:rsid w:val="000C43AC"/>
    <w:rsid w:val="000C4C01"/>
    <w:rsid w:val="000C51B5"/>
    <w:rsid w:val="000C577C"/>
    <w:rsid w:val="000C7303"/>
    <w:rsid w:val="000C75C3"/>
    <w:rsid w:val="000C7C7F"/>
    <w:rsid w:val="000C7DFC"/>
    <w:rsid w:val="000C7EFB"/>
    <w:rsid w:val="000D074D"/>
    <w:rsid w:val="000D0898"/>
    <w:rsid w:val="000D0B41"/>
    <w:rsid w:val="000D0FB5"/>
    <w:rsid w:val="000D1401"/>
    <w:rsid w:val="000D1782"/>
    <w:rsid w:val="000D2029"/>
    <w:rsid w:val="000D2ABE"/>
    <w:rsid w:val="000D2B9D"/>
    <w:rsid w:val="000D2D50"/>
    <w:rsid w:val="000D2D5C"/>
    <w:rsid w:val="000D3534"/>
    <w:rsid w:val="000D37E8"/>
    <w:rsid w:val="000D3E4B"/>
    <w:rsid w:val="000D4B6B"/>
    <w:rsid w:val="000D4DFB"/>
    <w:rsid w:val="000D4EAD"/>
    <w:rsid w:val="000D623D"/>
    <w:rsid w:val="000E019C"/>
    <w:rsid w:val="000E20E4"/>
    <w:rsid w:val="000E3264"/>
    <w:rsid w:val="000E376B"/>
    <w:rsid w:val="000E5064"/>
    <w:rsid w:val="000E6C7E"/>
    <w:rsid w:val="000E7D60"/>
    <w:rsid w:val="000F03AA"/>
    <w:rsid w:val="000F2AB9"/>
    <w:rsid w:val="000F328C"/>
    <w:rsid w:val="000F36C8"/>
    <w:rsid w:val="000F473C"/>
    <w:rsid w:val="000F6B89"/>
    <w:rsid w:val="000F7505"/>
    <w:rsid w:val="00100D2A"/>
    <w:rsid w:val="00100F6B"/>
    <w:rsid w:val="00101723"/>
    <w:rsid w:val="0010225B"/>
    <w:rsid w:val="00102779"/>
    <w:rsid w:val="00102DC6"/>
    <w:rsid w:val="00102E57"/>
    <w:rsid w:val="00103DA9"/>
    <w:rsid w:val="00103DF1"/>
    <w:rsid w:val="00104C14"/>
    <w:rsid w:val="0010504D"/>
    <w:rsid w:val="00107BC0"/>
    <w:rsid w:val="00107F0D"/>
    <w:rsid w:val="00111214"/>
    <w:rsid w:val="001116EF"/>
    <w:rsid w:val="00112473"/>
    <w:rsid w:val="001131A2"/>
    <w:rsid w:val="00113A15"/>
    <w:rsid w:val="00114D6B"/>
    <w:rsid w:val="001174AE"/>
    <w:rsid w:val="00122761"/>
    <w:rsid w:val="00122B01"/>
    <w:rsid w:val="00124221"/>
    <w:rsid w:val="00124958"/>
    <w:rsid w:val="00124EF0"/>
    <w:rsid w:val="00126CC3"/>
    <w:rsid w:val="0012702C"/>
    <w:rsid w:val="00127977"/>
    <w:rsid w:val="00132003"/>
    <w:rsid w:val="00132BE8"/>
    <w:rsid w:val="001344D3"/>
    <w:rsid w:val="00134ED4"/>
    <w:rsid w:val="0013534F"/>
    <w:rsid w:val="001355F9"/>
    <w:rsid w:val="00135C61"/>
    <w:rsid w:val="00136372"/>
    <w:rsid w:val="001363C4"/>
    <w:rsid w:val="0013650E"/>
    <w:rsid w:val="00137768"/>
    <w:rsid w:val="00137BA1"/>
    <w:rsid w:val="0014072D"/>
    <w:rsid w:val="00142461"/>
    <w:rsid w:val="00142628"/>
    <w:rsid w:val="001452E8"/>
    <w:rsid w:val="0014563F"/>
    <w:rsid w:val="0014704E"/>
    <w:rsid w:val="00147283"/>
    <w:rsid w:val="00150123"/>
    <w:rsid w:val="00150A39"/>
    <w:rsid w:val="00150FEF"/>
    <w:rsid w:val="001514AB"/>
    <w:rsid w:val="0015210E"/>
    <w:rsid w:val="0015411F"/>
    <w:rsid w:val="001549AF"/>
    <w:rsid w:val="00154E19"/>
    <w:rsid w:val="00155A1F"/>
    <w:rsid w:val="001566FC"/>
    <w:rsid w:val="001570E6"/>
    <w:rsid w:val="001607F1"/>
    <w:rsid w:val="00161B24"/>
    <w:rsid w:val="00161F9C"/>
    <w:rsid w:val="00162511"/>
    <w:rsid w:val="00162C75"/>
    <w:rsid w:val="00162D86"/>
    <w:rsid w:val="001659C1"/>
    <w:rsid w:val="00165CDA"/>
    <w:rsid w:val="00165D47"/>
    <w:rsid w:val="001664A8"/>
    <w:rsid w:val="00167119"/>
    <w:rsid w:val="0016713D"/>
    <w:rsid w:val="00167C93"/>
    <w:rsid w:val="001715C6"/>
    <w:rsid w:val="00172019"/>
    <w:rsid w:val="00172272"/>
    <w:rsid w:val="00172B82"/>
    <w:rsid w:val="001730B6"/>
    <w:rsid w:val="00173123"/>
    <w:rsid w:val="00174242"/>
    <w:rsid w:val="00174256"/>
    <w:rsid w:val="00174EAC"/>
    <w:rsid w:val="001753D6"/>
    <w:rsid w:val="00175516"/>
    <w:rsid w:val="001755AC"/>
    <w:rsid w:val="0017573B"/>
    <w:rsid w:val="00175A44"/>
    <w:rsid w:val="00176602"/>
    <w:rsid w:val="001776BB"/>
    <w:rsid w:val="00177D4A"/>
    <w:rsid w:val="00181BB3"/>
    <w:rsid w:val="00181E06"/>
    <w:rsid w:val="00183193"/>
    <w:rsid w:val="00183959"/>
    <w:rsid w:val="00183F0D"/>
    <w:rsid w:val="00184261"/>
    <w:rsid w:val="0018427D"/>
    <w:rsid w:val="00184989"/>
    <w:rsid w:val="0018509E"/>
    <w:rsid w:val="0018559D"/>
    <w:rsid w:val="00187D31"/>
    <w:rsid w:val="0019172D"/>
    <w:rsid w:val="00192069"/>
    <w:rsid w:val="001946C9"/>
    <w:rsid w:val="00195721"/>
    <w:rsid w:val="00195A3B"/>
    <w:rsid w:val="0019627C"/>
    <w:rsid w:val="00196517"/>
    <w:rsid w:val="00196902"/>
    <w:rsid w:val="00197001"/>
    <w:rsid w:val="0019776C"/>
    <w:rsid w:val="00197ADD"/>
    <w:rsid w:val="00197D89"/>
    <w:rsid w:val="001A0540"/>
    <w:rsid w:val="001A0E24"/>
    <w:rsid w:val="001A15E8"/>
    <w:rsid w:val="001A2690"/>
    <w:rsid w:val="001A26F5"/>
    <w:rsid w:val="001A2894"/>
    <w:rsid w:val="001A2DE5"/>
    <w:rsid w:val="001A4DA3"/>
    <w:rsid w:val="001A4F3C"/>
    <w:rsid w:val="001A6FB3"/>
    <w:rsid w:val="001A7E9D"/>
    <w:rsid w:val="001B0183"/>
    <w:rsid w:val="001B1659"/>
    <w:rsid w:val="001B21EF"/>
    <w:rsid w:val="001B35DB"/>
    <w:rsid w:val="001B39C4"/>
    <w:rsid w:val="001B4A24"/>
    <w:rsid w:val="001B4A73"/>
    <w:rsid w:val="001B4B7E"/>
    <w:rsid w:val="001B5330"/>
    <w:rsid w:val="001B5E27"/>
    <w:rsid w:val="001B7F81"/>
    <w:rsid w:val="001C0FBF"/>
    <w:rsid w:val="001C3178"/>
    <w:rsid w:val="001C3191"/>
    <w:rsid w:val="001C32AE"/>
    <w:rsid w:val="001C3791"/>
    <w:rsid w:val="001C38BC"/>
    <w:rsid w:val="001C50FF"/>
    <w:rsid w:val="001C5389"/>
    <w:rsid w:val="001C57FF"/>
    <w:rsid w:val="001C591C"/>
    <w:rsid w:val="001C60DA"/>
    <w:rsid w:val="001C6FB6"/>
    <w:rsid w:val="001C7BA4"/>
    <w:rsid w:val="001D0478"/>
    <w:rsid w:val="001D073F"/>
    <w:rsid w:val="001D0F1F"/>
    <w:rsid w:val="001D0FCA"/>
    <w:rsid w:val="001D37B0"/>
    <w:rsid w:val="001D39FD"/>
    <w:rsid w:val="001D3D64"/>
    <w:rsid w:val="001D483C"/>
    <w:rsid w:val="001D5144"/>
    <w:rsid w:val="001D5E64"/>
    <w:rsid w:val="001D6840"/>
    <w:rsid w:val="001D69EC"/>
    <w:rsid w:val="001D6A55"/>
    <w:rsid w:val="001D6D53"/>
    <w:rsid w:val="001D6F37"/>
    <w:rsid w:val="001E046C"/>
    <w:rsid w:val="001E04F9"/>
    <w:rsid w:val="001E168D"/>
    <w:rsid w:val="001E19A0"/>
    <w:rsid w:val="001E3181"/>
    <w:rsid w:val="001E4D84"/>
    <w:rsid w:val="001E5342"/>
    <w:rsid w:val="001E58E6"/>
    <w:rsid w:val="001E598F"/>
    <w:rsid w:val="001E5AC8"/>
    <w:rsid w:val="001E5C8B"/>
    <w:rsid w:val="001E60D0"/>
    <w:rsid w:val="001E620F"/>
    <w:rsid w:val="001E7959"/>
    <w:rsid w:val="001E7D97"/>
    <w:rsid w:val="001E7E92"/>
    <w:rsid w:val="001F2F51"/>
    <w:rsid w:val="001F32C8"/>
    <w:rsid w:val="001F3D67"/>
    <w:rsid w:val="001F3EA7"/>
    <w:rsid w:val="001F50EF"/>
    <w:rsid w:val="001F53FE"/>
    <w:rsid w:val="001F6AD0"/>
    <w:rsid w:val="001F6AEC"/>
    <w:rsid w:val="001F70BB"/>
    <w:rsid w:val="001F7BBD"/>
    <w:rsid w:val="00201C29"/>
    <w:rsid w:val="002021CB"/>
    <w:rsid w:val="00202349"/>
    <w:rsid w:val="00203755"/>
    <w:rsid w:val="00204EE7"/>
    <w:rsid w:val="00206F0D"/>
    <w:rsid w:val="00206FBE"/>
    <w:rsid w:val="00207691"/>
    <w:rsid w:val="0020793C"/>
    <w:rsid w:val="00207BB3"/>
    <w:rsid w:val="002103D3"/>
    <w:rsid w:val="00210867"/>
    <w:rsid w:val="00210E7F"/>
    <w:rsid w:val="002130AF"/>
    <w:rsid w:val="00213712"/>
    <w:rsid w:val="002149B8"/>
    <w:rsid w:val="00214DA7"/>
    <w:rsid w:val="00216A4F"/>
    <w:rsid w:val="00216BB3"/>
    <w:rsid w:val="00220340"/>
    <w:rsid w:val="0022063A"/>
    <w:rsid w:val="00220C84"/>
    <w:rsid w:val="002214D1"/>
    <w:rsid w:val="0022181F"/>
    <w:rsid w:val="00221A51"/>
    <w:rsid w:val="002226E0"/>
    <w:rsid w:val="00222707"/>
    <w:rsid w:val="00222CC9"/>
    <w:rsid w:val="00223213"/>
    <w:rsid w:val="00225294"/>
    <w:rsid w:val="00226F2E"/>
    <w:rsid w:val="00227F99"/>
    <w:rsid w:val="0023112A"/>
    <w:rsid w:val="00231AF5"/>
    <w:rsid w:val="00231E3E"/>
    <w:rsid w:val="00232252"/>
    <w:rsid w:val="00232AEF"/>
    <w:rsid w:val="00233027"/>
    <w:rsid w:val="002344B4"/>
    <w:rsid w:val="002346AF"/>
    <w:rsid w:val="00235628"/>
    <w:rsid w:val="00235C1D"/>
    <w:rsid w:val="0023626E"/>
    <w:rsid w:val="002364E1"/>
    <w:rsid w:val="00240A7D"/>
    <w:rsid w:val="00241B5F"/>
    <w:rsid w:val="00242782"/>
    <w:rsid w:val="00242B4C"/>
    <w:rsid w:val="00242CB8"/>
    <w:rsid w:val="00245350"/>
    <w:rsid w:val="00245588"/>
    <w:rsid w:val="00247159"/>
    <w:rsid w:val="00247399"/>
    <w:rsid w:val="002506C4"/>
    <w:rsid w:val="002518C6"/>
    <w:rsid w:val="00253F0E"/>
    <w:rsid w:val="002558AC"/>
    <w:rsid w:val="00255D7A"/>
    <w:rsid w:val="00255EF0"/>
    <w:rsid w:val="0025652C"/>
    <w:rsid w:val="00256B16"/>
    <w:rsid w:val="00257B76"/>
    <w:rsid w:val="00260814"/>
    <w:rsid w:val="00260B5F"/>
    <w:rsid w:val="00260D3C"/>
    <w:rsid w:val="00260D6E"/>
    <w:rsid w:val="0026134B"/>
    <w:rsid w:val="00261353"/>
    <w:rsid w:val="00261E28"/>
    <w:rsid w:val="0026289F"/>
    <w:rsid w:val="002646AE"/>
    <w:rsid w:val="002659F7"/>
    <w:rsid w:val="00265F88"/>
    <w:rsid w:val="002661F7"/>
    <w:rsid w:val="00266B72"/>
    <w:rsid w:val="00267225"/>
    <w:rsid w:val="002675EF"/>
    <w:rsid w:val="002676E7"/>
    <w:rsid w:val="002701AA"/>
    <w:rsid w:val="00270480"/>
    <w:rsid w:val="002705FD"/>
    <w:rsid w:val="00271B0A"/>
    <w:rsid w:val="002733BC"/>
    <w:rsid w:val="00274F6A"/>
    <w:rsid w:val="00281BF4"/>
    <w:rsid w:val="002825E8"/>
    <w:rsid w:val="00282D16"/>
    <w:rsid w:val="00283D91"/>
    <w:rsid w:val="002859A1"/>
    <w:rsid w:val="0028620B"/>
    <w:rsid w:val="00286A3C"/>
    <w:rsid w:val="00286B37"/>
    <w:rsid w:val="00287016"/>
    <w:rsid w:val="00287B72"/>
    <w:rsid w:val="00290AD2"/>
    <w:rsid w:val="0029161F"/>
    <w:rsid w:val="002928A7"/>
    <w:rsid w:val="00292ADE"/>
    <w:rsid w:val="00293793"/>
    <w:rsid w:val="00293E74"/>
    <w:rsid w:val="002946C2"/>
    <w:rsid w:val="0029659E"/>
    <w:rsid w:val="00296BD1"/>
    <w:rsid w:val="00296E32"/>
    <w:rsid w:val="00296F0B"/>
    <w:rsid w:val="002A004C"/>
    <w:rsid w:val="002A0E76"/>
    <w:rsid w:val="002A18DD"/>
    <w:rsid w:val="002A232F"/>
    <w:rsid w:val="002A27DE"/>
    <w:rsid w:val="002A5313"/>
    <w:rsid w:val="002A6F45"/>
    <w:rsid w:val="002A718C"/>
    <w:rsid w:val="002B1266"/>
    <w:rsid w:val="002B1638"/>
    <w:rsid w:val="002B18D2"/>
    <w:rsid w:val="002B1AF3"/>
    <w:rsid w:val="002B1FA4"/>
    <w:rsid w:val="002B3E37"/>
    <w:rsid w:val="002B4A00"/>
    <w:rsid w:val="002B4CBC"/>
    <w:rsid w:val="002B5861"/>
    <w:rsid w:val="002B63AB"/>
    <w:rsid w:val="002B6AAF"/>
    <w:rsid w:val="002B738E"/>
    <w:rsid w:val="002B73C8"/>
    <w:rsid w:val="002B7873"/>
    <w:rsid w:val="002C0365"/>
    <w:rsid w:val="002C0AB1"/>
    <w:rsid w:val="002C0C97"/>
    <w:rsid w:val="002C1C1D"/>
    <w:rsid w:val="002C433F"/>
    <w:rsid w:val="002C5072"/>
    <w:rsid w:val="002C56C3"/>
    <w:rsid w:val="002C5BC9"/>
    <w:rsid w:val="002C6424"/>
    <w:rsid w:val="002C6AEB"/>
    <w:rsid w:val="002D0F4D"/>
    <w:rsid w:val="002D10F2"/>
    <w:rsid w:val="002D1E70"/>
    <w:rsid w:val="002D2F77"/>
    <w:rsid w:val="002D3B21"/>
    <w:rsid w:val="002D4248"/>
    <w:rsid w:val="002D61D6"/>
    <w:rsid w:val="002D657C"/>
    <w:rsid w:val="002D6A71"/>
    <w:rsid w:val="002E2166"/>
    <w:rsid w:val="002E35BC"/>
    <w:rsid w:val="002E3F2F"/>
    <w:rsid w:val="002E5ED8"/>
    <w:rsid w:val="002E6402"/>
    <w:rsid w:val="002E65B8"/>
    <w:rsid w:val="002E69AC"/>
    <w:rsid w:val="002E6C2F"/>
    <w:rsid w:val="002E7342"/>
    <w:rsid w:val="002E7F7A"/>
    <w:rsid w:val="002F22FA"/>
    <w:rsid w:val="002F3939"/>
    <w:rsid w:val="002F4524"/>
    <w:rsid w:val="002F4F25"/>
    <w:rsid w:val="002F565B"/>
    <w:rsid w:val="002F58A1"/>
    <w:rsid w:val="002F632C"/>
    <w:rsid w:val="003020FE"/>
    <w:rsid w:val="0030260D"/>
    <w:rsid w:val="00303B37"/>
    <w:rsid w:val="0030486F"/>
    <w:rsid w:val="003051A6"/>
    <w:rsid w:val="00306CF9"/>
    <w:rsid w:val="00307748"/>
    <w:rsid w:val="003114FE"/>
    <w:rsid w:val="00311D2E"/>
    <w:rsid w:val="00311DED"/>
    <w:rsid w:val="003124D6"/>
    <w:rsid w:val="00314622"/>
    <w:rsid w:val="0031480A"/>
    <w:rsid w:val="00317CB7"/>
    <w:rsid w:val="003200F8"/>
    <w:rsid w:val="0032113C"/>
    <w:rsid w:val="00321F0D"/>
    <w:rsid w:val="00322625"/>
    <w:rsid w:val="0032371E"/>
    <w:rsid w:val="00323F06"/>
    <w:rsid w:val="003244D4"/>
    <w:rsid w:val="00324C97"/>
    <w:rsid w:val="003251D6"/>
    <w:rsid w:val="00325706"/>
    <w:rsid w:val="00325D2F"/>
    <w:rsid w:val="00325E08"/>
    <w:rsid w:val="003265A5"/>
    <w:rsid w:val="003273C9"/>
    <w:rsid w:val="00330C06"/>
    <w:rsid w:val="00331300"/>
    <w:rsid w:val="00331E96"/>
    <w:rsid w:val="0033318F"/>
    <w:rsid w:val="00333593"/>
    <w:rsid w:val="00333750"/>
    <w:rsid w:val="00333812"/>
    <w:rsid w:val="00333823"/>
    <w:rsid w:val="0033422B"/>
    <w:rsid w:val="0033482F"/>
    <w:rsid w:val="003348E8"/>
    <w:rsid w:val="003363CB"/>
    <w:rsid w:val="00336902"/>
    <w:rsid w:val="00337EC6"/>
    <w:rsid w:val="003406D2"/>
    <w:rsid w:val="003412A4"/>
    <w:rsid w:val="003415FF"/>
    <w:rsid w:val="003424F5"/>
    <w:rsid w:val="003444E9"/>
    <w:rsid w:val="00345396"/>
    <w:rsid w:val="00345421"/>
    <w:rsid w:val="00346528"/>
    <w:rsid w:val="0034667A"/>
    <w:rsid w:val="003468D6"/>
    <w:rsid w:val="0034699D"/>
    <w:rsid w:val="003474AF"/>
    <w:rsid w:val="003476AD"/>
    <w:rsid w:val="00347E82"/>
    <w:rsid w:val="00347FC4"/>
    <w:rsid w:val="003511FD"/>
    <w:rsid w:val="00351BE6"/>
    <w:rsid w:val="00351E53"/>
    <w:rsid w:val="00353752"/>
    <w:rsid w:val="00354312"/>
    <w:rsid w:val="003548E8"/>
    <w:rsid w:val="00355232"/>
    <w:rsid w:val="00355717"/>
    <w:rsid w:val="003564C6"/>
    <w:rsid w:val="003578E9"/>
    <w:rsid w:val="00357FC3"/>
    <w:rsid w:val="00360529"/>
    <w:rsid w:val="003617AE"/>
    <w:rsid w:val="00361AA1"/>
    <w:rsid w:val="0036245D"/>
    <w:rsid w:val="0036348F"/>
    <w:rsid w:val="003654B5"/>
    <w:rsid w:val="0036569E"/>
    <w:rsid w:val="00365A54"/>
    <w:rsid w:val="003672A1"/>
    <w:rsid w:val="0036763F"/>
    <w:rsid w:val="0036783C"/>
    <w:rsid w:val="00370E6E"/>
    <w:rsid w:val="003717BE"/>
    <w:rsid w:val="003718DF"/>
    <w:rsid w:val="003725B7"/>
    <w:rsid w:val="0037339A"/>
    <w:rsid w:val="003738A1"/>
    <w:rsid w:val="00373C0A"/>
    <w:rsid w:val="00374BF4"/>
    <w:rsid w:val="003750ED"/>
    <w:rsid w:val="003753FA"/>
    <w:rsid w:val="00375783"/>
    <w:rsid w:val="00375F8C"/>
    <w:rsid w:val="003762C8"/>
    <w:rsid w:val="003767DC"/>
    <w:rsid w:val="00377D53"/>
    <w:rsid w:val="0038031B"/>
    <w:rsid w:val="003816A9"/>
    <w:rsid w:val="003820C5"/>
    <w:rsid w:val="003820D2"/>
    <w:rsid w:val="003824D0"/>
    <w:rsid w:val="00382FC5"/>
    <w:rsid w:val="00384615"/>
    <w:rsid w:val="0038521A"/>
    <w:rsid w:val="00385532"/>
    <w:rsid w:val="003860BB"/>
    <w:rsid w:val="00386CEE"/>
    <w:rsid w:val="00387C58"/>
    <w:rsid w:val="00390354"/>
    <w:rsid w:val="003908D2"/>
    <w:rsid w:val="00391184"/>
    <w:rsid w:val="0039231E"/>
    <w:rsid w:val="00392A4B"/>
    <w:rsid w:val="00393B3C"/>
    <w:rsid w:val="00393CFF"/>
    <w:rsid w:val="00394090"/>
    <w:rsid w:val="00394D73"/>
    <w:rsid w:val="0039515B"/>
    <w:rsid w:val="0039615D"/>
    <w:rsid w:val="00396A58"/>
    <w:rsid w:val="00396B58"/>
    <w:rsid w:val="00396CD8"/>
    <w:rsid w:val="00397217"/>
    <w:rsid w:val="0039791D"/>
    <w:rsid w:val="003A04AE"/>
    <w:rsid w:val="003A09A8"/>
    <w:rsid w:val="003A0F23"/>
    <w:rsid w:val="003A1ED7"/>
    <w:rsid w:val="003A2DAD"/>
    <w:rsid w:val="003A40C0"/>
    <w:rsid w:val="003A4500"/>
    <w:rsid w:val="003A638C"/>
    <w:rsid w:val="003A68F2"/>
    <w:rsid w:val="003A69E4"/>
    <w:rsid w:val="003A7B09"/>
    <w:rsid w:val="003B032D"/>
    <w:rsid w:val="003B075B"/>
    <w:rsid w:val="003B0A92"/>
    <w:rsid w:val="003B12BE"/>
    <w:rsid w:val="003B1600"/>
    <w:rsid w:val="003B16AE"/>
    <w:rsid w:val="003B251B"/>
    <w:rsid w:val="003B4401"/>
    <w:rsid w:val="003B5DDF"/>
    <w:rsid w:val="003B66F3"/>
    <w:rsid w:val="003B6782"/>
    <w:rsid w:val="003B6EC7"/>
    <w:rsid w:val="003C1DC1"/>
    <w:rsid w:val="003C2410"/>
    <w:rsid w:val="003C2C6C"/>
    <w:rsid w:val="003C2F1D"/>
    <w:rsid w:val="003C396B"/>
    <w:rsid w:val="003C5269"/>
    <w:rsid w:val="003C5645"/>
    <w:rsid w:val="003C5E47"/>
    <w:rsid w:val="003C5ECB"/>
    <w:rsid w:val="003C6C48"/>
    <w:rsid w:val="003C72B2"/>
    <w:rsid w:val="003C7392"/>
    <w:rsid w:val="003C7432"/>
    <w:rsid w:val="003C7438"/>
    <w:rsid w:val="003D0686"/>
    <w:rsid w:val="003D0940"/>
    <w:rsid w:val="003D1F61"/>
    <w:rsid w:val="003D23E3"/>
    <w:rsid w:val="003D3220"/>
    <w:rsid w:val="003D55AE"/>
    <w:rsid w:val="003D62A3"/>
    <w:rsid w:val="003E0966"/>
    <w:rsid w:val="003E0CFD"/>
    <w:rsid w:val="003E181F"/>
    <w:rsid w:val="003E269B"/>
    <w:rsid w:val="003E5267"/>
    <w:rsid w:val="003E56E6"/>
    <w:rsid w:val="003E7AC9"/>
    <w:rsid w:val="003F01F7"/>
    <w:rsid w:val="003F02D3"/>
    <w:rsid w:val="003F041E"/>
    <w:rsid w:val="003F1272"/>
    <w:rsid w:val="003F185B"/>
    <w:rsid w:val="003F1F5F"/>
    <w:rsid w:val="003F35EB"/>
    <w:rsid w:val="003F3B7A"/>
    <w:rsid w:val="003F46DF"/>
    <w:rsid w:val="003F62E0"/>
    <w:rsid w:val="003F7349"/>
    <w:rsid w:val="004003E1"/>
    <w:rsid w:val="0040369F"/>
    <w:rsid w:val="00403E7A"/>
    <w:rsid w:val="00403FFE"/>
    <w:rsid w:val="0040419D"/>
    <w:rsid w:val="004061AD"/>
    <w:rsid w:val="00406765"/>
    <w:rsid w:val="00410102"/>
    <w:rsid w:val="00412BE9"/>
    <w:rsid w:val="00414546"/>
    <w:rsid w:val="00414D61"/>
    <w:rsid w:val="004154E0"/>
    <w:rsid w:val="004177FE"/>
    <w:rsid w:val="00420002"/>
    <w:rsid w:val="00420409"/>
    <w:rsid w:val="00420B21"/>
    <w:rsid w:val="00421364"/>
    <w:rsid w:val="004213F8"/>
    <w:rsid w:val="00421C95"/>
    <w:rsid w:val="0042273E"/>
    <w:rsid w:val="004235B2"/>
    <w:rsid w:val="00424938"/>
    <w:rsid w:val="00425085"/>
    <w:rsid w:val="004252DE"/>
    <w:rsid w:val="004254E7"/>
    <w:rsid w:val="00425D0D"/>
    <w:rsid w:val="00427330"/>
    <w:rsid w:val="0043058A"/>
    <w:rsid w:val="00431E38"/>
    <w:rsid w:val="004330B9"/>
    <w:rsid w:val="00433139"/>
    <w:rsid w:val="00433F16"/>
    <w:rsid w:val="00434547"/>
    <w:rsid w:val="00435B09"/>
    <w:rsid w:val="00437A82"/>
    <w:rsid w:val="0044095C"/>
    <w:rsid w:val="00442C29"/>
    <w:rsid w:val="00442C4D"/>
    <w:rsid w:val="00442E5E"/>
    <w:rsid w:val="0044393A"/>
    <w:rsid w:val="00443CD3"/>
    <w:rsid w:val="00443E8F"/>
    <w:rsid w:val="004440EA"/>
    <w:rsid w:val="004444CE"/>
    <w:rsid w:val="004446F6"/>
    <w:rsid w:val="00444813"/>
    <w:rsid w:val="00445638"/>
    <w:rsid w:val="00445706"/>
    <w:rsid w:val="0044782D"/>
    <w:rsid w:val="004478B4"/>
    <w:rsid w:val="0045166B"/>
    <w:rsid w:val="0045247E"/>
    <w:rsid w:val="00452522"/>
    <w:rsid w:val="00452C54"/>
    <w:rsid w:val="00453406"/>
    <w:rsid w:val="00453E9C"/>
    <w:rsid w:val="00454321"/>
    <w:rsid w:val="004545C5"/>
    <w:rsid w:val="004573ED"/>
    <w:rsid w:val="0046010B"/>
    <w:rsid w:val="00465390"/>
    <w:rsid w:val="004664D8"/>
    <w:rsid w:val="00470A48"/>
    <w:rsid w:val="00470B8D"/>
    <w:rsid w:val="00470DDE"/>
    <w:rsid w:val="0047135E"/>
    <w:rsid w:val="004715FC"/>
    <w:rsid w:val="004720FF"/>
    <w:rsid w:val="00472A6C"/>
    <w:rsid w:val="00473263"/>
    <w:rsid w:val="004733A0"/>
    <w:rsid w:val="004758ED"/>
    <w:rsid w:val="00475993"/>
    <w:rsid w:val="004778CD"/>
    <w:rsid w:val="004779C5"/>
    <w:rsid w:val="00477C32"/>
    <w:rsid w:val="004817ED"/>
    <w:rsid w:val="00482207"/>
    <w:rsid w:val="00482860"/>
    <w:rsid w:val="00482DB8"/>
    <w:rsid w:val="004837BA"/>
    <w:rsid w:val="00483EFB"/>
    <w:rsid w:val="00484479"/>
    <w:rsid w:val="00484A80"/>
    <w:rsid w:val="00485709"/>
    <w:rsid w:val="004864A6"/>
    <w:rsid w:val="00486597"/>
    <w:rsid w:val="0048687C"/>
    <w:rsid w:val="00486CE7"/>
    <w:rsid w:val="0049075A"/>
    <w:rsid w:val="00490814"/>
    <w:rsid w:val="00491218"/>
    <w:rsid w:val="004923BC"/>
    <w:rsid w:val="00492AED"/>
    <w:rsid w:val="00493CB5"/>
    <w:rsid w:val="00494558"/>
    <w:rsid w:val="00494D2D"/>
    <w:rsid w:val="00496276"/>
    <w:rsid w:val="0049713B"/>
    <w:rsid w:val="004972BD"/>
    <w:rsid w:val="004973BC"/>
    <w:rsid w:val="004973EA"/>
    <w:rsid w:val="004977AA"/>
    <w:rsid w:val="00497F82"/>
    <w:rsid w:val="004A099D"/>
    <w:rsid w:val="004A1836"/>
    <w:rsid w:val="004A1E63"/>
    <w:rsid w:val="004A2151"/>
    <w:rsid w:val="004A4220"/>
    <w:rsid w:val="004A480C"/>
    <w:rsid w:val="004A4877"/>
    <w:rsid w:val="004A50DD"/>
    <w:rsid w:val="004A5C4B"/>
    <w:rsid w:val="004A79EF"/>
    <w:rsid w:val="004B049E"/>
    <w:rsid w:val="004B1A49"/>
    <w:rsid w:val="004B1ED9"/>
    <w:rsid w:val="004B25B9"/>
    <w:rsid w:val="004B358E"/>
    <w:rsid w:val="004B37BC"/>
    <w:rsid w:val="004B48B0"/>
    <w:rsid w:val="004B4DD0"/>
    <w:rsid w:val="004B4F2D"/>
    <w:rsid w:val="004B50ED"/>
    <w:rsid w:val="004B6756"/>
    <w:rsid w:val="004B677C"/>
    <w:rsid w:val="004B6925"/>
    <w:rsid w:val="004B70BC"/>
    <w:rsid w:val="004B7E2C"/>
    <w:rsid w:val="004C01C0"/>
    <w:rsid w:val="004C074C"/>
    <w:rsid w:val="004C19A2"/>
    <w:rsid w:val="004C1C27"/>
    <w:rsid w:val="004C24EB"/>
    <w:rsid w:val="004C259E"/>
    <w:rsid w:val="004C2A0F"/>
    <w:rsid w:val="004C4529"/>
    <w:rsid w:val="004C47D8"/>
    <w:rsid w:val="004C5251"/>
    <w:rsid w:val="004C52DA"/>
    <w:rsid w:val="004C53E6"/>
    <w:rsid w:val="004C687F"/>
    <w:rsid w:val="004C6AFC"/>
    <w:rsid w:val="004C7054"/>
    <w:rsid w:val="004C70B2"/>
    <w:rsid w:val="004D01E1"/>
    <w:rsid w:val="004D075E"/>
    <w:rsid w:val="004D0B31"/>
    <w:rsid w:val="004D0E16"/>
    <w:rsid w:val="004D0FDF"/>
    <w:rsid w:val="004D11C9"/>
    <w:rsid w:val="004D1482"/>
    <w:rsid w:val="004D2463"/>
    <w:rsid w:val="004D275A"/>
    <w:rsid w:val="004D30F6"/>
    <w:rsid w:val="004D33ED"/>
    <w:rsid w:val="004D3F80"/>
    <w:rsid w:val="004D4729"/>
    <w:rsid w:val="004D4A4E"/>
    <w:rsid w:val="004D4E44"/>
    <w:rsid w:val="004D54EF"/>
    <w:rsid w:val="004D56C0"/>
    <w:rsid w:val="004D6811"/>
    <w:rsid w:val="004D69A4"/>
    <w:rsid w:val="004D700E"/>
    <w:rsid w:val="004D76FD"/>
    <w:rsid w:val="004D78FD"/>
    <w:rsid w:val="004E0BF8"/>
    <w:rsid w:val="004E1D80"/>
    <w:rsid w:val="004E1DA2"/>
    <w:rsid w:val="004E2462"/>
    <w:rsid w:val="004E2D40"/>
    <w:rsid w:val="004E4920"/>
    <w:rsid w:val="004E4981"/>
    <w:rsid w:val="004E5995"/>
    <w:rsid w:val="004E6BEC"/>
    <w:rsid w:val="004E7A04"/>
    <w:rsid w:val="004F061E"/>
    <w:rsid w:val="004F07A9"/>
    <w:rsid w:val="004F1AE8"/>
    <w:rsid w:val="004F1F64"/>
    <w:rsid w:val="004F2569"/>
    <w:rsid w:val="004F31DD"/>
    <w:rsid w:val="004F3507"/>
    <w:rsid w:val="004F3936"/>
    <w:rsid w:val="004F3C2C"/>
    <w:rsid w:val="004F4098"/>
    <w:rsid w:val="004F565A"/>
    <w:rsid w:val="004F6DE8"/>
    <w:rsid w:val="004F6FA5"/>
    <w:rsid w:val="004F7F51"/>
    <w:rsid w:val="00500292"/>
    <w:rsid w:val="005004F4"/>
    <w:rsid w:val="005012AE"/>
    <w:rsid w:val="00501683"/>
    <w:rsid w:val="0050338F"/>
    <w:rsid w:val="00503ADE"/>
    <w:rsid w:val="0050436A"/>
    <w:rsid w:val="00504F4A"/>
    <w:rsid w:val="005051D7"/>
    <w:rsid w:val="005056D0"/>
    <w:rsid w:val="00505D15"/>
    <w:rsid w:val="00506176"/>
    <w:rsid w:val="00510799"/>
    <w:rsid w:val="00510981"/>
    <w:rsid w:val="00510DE9"/>
    <w:rsid w:val="005131CF"/>
    <w:rsid w:val="00514E5C"/>
    <w:rsid w:val="00514F26"/>
    <w:rsid w:val="005151B7"/>
    <w:rsid w:val="00515AD8"/>
    <w:rsid w:val="005165E6"/>
    <w:rsid w:val="00516D45"/>
    <w:rsid w:val="00516E3B"/>
    <w:rsid w:val="00520B72"/>
    <w:rsid w:val="00523F6C"/>
    <w:rsid w:val="0052424D"/>
    <w:rsid w:val="00524C56"/>
    <w:rsid w:val="005250E2"/>
    <w:rsid w:val="0052524D"/>
    <w:rsid w:val="0052535D"/>
    <w:rsid w:val="00526FC9"/>
    <w:rsid w:val="00530D5A"/>
    <w:rsid w:val="005313DE"/>
    <w:rsid w:val="005317F1"/>
    <w:rsid w:val="00531CE4"/>
    <w:rsid w:val="00531E9C"/>
    <w:rsid w:val="005320DB"/>
    <w:rsid w:val="00532133"/>
    <w:rsid w:val="00532C2F"/>
    <w:rsid w:val="0053337B"/>
    <w:rsid w:val="0053569E"/>
    <w:rsid w:val="00535A65"/>
    <w:rsid w:val="00536B13"/>
    <w:rsid w:val="00537C69"/>
    <w:rsid w:val="00537D49"/>
    <w:rsid w:val="00537DCE"/>
    <w:rsid w:val="00537E9C"/>
    <w:rsid w:val="00537FE0"/>
    <w:rsid w:val="00541DCB"/>
    <w:rsid w:val="005431E4"/>
    <w:rsid w:val="005439E0"/>
    <w:rsid w:val="00543CBA"/>
    <w:rsid w:val="0054427C"/>
    <w:rsid w:val="00544283"/>
    <w:rsid w:val="00544C8A"/>
    <w:rsid w:val="00545034"/>
    <w:rsid w:val="005454AB"/>
    <w:rsid w:val="0054561D"/>
    <w:rsid w:val="0054634E"/>
    <w:rsid w:val="00547C7B"/>
    <w:rsid w:val="00551286"/>
    <w:rsid w:val="0055204C"/>
    <w:rsid w:val="005526CE"/>
    <w:rsid w:val="00553125"/>
    <w:rsid w:val="00553B9D"/>
    <w:rsid w:val="0055516A"/>
    <w:rsid w:val="005552F9"/>
    <w:rsid w:val="00561329"/>
    <w:rsid w:val="00562477"/>
    <w:rsid w:val="00562FB7"/>
    <w:rsid w:val="00563D21"/>
    <w:rsid w:val="00564016"/>
    <w:rsid w:val="005640E7"/>
    <w:rsid w:val="005643A2"/>
    <w:rsid w:val="00567EF7"/>
    <w:rsid w:val="005702D3"/>
    <w:rsid w:val="005706C2"/>
    <w:rsid w:val="00571BA2"/>
    <w:rsid w:val="00571E52"/>
    <w:rsid w:val="00571F28"/>
    <w:rsid w:val="005720F4"/>
    <w:rsid w:val="00573CA5"/>
    <w:rsid w:val="00574BA1"/>
    <w:rsid w:val="00576B6B"/>
    <w:rsid w:val="00576BE9"/>
    <w:rsid w:val="00576DC3"/>
    <w:rsid w:val="0058022B"/>
    <w:rsid w:val="00580CBA"/>
    <w:rsid w:val="005813F9"/>
    <w:rsid w:val="0058151E"/>
    <w:rsid w:val="005817E4"/>
    <w:rsid w:val="005818CF"/>
    <w:rsid w:val="00581DD9"/>
    <w:rsid w:val="00582B39"/>
    <w:rsid w:val="00582D18"/>
    <w:rsid w:val="00583E0D"/>
    <w:rsid w:val="00583E74"/>
    <w:rsid w:val="005846BF"/>
    <w:rsid w:val="005855A7"/>
    <w:rsid w:val="00586662"/>
    <w:rsid w:val="00586E62"/>
    <w:rsid w:val="00587D85"/>
    <w:rsid w:val="0059114F"/>
    <w:rsid w:val="0059187D"/>
    <w:rsid w:val="00592101"/>
    <w:rsid w:val="00592149"/>
    <w:rsid w:val="00592EFA"/>
    <w:rsid w:val="0059415B"/>
    <w:rsid w:val="00594459"/>
    <w:rsid w:val="0059599E"/>
    <w:rsid w:val="0059653B"/>
    <w:rsid w:val="00596631"/>
    <w:rsid w:val="005970C9"/>
    <w:rsid w:val="005970CF"/>
    <w:rsid w:val="00597193"/>
    <w:rsid w:val="0059721A"/>
    <w:rsid w:val="005977E4"/>
    <w:rsid w:val="00597C2D"/>
    <w:rsid w:val="005A0129"/>
    <w:rsid w:val="005A088C"/>
    <w:rsid w:val="005A12D5"/>
    <w:rsid w:val="005A2185"/>
    <w:rsid w:val="005A3765"/>
    <w:rsid w:val="005A4A89"/>
    <w:rsid w:val="005A56CD"/>
    <w:rsid w:val="005A5819"/>
    <w:rsid w:val="005A6581"/>
    <w:rsid w:val="005A6C8D"/>
    <w:rsid w:val="005A73EC"/>
    <w:rsid w:val="005A7EEB"/>
    <w:rsid w:val="005B09D8"/>
    <w:rsid w:val="005B13E1"/>
    <w:rsid w:val="005B1C35"/>
    <w:rsid w:val="005B390B"/>
    <w:rsid w:val="005B3EAC"/>
    <w:rsid w:val="005B3EE9"/>
    <w:rsid w:val="005B4066"/>
    <w:rsid w:val="005B44D7"/>
    <w:rsid w:val="005B5E39"/>
    <w:rsid w:val="005B6324"/>
    <w:rsid w:val="005B6B50"/>
    <w:rsid w:val="005C18DA"/>
    <w:rsid w:val="005C1A0F"/>
    <w:rsid w:val="005C1EDC"/>
    <w:rsid w:val="005C2189"/>
    <w:rsid w:val="005C2A08"/>
    <w:rsid w:val="005C39AF"/>
    <w:rsid w:val="005C3A62"/>
    <w:rsid w:val="005C4014"/>
    <w:rsid w:val="005C442A"/>
    <w:rsid w:val="005C4624"/>
    <w:rsid w:val="005C5671"/>
    <w:rsid w:val="005C5A9A"/>
    <w:rsid w:val="005C65A2"/>
    <w:rsid w:val="005C6A50"/>
    <w:rsid w:val="005C786B"/>
    <w:rsid w:val="005C7D24"/>
    <w:rsid w:val="005D110E"/>
    <w:rsid w:val="005D288C"/>
    <w:rsid w:val="005D2D05"/>
    <w:rsid w:val="005D2F7D"/>
    <w:rsid w:val="005D5814"/>
    <w:rsid w:val="005D5BFC"/>
    <w:rsid w:val="005D6285"/>
    <w:rsid w:val="005D663C"/>
    <w:rsid w:val="005D674D"/>
    <w:rsid w:val="005E0294"/>
    <w:rsid w:val="005E0801"/>
    <w:rsid w:val="005E3B51"/>
    <w:rsid w:val="005E3CB7"/>
    <w:rsid w:val="005E4088"/>
    <w:rsid w:val="005E4C67"/>
    <w:rsid w:val="005E5363"/>
    <w:rsid w:val="005E59D1"/>
    <w:rsid w:val="005E6A70"/>
    <w:rsid w:val="005F0055"/>
    <w:rsid w:val="005F085F"/>
    <w:rsid w:val="005F24C2"/>
    <w:rsid w:val="005F2725"/>
    <w:rsid w:val="005F3028"/>
    <w:rsid w:val="005F36F8"/>
    <w:rsid w:val="005F3B63"/>
    <w:rsid w:val="005F4928"/>
    <w:rsid w:val="005F4E92"/>
    <w:rsid w:val="005F4F7B"/>
    <w:rsid w:val="005F571C"/>
    <w:rsid w:val="005F5AFE"/>
    <w:rsid w:val="005F5EB9"/>
    <w:rsid w:val="005F7A43"/>
    <w:rsid w:val="005F7BE4"/>
    <w:rsid w:val="00600BC4"/>
    <w:rsid w:val="006015E0"/>
    <w:rsid w:val="006041D7"/>
    <w:rsid w:val="00604DC5"/>
    <w:rsid w:val="00605F89"/>
    <w:rsid w:val="006070B0"/>
    <w:rsid w:val="006075AB"/>
    <w:rsid w:val="0061004A"/>
    <w:rsid w:val="00611030"/>
    <w:rsid w:val="0061113D"/>
    <w:rsid w:val="0061289E"/>
    <w:rsid w:val="00612AE7"/>
    <w:rsid w:val="0061351E"/>
    <w:rsid w:val="00614057"/>
    <w:rsid w:val="006144F3"/>
    <w:rsid w:val="006178DE"/>
    <w:rsid w:val="006178E1"/>
    <w:rsid w:val="00617A32"/>
    <w:rsid w:val="00620BB6"/>
    <w:rsid w:val="006220DC"/>
    <w:rsid w:val="006222F6"/>
    <w:rsid w:val="006229D3"/>
    <w:rsid w:val="0062309B"/>
    <w:rsid w:val="00623CCE"/>
    <w:rsid w:val="00624362"/>
    <w:rsid w:val="006258A3"/>
    <w:rsid w:val="00627AD8"/>
    <w:rsid w:val="00627E9E"/>
    <w:rsid w:val="006300DF"/>
    <w:rsid w:val="00630CFB"/>
    <w:rsid w:val="00630D2A"/>
    <w:rsid w:val="00630E8B"/>
    <w:rsid w:val="0063132A"/>
    <w:rsid w:val="0063180D"/>
    <w:rsid w:val="00632BEF"/>
    <w:rsid w:val="00632CC9"/>
    <w:rsid w:val="00633537"/>
    <w:rsid w:val="0063373F"/>
    <w:rsid w:val="00633A10"/>
    <w:rsid w:val="00633B3C"/>
    <w:rsid w:val="006343DA"/>
    <w:rsid w:val="006347D4"/>
    <w:rsid w:val="006347E9"/>
    <w:rsid w:val="006372EB"/>
    <w:rsid w:val="0063766F"/>
    <w:rsid w:val="0064058F"/>
    <w:rsid w:val="00640D93"/>
    <w:rsid w:val="00640D95"/>
    <w:rsid w:val="00642332"/>
    <w:rsid w:val="00642547"/>
    <w:rsid w:val="00642E36"/>
    <w:rsid w:val="00643ED0"/>
    <w:rsid w:val="006442C6"/>
    <w:rsid w:val="00644E40"/>
    <w:rsid w:val="00645B93"/>
    <w:rsid w:val="0064614A"/>
    <w:rsid w:val="00646FC3"/>
    <w:rsid w:val="00647E8D"/>
    <w:rsid w:val="0065048A"/>
    <w:rsid w:val="0065150C"/>
    <w:rsid w:val="00651900"/>
    <w:rsid w:val="006519DC"/>
    <w:rsid w:val="00651D0C"/>
    <w:rsid w:val="006521AA"/>
    <w:rsid w:val="00652A51"/>
    <w:rsid w:val="00654A1D"/>
    <w:rsid w:val="00654B0E"/>
    <w:rsid w:val="00654F54"/>
    <w:rsid w:val="0065531F"/>
    <w:rsid w:val="00655362"/>
    <w:rsid w:val="00656520"/>
    <w:rsid w:val="00660D27"/>
    <w:rsid w:val="006616D0"/>
    <w:rsid w:val="00661D87"/>
    <w:rsid w:val="00662858"/>
    <w:rsid w:val="00662A20"/>
    <w:rsid w:val="00662EB7"/>
    <w:rsid w:val="00663832"/>
    <w:rsid w:val="00664BD3"/>
    <w:rsid w:val="00664ED1"/>
    <w:rsid w:val="006672D2"/>
    <w:rsid w:val="00667370"/>
    <w:rsid w:val="00667B09"/>
    <w:rsid w:val="006701DF"/>
    <w:rsid w:val="00670C26"/>
    <w:rsid w:val="00670ECF"/>
    <w:rsid w:val="00671F11"/>
    <w:rsid w:val="006729D1"/>
    <w:rsid w:val="0067363B"/>
    <w:rsid w:val="0067385F"/>
    <w:rsid w:val="00673AF1"/>
    <w:rsid w:val="00673F3B"/>
    <w:rsid w:val="00675205"/>
    <w:rsid w:val="00675E48"/>
    <w:rsid w:val="00677A6B"/>
    <w:rsid w:val="00677C49"/>
    <w:rsid w:val="006802AD"/>
    <w:rsid w:val="00680860"/>
    <w:rsid w:val="00680BDA"/>
    <w:rsid w:val="00680C77"/>
    <w:rsid w:val="00680DC2"/>
    <w:rsid w:val="006811DF"/>
    <w:rsid w:val="00681BC2"/>
    <w:rsid w:val="00682BBC"/>
    <w:rsid w:val="006836CE"/>
    <w:rsid w:val="00684153"/>
    <w:rsid w:val="00684991"/>
    <w:rsid w:val="0068724B"/>
    <w:rsid w:val="006879E2"/>
    <w:rsid w:val="006906DE"/>
    <w:rsid w:val="006909A8"/>
    <w:rsid w:val="00690C90"/>
    <w:rsid w:val="006917A4"/>
    <w:rsid w:val="006933CD"/>
    <w:rsid w:val="00693F2B"/>
    <w:rsid w:val="00695696"/>
    <w:rsid w:val="00696DBD"/>
    <w:rsid w:val="00697A71"/>
    <w:rsid w:val="00697BC7"/>
    <w:rsid w:val="00697F99"/>
    <w:rsid w:val="006A1AC7"/>
    <w:rsid w:val="006A3DBD"/>
    <w:rsid w:val="006A3E78"/>
    <w:rsid w:val="006A483E"/>
    <w:rsid w:val="006A4994"/>
    <w:rsid w:val="006A4BEE"/>
    <w:rsid w:val="006A4C4C"/>
    <w:rsid w:val="006A7FF2"/>
    <w:rsid w:val="006B033C"/>
    <w:rsid w:val="006B0FDE"/>
    <w:rsid w:val="006B102F"/>
    <w:rsid w:val="006B33B9"/>
    <w:rsid w:val="006B36D0"/>
    <w:rsid w:val="006B39CC"/>
    <w:rsid w:val="006B3E1C"/>
    <w:rsid w:val="006B5C4F"/>
    <w:rsid w:val="006B6313"/>
    <w:rsid w:val="006B7984"/>
    <w:rsid w:val="006C085E"/>
    <w:rsid w:val="006C1102"/>
    <w:rsid w:val="006C2C0F"/>
    <w:rsid w:val="006C3C8E"/>
    <w:rsid w:val="006C4442"/>
    <w:rsid w:val="006C4DA2"/>
    <w:rsid w:val="006C6371"/>
    <w:rsid w:val="006C6595"/>
    <w:rsid w:val="006C661C"/>
    <w:rsid w:val="006C690E"/>
    <w:rsid w:val="006C768D"/>
    <w:rsid w:val="006D0CD4"/>
    <w:rsid w:val="006D15B3"/>
    <w:rsid w:val="006D1B4D"/>
    <w:rsid w:val="006D2410"/>
    <w:rsid w:val="006D2EF6"/>
    <w:rsid w:val="006D34D6"/>
    <w:rsid w:val="006D3988"/>
    <w:rsid w:val="006D741F"/>
    <w:rsid w:val="006E0F6B"/>
    <w:rsid w:val="006E1791"/>
    <w:rsid w:val="006E1E19"/>
    <w:rsid w:val="006E1F2D"/>
    <w:rsid w:val="006E24E6"/>
    <w:rsid w:val="006E2664"/>
    <w:rsid w:val="006E3D99"/>
    <w:rsid w:val="006E4AAA"/>
    <w:rsid w:val="006E4CCC"/>
    <w:rsid w:val="006E5FEB"/>
    <w:rsid w:val="006E6AD9"/>
    <w:rsid w:val="006E6C08"/>
    <w:rsid w:val="006E6C5D"/>
    <w:rsid w:val="006E6F3F"/>
    <w:rsid w:val="006E7667"/>
    <w:rsid w:val="006E7F0F"/>
    <w:rsid w:val="006F0765"/>
    <w:rsid w:val="006F1225"/>
    <w:rsid w:val="006F131C"/>
    <w:rsid w:val="006F1981"/>
    <w:rsid w:val="006F26B1"/>
    <w:rsid w:val="006F32DE"/>
    <w:rsid w:val="006F36E6"/>
    <w:rsid w:val="006F3F0C"/>
    <w:rsid w:val="006F44FB"/>
    <w:rsid w:val="006F4594"/>
    <w:rsid w:val="006F48A4"/>
    <w:rsid w:val="006F6741"/>
    <w:rsid w:val="006F6D36"/>
    <w:rsid w:val="006F6F3D"/>
    <w:rsid w:val="006F71C1"/>
    <w:rsid w:val="006F7BFB"/>
    <w:rsid w:val="006F7D6B"/>
    <w:rsid w:val="007005B0"/>
    <w:rsid w:val="00701480"/>
    <w:rsid w:val="0070186C"/>
    <w:rsid w:val="0070246B"/>
    <w:rsid w:val="0070268F"/>
    <w:rsid w:val="007036E0"/>
    <w:rsid w:val="00703789"/>
    <w:rsid w:val="0070401E"/>
    <w:rsid w:val="0070429D"/>
    <w:rsid w:val="00704A77"/>
    <w:rsid w:val="00710274"/>
    <w:rsid w:val="00710F20"/>
    <w:rsid w:val="0071102C"/>
    <w:rsid w:val="0071276A"/>
    <w:rsid w:val="00712FB2"/>
    <w:rsid w:val="00713CAE"/>
    <w:rsid w:val="007146AA"/>
    <w:rsid w:val="007157C1"/>
    <w:rsid w:val="00716034"/>
    <w:rsid w:val="007166D7"/>
    <w:rsid w:val="007168B0"/>
    <w:rsid w:val="007173E2"/>
    <w:rsid w:val="0071747C"/>
    <w:rsid w:val="007224F8"/>
    <w:rsid w:val="0072295C"/>
    <w:rsid w:val="00723DE1"/>
    <w:rsid w:val="00724A78"/>
    <w:rsid w:val="00726CD2"/>
    <w:rsid w:val="00727611"/>
    <w:rsid w:val="00727F4D"/>
    <w:rsid w:val="00730889"/>
    <w:rsid w:val="00731452"/>
    <w:rsid w:val="0073173D"/>
    <w:rsid w:val="00732283"/>
    <w:rsid w:val="007323BA"/>
    <w:rsid w:val="00732B38"/>
    <w:rsid w:val="007354CC"/>
    <w:rsid w:val="00735643"/>
    <w:rsid w:val="00735B93"/>
    <w:rsid w:val="0073617B"/>
    <w:rsid w:val="0073642B"/>
    <w:rsid w:val="007403CC"/>
    <w:rsid w:val="00740FF0"/>
    <w:rsid w:val="007410A6"/>
    <w:rsid w:val="007412A7"/>
    <w:rsid w:val="007419E7"/>
    <w:rsid w:val="00742A3F"/>
    <w:rsid w:val="00743712"/>
    <w:rsid w:val="007438F2"/>
    <w:rsid w:val="00743D14"/>
    <w:rsid w:val="007447F6"/>
    <w:rsid w:val="00744B76"/>
    <w:rsid w:val="007468B3"/>
    <w:rsid w:val="00746A54"/>
    <w:rsid w:val="00746AB1"/>
    <w:rsid w:val="0074794C"/>
    <w:rsid w:val="00747E30"/>
    <w:rsid w:val="007508B2"/>
    <w:rsid w:val="00750D03"/>
    <w:rsid w:val="00751254"/>
    <w:rsid w:val="00751F0C"/>
    <w:rsid w:val="007522A5"/>
    <w:rsid w:val="00752F09"/>
    <w:rsid w:val="00754405"/>
    <w:rsid w:val="007549C5"/>
    <w:rsid w:val="007554D4"/>
    <w:rsid w:val="00755682"/>
    <w:rsid w:val="0075693B"/>
    <w:rsid w:val="00756B0F"/>
    <w:rsid w:val="00756D06"/>
    <w:rsid w:val="007570D4"/>
    <w:rsid w:val="00757240"/>
    <w:rsid w:val="00760026"/>
    <w:rsid w:val="00760208"/>
    <w:rsid w:val="007611C0"/>
    <w:rsid w:val="0076129F"/>
    <w:rsid w:val="00761733"/>
    <w:rsid w:val="00761A7B"/>
    <w:rsid w:val="007626EA"/>
    <w:rsid w:val="00762993"/>
    <w:rsid w:val="007629B8"/>
    <w:rsid w:val="007636F5"/>
    <w:rsid w:val="00763B2F"/>
    <w:rsid w:val="007643D0"/>
    <w:rsid w:val="007645E5"/>
    <w:rsid w:val="007649B9"/>
    <w:rsid w:val="0076630C"/>
    <w:rsid w:val="00766EB3"/>
    <w:rsid w:val="00766F30"/>
    <w:rsid w:val="00766F85"/>
    <w:rsid w:val="00770B7E"/>
    <w:rsid w:val="00770CB8"/>
    <w:rsid w:val="00770D25"/>
    <w:rsid w:val="0077177E"/>
    <w:rsid w:val="007723FB"/>
    <w:rsid w:val="00772A66"/>
    <w:rsid w:val="00772C8C"/>
    <w:rsid w:val="00773407"/>
    <w:rsid w:val="0077485A"/>
    <w:rsid w:val="0077613C"/>
    <w:rsid w:val="007765E8"/>
    <w:rsid w:val="007778A2"/>
    <w:rsid w:val="00777DD2"/>
    <w:rsid w:val="00782C89"/>
    <w:rsid w:val="0078380E"/>
    <w:rsid w:val="00783C49"/>
    <w:rsid w:val="007841D8"/>
    <w:rsid w:val="00785489"/>
    <w:rsid w:val="00786288"/>
    <w:rsid w:val="00787423"/>
    <w:rsid w:val="00790BEF"/>
    <w:rsid w:val="00791246"/>
    <w:rsid w:val="00792066"/>
    <w:rsid w:val="007930F1"/>
    <w:rsid w:val="00793D0F"/>
    <w:rsid w:val="00795126"/>
    <w:rsid w:val="00795570"/>
    <w:rsid w:val="00795B1C"/>
    <w:rsid w:val="00795FBB"/>
    <w:rsid w:val="0079609E"/>
    <w:rsid w:val="00796652"/>
    <w:rsid w:val="00796816"/>
    <w:rsid w:val="0079761F"/>
    <w:rsid w:val="007A00F9"/>
    <w:rsid w:val="007A1777"/>
    <w:rsid w:val="007A1E6C"/>
    <w:rsid w:val="007A20F0"/>
    <w:rsid w:val="007A21C6"/>
    <w:rsid w:val="007A27F7"/>
    <w:rsid w:val="007A2D8D"/>
    <w:rsid w:val="007A4975"/>
    <w:rsid w:val="007A6D9E"/>
    <w:rsid w:val="007B08C4"/>
    <w:rsid w:val="007B0A0D"/>
    <w:rsid w:val="007B1657"/>
    <w:rsid w:val="007B21AD"/>
    <w:rsid w:val="007B24E0"/>
    <w:rsid w:val="007B35A7"/>
    <w:rsid w:val="007B5C38"/>
    <w:rsid w:val="007C066F"/>
    <w:rsid w:val="007C0A08"/>
    <w:rsid w:val="007C10C9"/>
    <w:rsid w:val="007C17C8"/>
    <w:rsid w:val="007C1DED"/>
    <w:rsid w:val="007C2F4F"/>
    <w:rsid w:val="007C4510"/>
    <w:rsid w:val="007C4842"/>
    <w:rsid w:val="007C4C73"/>
    <w:rsid w:val="007C56BB"/>
    <w:rsid w:val="007C581F"/>
    <w:rsid w:val="007C6FE5"/>
    <w:rsid w:val="007C769B"/>
    <w:rsid w:val="007C7976"/>
    <w:rsid w:val="007D01CE"/>
    <w:rsid w:val="007D1672"/>
    <w:rsid w:val="007D1EB2"/>
    <w:rsid w:val="007D208C"/>
    <w:rsid w:val="007D2719"/>
    <w:rsid w:val="007D374E"/>
    <w:rsid w:val="007D4014"/>
    <w:rsid w:val="007D4032"/>
    <w:rsid w:val="007D40EF"/>
    <w:rsid w:val="007D46AB"/>
    <w:rsid w:val="007D4A7D"/>
    <w:rsid w:val="007D4C05"/>
    <w:rsid w:val="007D4E42"/>
    <w:rsid w:val="007D4E6A"/>
    <w:rsid w:val="007D5422"/>
    <w:rsid w:val="007D566F"/>
    <w:rsid w:val="007D59E9"/>
    <w:rsid w:val="007D7BCB"/>
    <w:rsid w:val="007D7E38"/>
    <w:rsid w:val="007E06A9"/>
    <w:rsid w:val="007E0CEF"/>
    <w:rsid w:val="007E0D29"/>
    <w:rsid w:val="007E2BDE"/>
    <w:rsid w:val="007E3D59"/>
    <w:rsid w:val="007E4CE3"/>
    <w:rsid w:val="007E4F6D"/>
    <w:rsid w:val="007E508A"/>
    <w:rsid w:val="007E524D"/>
    <w:rsid w:val="007E5630"/>
    <w:rsid w:val="007E5D6F"/>
    <w:rsid w:val="007E6BC4"/>
    <w:rsid w:val="007E6D7E"/>
    <w:rsid w:val="007E7A2E"/>
    <w:rsid w:val="007F2FF3"/>
    <w:rsid w:val="007F36B3"/>
    <w:rsid w:val="007F4429"/>
    <w:rsid w:val="007F4582"/>
    <w:rsid w:val="007F46D9"/>
    <w:rsid w:val="007F4B16"/>
    <w:rsid w:val="007F62B3"/>
    <w:rsid w:val="007F6766"/>
    <w:rsid w:val="007F7C80"/>
    <w:rsid w:val="00800752"/>
    <w:rsid w:val="008008E8"/>
    <w:rsid w:val="00801C99"/>
    <w:rsid w:val="00803BF7"/>
    <w:rsid w:val="0080407B"/>
    <w:rsid w:val="008048C8"/>
    <w:rsid w:val="008063AD"/>
    <w:rsid w:val="00806D97"/>
    <w:rsid w:val="0081158B"/>
    <w:rsid w:val="008115C8"/>
    <w:rsid w:val="008123FD"/>
    <w:rsid w:val="008131A1"/>
    <w:rsid w:val="008143D7"/>
    <w:rsid w:val="008150D7"/>
    <w:rsid w:val="00815725"/>
    <w:rsid w:val="00816E0B"/>
    <w:rsid w:val="00817142"/>
    <w:rsid w:val="00820409"/>
    <w:rsid w:val="008204D6"/>
    <w:rsid w:val="00820C14"/>
    <w:rsid w:val="00820C73"/>
    <w:rsid w:val="00821A9F"/>
    <w:rsid w:val="00821BB4"/>
    <w:rsid w:val="008221C5"/>
    <w:rsid w:val="00822D5B"/>
    <w:rsid w:val="00822F2A"/>
    <w:rsid w:val="008233C8"/>
    <w:rsid w:val="008242FA"/>
    <w:rsid w:val="008263F8"/>
    <w:rsid w:val="00826C92"/>
    <w:rsid w:val="00826F0D"/>
    <w:rsid w:val="00826F5B"/>
    <w:rsid w:val="00827D55"/>
    <w:rsid w:val="0083016E"/>
    <w:rsid w:val="008302A4"/>
    <w:rsid w:val="00830502"/>
    <w:rsid w:val="00832306"/>
    <w:rsid w:val="00833234"/>
    <w:rsid w:val="00834838"/>
    <w:rsid w:val="008373F1"/>
    <w:rsid w:val="0083749A"/>
    <w:rsid w:val="008414F0"/>
    <w:rsid w:val="00841FF6"/>
    <w:rsid w:val="0084207A"/>
    <w:rsid w:val="0084273F"/>
    <w:rsid w:val="0084283B"/>
    <w:rsid w:val="00843C86"/>
    <w:rsid w:val="008443CD"/>
    <w:rsid w:val="00845A44"/>
    <w:rsid w:val="00845C19"/>
    <w:rsid w:val="0084738B"/>
    <w:rsid w:val="00847540"/>
    <w:rsid w:val="00847748"/>
    <w:rsid w:val="00847BE3"/>
    <w:rsid w:val="00852071"/>
    <w:rsid w:val="008521DB"/>
    <w:rsid w:val="008521E3"/>
    <w:rsid w:val="008522ED"/>
    <w:rsid w:val="008539A2"/>
    <w:rsid w:val="0085405D"/>
    <w:rsid w:val="0085408F"/>
    <w:rsid w:val="00854AD8"/>
    <w:rsid w:val="0085653E"/>
    <w:rsid w:val="00856656"/>
    <w:rsid w:val="0085750E"/>
    <w:rsid w:val="008577C5"/>
    <w:rsid w:val="00860648"/>
    <w:rsid w:val="00860D34"/>
    <w:rsid w:val="00863AF2"/>
    <w:rsid w:val="00866B6A"/>
    <w:rsid w:val="00867632"/>
    <w:rsid w:val="00872369"/>
    <w:rsid w:val="00872743"/>
    <w:rsid w:val="0087405C"/>
    <w:rsid w:val="00875E27"/>
    <w:rsid w:val="00875F95"/>
    <w:rsid w:val="0087692B"/>
    <w:rsid w:val="00876ABE"/>
    <w:rsid w:val="00876FE8"/>
    <w:rsid w:val="0088053D"/>
    <w:rsid w:val="00880AE6"/>
    <w:rsid w:val="00880B0D"/>
    <w:rsid w:val="0088115A"/>
    <w:rsid w:val="0088130E"/>
    <w:rsid w:val="008818F7"/>
    <w:rsid w:val="00882D76"/>
    <w:rsid w:val="008836A8"/>
    <w:rsid w:val="0088470E"/>
    <w:rsid w:val="00885417"/>
    <w:rsid w:val="0088606B"/>
    <w:rsid w:val="00887AFB"/>
    <w:rsid w:val="00890109"/>
    <w:rsid w:val="008906BE"/>
    <w:rsid w:val="008948DB"/>
    <w:rsid w:val="00895787"/>
    <w:rsid w:val="008959CA"/>
    <w:rsid w:val="008A05D8"/>
    <w:rsid w:val="008A12CF"/>
    <w:rsid w:val="008A140D"/>
    <w:rsid w:val="008A4505"/>
    <w:rsid w:val="008A4BF1"/>
    <w:rsid w:val="008B010B"/>
    <w:rsid w:val="008B1DD8"/>
    <w:rsid w:val="008B389E"/>
    <w:rsid w:val="008B4C94"/>
    <w:rsid w:val="008B589F"/>
    <w:rsid w:val="008B689C"/>
    <w:rsid w:val="008B6B44"/>
    <w:rsid w:val="008B7C55"/>
    <w:rsid w:val="008C0045"/>
    <w:rsid w:val="008C01FE"/>
    <w:rsid w:val="008C025A"/>
    <w:rsid w:val="008C04AC"/>
    <w:rsid w:val="008C0F1F"/>
    <w:rsid w:val="008C3A58"/>
    <w:rsid w:val="008C3C24"/>
    <w:rsid w:val="008C5A50"/>
    <w:rsid w:val="008C5E0E"/>
    <w:rsid w:val="008C6440"/>
    <w:rsid w:val="008C679D"/>
    <w:rsid w:val="008D1C19"/>
    <w:rsid w:val="008D218D"/>
    <w:rsid w:val="008D2EAB"/>
    <w:rsid w:val="008D392E"/>
    <w:rsid w:val="008D3C67"/>
    <w:rsid w:val="008D3F62"/>
    <w:rsid w:val="008D3F76"/>
    <w:rsid w:val="008D439F"/>
    <w:rsid w:val="008D4AEB"/>
    <w:rsid w:val="008D4EF6"/>
    <w:rsid w:val="008D56C5"/>
    <w:rsid w:val="008E0BED"/>
    <w:rsid w:val="008E36FC"/>
    <w:rsid w:val="008E3A46"/>
    <w:rsid w:val="008E3C3B"/>
    <w:rsid w:val="008E41EE"/>
    <w:rsid w:val="008E4AA5"/>
    <w:rsid w:val="008E70CB"/>
    <w:rsid w:val="008E71B1"/>
    <w:rsid w:val="008E7EF2"/>
    <w:rsid w:val="008F0B2B"/>
    <w:rsid w:val="008F0B8C"/>
    <w:rsid w:val="008F11E9"/>
    <w:rsid w:val="008F180F"/>
    <w:rsid w:val="008F1AF9"/>
    <w:rsid w:val="008F31A1"/>
    <w:rsid w:val="008F3B77"/>
    <w:rsid w:val="008F3D7E"/>
    <w:rsid w:val="008F4171"/>
    <w:rsid w:val="008F460F"/>
    <w:rsid w:val="008F4B99"/>
    <w:rsid w:val="008F4D95"/>
    <w:rsid w:val="008F50FD"/>
    <w:rsid w:val="008F5BEF"/>
    <w:rsid w:val="008F61F5"/>
    <w:rsid w:val="008F704E"/>
    <w:rsid w:val="008F71FA"/>
    <w:rsid w:val="008F7FF9"/>
    <w:rsid w:val="0090004A"/>
    <w:rsid w:val="009003B7"/>
    <w:rsid w:val="00900663"/>
    <w:rsid w:val="0090068B"/>
    <w:rsid w:val="009006F1"/>
    <w:rsid w:val="00901851"/>
    <w:rsid w:val="00901879"/>
    <w:rsid w:val="009020B4"/>
    <w:rsid w:val="009037A8"/>
    <w:rsid w:val="00903971"/>
    <w:rsid w:val="00903F2C"/>
    <w:rsid w:val="009045D7"/>
    <w:rsid w:val="009053C2"/>
    <w:rsid w:val="0090580C"/>
    <w:rsid w:val="00905CCB"/>
    <w:rsid w:val="00905CFD"/>
    <w:rsid w:val="00906200"/>
    <w:rsid w:val="00906C7E"/>
    <w:rsid w:val="00907B61"/>
    <w:rsid w:val="00907D51"/>
    <w:rsid w:val="0091107D"/>
    <w:rsid w:val="00911B6F"/>
    <w:rsid w:val="00911C9E"/>
    <w:rsid w:val="0091252C"/>
    <w:rsid w:val="0091330E"/>
    <w:rsid w:val="00913C35"/>
    <w:rsid w:val="00913FB7"/>
    <w:rsid w:val="00914D76"/>
    <w:rsid w:val="009159FB"/>
    <w:rsid w:val="009167AA"/>
    <w:rsid w:val="00916B5C"/>
    <w:rsid w:val="00916DCB"/>
    <w:rsid w:val="00923AC9"/>
    <w:rsid w:val="00923DFA"/>
    <w:rsid w:val="00923FE9"/>
    <w:rsid w:val="009247FF"/>
    <w:rsid w:val="00924A57"/>
    <w:rsid w:val="00925EB0"/>
    <w:rsid w:val="00926015"/>
    <w:rsid w:val="0092606C"/>
    <w:rsid w:val="0092679A"/>
    <w:rsid w:val="00926C5A"/>
    <w:rsid w:val="00927519"/>
    <w:rsid w:val="009307A2"/>
    <w:rsid w:val="00931FDB"/>
    <w:rsid w:val="00932191"/>
    <w:rsid w:val="0093267E"/>
    <w:rsid w:val="00933FBB"/>
    <w:rsid w:val="009342E3"/>
    <w:rsid w:val="00935D9D"/>
    <w:rsid w:val="0093602E"/>
    <w:rsid w:val="009362DB"/>
    <w:rsid w:val="0093703A"/>
    <w:rsid w:val="00937C7E"/>
    <w:rsid w:val="009400B3"/>
    <w:rsid w:val="0094014A"/>
    <w:rsid w:val="00940964"/>
    <w:rsid w:val="00941881"/>
    <w:rsid w:val="00941C64"/>
    <w:rsid w:val="00941F8C"/>
    <w:rsid w:val="00941FC0"/>
    <w:rsid w:val="009433C7"/>
    <w:rsid w:val="00943B50"/>
    <w:rsid w:val="009441CB"/>
    <w:rsid w:val="00945660"/>
    <w:rsid w:val="00945AFB"/>
    <w:rsid w:val="0094638A"/>
    <w:rsid w:val="009463C5"/>
    <w:rsid w:val="00947155"/>
    <w:rsid w:val="009479AB"/>
    <w:rsid w:val="0095238E"/>
    <w:rsid w:val="009531D6"/>
    <w:rsid w:val="00953D3A"/>
    <w:rsid w:val="00954620"/>
    <w:rsid w:val="00956479"/>
    <w:rsid w:val="009566D9"/>
    <w:rsid w:val="00957F59"/>
    <w:rsid w:val="00962604"/>
    <w:rsid w:val="00963EA6"/>
    <w:rsid w:val="0096482E"/>
    <w:rsid w:val="00964AC2"/>
    <w:rsid w:val="00965D58"/>
    <w:rsid w:val="00966580"/>
    <w:rsid w:val="00966B34"/>
    <w:rsid w:val="00970421"/>
    <w:rsid w:val="009712AB"/>
    <w:rsid w:val="009712AC"/>
    <w:rsid w:val="009715FB"/>
    <w:rsid w:val="00971F2F"/>
    <w:rsid w:val="0097279D"/>
    <w:rsid w:val="00973487"/>
    <w:rsid w:val="009749BE"/>
    <w:rsid w:val="00974A5A"/>
    <w:rsid w:val="009750A7"/>
    <w:rsid w:val="00976257"/>
    <w:rsid w:val="00976BF4"/>
    <w:rsid w:val="00977B57"/>
    <w:rsid w:val="009813D3"/>
    <w:rsid w:val="00982558"/>
    <w:rsid w:val="009827F1"/>
    <w:rsid w:val="00982BF6"/>
    <w:rsid w:val="00983C02"/>
    <w:rsid w:val="00983C88"/>
    <w:rsid w:val="00983EAA"/>
    <w:rsid w:val="0098412F"/>
    <w:rsid w:val="0098445E"/>
    <w:rsid w:val="00985793"/>
    <w:rsid w:val="00985B8A"/>
    <w:rsid w:val="009905A5"/>
    <w:rsid w:val="00990AF0"/>
    <w:rsid w:val="00990C86"/>
    <w:rsid w:val="00992824"/>
    <w:rsid w:val="00992E10"/>
    <w:rsid w:val="009933DA"/>
    <w:rsid w:val="009936F3"/>
    <w:rsid w:val="00993D8A"/>
    <w:rsid w:val="009941F6"/>
    <w:rsid w:val="009957C9"/>
    <w:rsid w:val="009969F6"/>
    <w:rsid w:val="009976A0"/>
    <w:rsid w:val="009976D3"/>
    <w:rsid w:val="009978B9"/>
    <w:rsid w:val="009A06AD"/>
    <w:rsid w:val="009A0AD5"/>
    <w:rsid w:val="009A0AF9"/>
    <w:rsid w:val="009A0F77"/>
    <w:rsid w:val="009A237F"/>
    <w:rsid w:val="009A2A6C"/>
    <w:rsid w:val="009A2AB4"/>
    <w:rsid w:val="009A31F0"/>
    <w:rsid w:val="009A49D2"/>
    <w:rsid w:val="009A4B7A"/>
    <w:rsid w:val="009A4D3C"/>
    <w:rsid w:val="009A4F2E"/>
    <w:rsid w:val="009A512B"/>
    <w:rsid w:val="009A5ED2"/>
    <w:rsid w:val="009A6CA9"/>
    <w:rsid w:val="009A7B20"/>
    <w:rsid w:val="009B2756"/>
    <w:rsid w:val="009B32B2"/>
    <w:rsid w:val="009B3479"/>
    <w:rsid w:val="009B3A07"/>
    <w:rsid w:val="009B3DBC"/>
    <w:rsid w:val="009B3FCC"/>
    <w:rsid w:val="009B4C90"/>
    <w:rsid w:val="009B5971"/>
    <w:rsid w:val="009B606B"/>
    <w:rsid w:val="009B62CE"/>
    <w:rsid w:val="009B6682"/>
    <w:rsid w:val="009B68A3"/>
    <w:rsid w:val="009C028C"/>
    <w:rsid w:val="009C1606"/>
    <w:rsid w:val="009C16CF"/>
    <w:rsid w:val="009C2E51"/>
    <w:rsid w:val="009C2E70"/>
    <w:rsid w:val="009C2F50"/>
    <w:rsid w:val="009C30AD"/>
    <w:rsid w:val="009C3513"/>
    <w:rsid w:val="009C3EB7"/>
    <w:rsid w:val="009C432B"/>
    <w:rsid w:val="009C49CC"/>
    <w:rsid w:val="009C4E8C"/>
    <w:rsid w:val="009C62CF"/>
    <w:rsid w:val="009C6AF0"/>
    <w:rsid w:val="009C7125"/>
    <w:rsid w:val="009C7AE2"/>
    <w:rsid w:val="009D15DF"/>
    <w:rsid w:val="009D24DA"/>
    <w:rsid w:val="009D2E4E"/>
    <w:rsid w:val="009D303F"/>
    <w:rsid w:val="009D3374"/>
    <w:rsid w:val="009D3F72"/>
    <w:rsid w:val="009D4056"/>
    <w:rsid w:val="009D4F92"/>
    <w:rsid w:val="009D6248"/>
    <w:rsid w:val="009D6A8B"/>
    <w:rsid w:val="009D76A2"/>
    <w:rsid w:val="009E2C35"/>
    <w:rsid w:val="009E426C"/>
    <w:rsid w:val="009E5315"/>
    <w:rsid w:val="009E64A7"/>
    <w:rsid w:val="009F02DB"/>
    <w:rsid w:val="009F05E5"/>
    <w:rsid w:val="009F0648"/>
    <w:rsid w:val="009F082D"/>
    <w:rsid w:val="009F0FBE"/>
    <w:rsid w:val="009F127B"/>
    <w:rsid w:val="009F1CB6"/>
    <w:rsid w:val="009F1D04"/>
    <w:rsid w:val="009F1FE5"/>
    <w:rsid w:val="009F20CF"/>
    <w:rsid w:val="009F21E9"/>
    <w:rsid w:val="009F2D92"/>
    <w:rsid w:val="009F3110"/>
    <w:rsid w:val="009F6FCA"/>
    <w:rsid w:val="009F7F95"/>
    <w:rsid w:val="00A005CD"/>
    <w:rsid w:val="00A01ED5"/>
    <w:rsid w:val="00A02701"/>
    <w:rsid w:val="00A02888"/>
    <w:rsid w:val="00A02F94"/>
    <w:rsid w:val="00A03CF2"/>
    <w:rsid w:val="00A0510F"/>
    <w:rsid w:val="00A05180"/>
    <w:rsid w:val="00A057DA"/>
    <w:rsid w:val="00A05D1F"/>
    <w:rsid w:val="00A06793"/>
    <w:rsid w:val="00A06B97"/>
    <w:rsid w:val="00A07478"/>
    <w:rsid w:val="00A075D1"/>
    <w:rsid w:val="00A10608"/>
    <w:rsid w:val="00A1090F"/>
    <w:rsid w:val="00A10E72"/>
    <w:rsid w:val="00A115E9"/>
    <w:rsid w:val="00A11C4C"/>
    <w:rsid w:val="00A12C3D"/>
    <w:rsid w:val="00A1449A"/>
    <w:rsid w:val="00A15750"/>
    <w:rsid w:val="00A1762F"/>
    <w:rsid w:val="00A17C61"/>
    <w:rsid w:val="00A20AFB"/>
    <w:rsid w:val="00A20D24"/>
    <w:rsid w:val="00A20F06"/>
    <w:rsid w:val="00A20F77"/>
    <w:rsid w:val="00A21911"/>
    <w:rsid w:val="00A22B33"/>
    <w:rsid w:val="00A24676"/>
    <w:rsid w:val="00A24BD2"/>
    <w:rsid w:val="00A251A0"/>
    <w:rsid w:val="00A25B05"/>
    <w:rsid w:val="00A2648B"/>
    <w:rsid w:val="00A26504"/>
    <w:rsid w:val="00A27597"/>
    <w:rsid w:val="00A275C2"/>
    <w:rsid w:val="00A27CCF"/>
    <w:rsid w:val="00A27D26"/>
    <w:rsid w:val="00A30230"/>
    <w:rsid w:val="00A3042D"/>
    <w:rsid w:val="00A30B3C"/>
    <w:rsid w:val="00A30E1B"/>
    <w:rsid w:val="00A30F9B"/>
    <w:rsid w:val="00A316B2"/>
    <w:rsid w:val="00A32351"/>
    <w:rsid w:val="00A32DD0"/>
    <w:rsid w:val="00A33ABE"/>
    <w:rsid w:val="00A34C00"/>
    <w:rsid w:val="00A3527C"/>
    <w:rsid w:val="00A35BF1"/>
    <w:rsid w:val="00A35CA6"/>
    <w:rsid w:val="00A36C80"/>
    <w:rsid w:val="00A36DE2"/>
    <w:rsid w:val="00A37479"/>
    <w:rsid w:val="00A375D0"/>
    <w:rsid w:val="00A4048C"/>
    <w:rsid w:val="00A4067E"/>
    <w:rsid w:val="00A40CA8"/>
    <w:rsid w:val="00A41643"/>
    <w:rsid w:val="00A430F5"/>
    <w:rsid w:val="00A43F4D"/>
    <w:rsid w:val="00A447B9"/>
    <w:rsid w:val="00A46BFC"/>
    <w:rsid w:val="00A509F5"/>
    <w:rsid w:val="00A50B16"/>
    <w:rsid w:val="00A50B58"/>
    <w:rsid w:val="00A512D4"/>
    <w:rsid w:val="00A52284"/>
    <w:rsid w:val="00A52684"/>
    <w:rsid w:val="00A52E46"/>
    <w:rsid w:val="00A541DA"/>
    <w:rsid w:val="00A55F63"/>
    <w:rsid w:val="00A5686C"/>
    <w:rsid w:val="00A56952"/>
    <w:rsid w:val="00A57A1E"/>
    <w:rsid w:val="00A57EB1"/>
    <w:rsid w:val="00A60F91"/>
    <w:rsid w:val="00A618C7"/>
    <w:rsid w:val="00A631A0"/>
    <w:rsid w:val="00A63D27"/>
    <w:rsid w:val="00A64AEA"/>
    <w:rsid w:val="00A66086"/>
    <w:rsid w:val="00A6739E"/>
    <w:rsid w:val="00A67825"/>
    <w:rsid w:val="00A70F7E"/>
    <w:rsid w:val="00A70FF6"/>
    <w:rsid w:val="00A7237E"/>
    <w:rsid w:val="00A73744"/>
    <w:rsid w:val="00A750AA"/>
    <w:rsid w:val="00A76E2C"/>
    <w:rsid w:val="00A80423"/>
    <w:rsid w:val="00A80E73"/>
    <w:rsid w:val="00A8102C"/>
    <w:rsid w:val="00A81AE0"/>
    <w:rsid w:val="00A81C8D"/>
    <w:rsid w:val="00A8272D"/>
    <w:rsid w:val="00A828BF"/>
    <w:rsid w:val="00A839AB"/>
    <w:rsid w:val="00A84C83"/>
    <w:rsid w:val="00A853CD"/>
    <w:rsid w:val="00A85B3F"/>
    <w:rsid w:val="00A8612A"/>
    <w:rsid w:val="00A8702E"/>
    <w:rsid w:val="00A8765D"/>
    <w:rsid w:val="00A9011E"/>
    <w:rsid w:val="00A90BDD"/>
    <w:rsid w:val="00A91AD9"/>
    <w:rsid w:val="00A91D78"/>
    <w:rsid w:val="00A923A8"/>
    <w:rsid w:val="00A9469C"/>
    <w:rsid w:val="00A94DBD"/>
    <w:rsid w:val="00A95578"/>
    <w:rsid w:val="00A95E9D"/>
    <w:rsid w:val="00A966D6"/>
    <w:rsid w:val="00A96EB4"/>
    <w:rsid w:val="00A97B19"/>
    <w:rsid w:val="00AA0FBA"/>
    <w:rsid w:val="00AA168F"/>
    <w:rsid w:val="00AA26D5"/>
    <w:rsid w:val="00AA35CE"/>
    <w:rsid w:val="00AA49D4"/>
    <w:rsid w:val="00AA4C91"/>
    <w:rsid w:val="00AA63BA"/>
    <w:rsid w:val="00AA738D"/>
    <w:rsid w:val="00AB0394"/>
    <w:rsid w:val="00AB093F"/>
    <w:rsid w:val="00AB166D"/>
    <w:rsid w:val="00AB17A4"/>
    <w:rsid w:val="00AB1A85"/>
    <w:rsid w:val="00AB244C"/>
    <w:rsid w:val="00AB368B"/>
    <w:rsid w:val="00AB5FCE"/>
    <w:rsid w:val="00AB7970"/>
    <w:rsid w:val="00AB7A29"/>
    <w:rsid w:val="00AC148C"/>
    <w:rsid w:val="00AC1DC1"/>
    <w:rsid w:val="00AC3BD0"/>
    <w:rsid w:val="00AC4305"/>
    <w:rsid w:val="00AC451D"/>
    <w:rsid w:val="00AC4D29"/>
    <w:rsid w:val="00AC5254"/>
    <w:rsid w:val="00AC5406"/>
    <w:rsid w:val="00AC5BEF"/>
    <w:rsid w:val="00AC63E6"/>
    <w:rsid w:val="00AC6E21"/>
    <w:rsid w:val="00AC74A3"/>
    <w:rsid w:val="00AD070C"/>
    <w:rsid w:val="00AD12A9"/>
    <w:rsid w:val="00AD198F"/>
    <w:rsid w:val="00AD2015"/>
    <w:rsid w:val="00AD21EC"/>
    <w:rsid w:val="00AD22F7"/>
    <w:rsid w:val="00AD2D00"/>
    <w:rsid w:val="00AD47AA"/>
    <w:rsid w:val="00AD5295"/>
    <w:rsid w:val="00AD6F81"/>
    <w:rsid w:val="00AD79A4"/>
    <w:rsid w:val="00AE0783"/>
    <w:rsid w:val="00AE0951"/>
    <w:rsid w:val="00AE0E7C"/>
    <w:rsid w:val="00AE1190"/>
    <w:rsid w:val="00AE2BCE"/>
    <w:rsid w:val="00AE3BD3"/>
    <w:rsid w:val="00AE6BB1"/>
    <w:rsid w:val="00AE6BD5"/>
    <w:rsid w:val="00AE6BDE"/>
    <w:rsid w:val="00AE70F2"/>
    <w:rsid w:val="00AF1759"/>
    <w:rsid w:val="00AF1890"/>
    <w:rsid w:val="00AF1D93"/>
    <w:rsid w:val="00AF1F7C"/>
    <w:rsid w:val="00AF32A8"/>
    <w:rsid w:val="00AF3DC4"/>
    <w:rsid w:val="00AF4293"/>
    <w:rsid w:val="00AF4384"/>
    <w:rsid w:val="00AF4587"/>
    <w:rsid w:val="00AF57D9"/>
    <w:rsid w:val="00AF6396"/>
    <w:rsid w:val="00AF7D0D"/>
    <w:rsid w:val="00B006A0"/>
    <w:rsid w:val="00B01914"/>
    <w:rsid w:val="00B02E7C"/>
    <w:rsid w:val="00B03766"/>
    <w:rsid w:val="00B0394A"/>
    <w:rsid w:val="00B03C06"/>
    <w:rsid w:val="00B058E2"/>
    <w:rsid w:val="00B05A40"/>
    <w:rsid w:val="00B05BCD"/>
    <w:rsid w:val="00B069D1"/>
    <w:rsid w:val="00B07BC1"/>
    <w:rsid w:val="00B07E0A"/>
    <w:rsid w:val="00B12BAA"/>
    <w:rsid w:val="00B12CA6"/>
    <w:rsid w:val="00B136B3"/>
    <w:rsid w:val="00B1388D"/>
    <w:rsid w:val="00B13929"/>
    <w:rsid w:val="00B14E0A"/>
    <w:rsid w:val="00B160F8"/>
    <w:rsid w:val="00B16353"/>
    <w:rsid w:val="00B17584"/>
    <w:rsid w:val="00B175CE"/>
    <w:rsid w:val="00B20462"/>
    <w:rsid w:val="00B20589"/>
    <w:rsid w:val="00B208D0"/>
    <w:rsid w:val="00B20BAF"/>
    <w:rsid w:val="00B21060"/>
    <w:rsid w:val="00B2224A"/>
    <w:rsid w:val="00B2258C"/>
    <w:rsid w:val="00B22961"/>
    <w:rsid w:val="00B241AE"/>
    <w:rsid w:val="00B243AC"/>
    <w:rsid w:val="00B25378"/>
    <w:rsid w:val="00B25A0D"/>
    <w:rsid w:val="00B25CF6"/>
    <w:rsid w:val="00B26CEC"/>
    <w:rsid w:val="00B2750C"/>
    <w:rsid w:val="00B27FA9"/>
    <w:rsid w:val="00B30283"/>
    <w:rsid w:val="00B32B3F"/>
    <w:rsid w:val="00B33679"/>
    <w:rsid w:val="00B33C72"/>
    <w:rsid w:val="00B33E86"/>
    <w:rsid w:val="00B3453F"/>
    <w:rsid w:val="00B3487D"/>
    <w:rsid w:val="00B351E0"/>
    <w:rsid w:val="00B35234"/>
    <w:rsid w:val="00B35967"/>
    <w:rsid w:val="00B359AD"/>
    <w:rsid w:val="00B37BDE"/>
    <w:rsid w:val="00B412FD"/>
    <w:rsid w:val="00B413FD"/>
    <w:rsid w:val="00B446B9"/>
    <w:rsid w:val="00B45011"/>
    <w:rsid w:val="00B4571E"/>
    <w:rsid w:val="00B45740"/>
    <w:rsid w:val="00B45E01"/>
    <w:rsid w:val="00B46186"/>
    <w:rsid w:val="00B4694F"/>
    <w:rsid w:val="00B50835"/>
    <w:rsid w:val="00B521B0"/>
    <w:rsid w:val="00B52247"/>
    <w:rsid w:val="00B52497"/>
    <w:rsid w:val="00B52BB5"/>
    <w:rsid w:val="00B52F88"/>
    <w:rsid w:val="00B531FC"/>
    <w:rsid w:val="00B54258"/>
    <w:rsid w:val="00B546D3"/>
    <w:rsid w:val="00B5489A"/>
    <w:rsid w:val="00B55D82"/>
    <w:rsid w:val="00B56BAA"/>
    <w:rsid w:val="00B56FA6"/>
    <w:rsid w:val="00B57DD8"/>
    <w:rsid w:val="00B57E9A"/>
    <w:rsid w:val="00B616E2"/>
    <w:rsid w:val="00B618EE"/>
    <w:rsid w:val="00B61DDD"/>
    <w:rsid w:val="00B629C0"/>
    <w:rsid w:val="00B62B41"/>
    <w:rsid w:val="00B633D2"/>
    <w:rsid w:val="00B647F7"/>
    <w:rsid w:val="00B64EBA"/>
    <w:rsid w:val="00B65AB0"/>
    <w:rsid w:val="00B65AB2"/>
    <w:rsid w:val="00B66965"/>
    <w:rsid w:val="00B66ABE"/>
    <w:rsid w:val="00B66FC9"/>
    <w:rsid w:val="00B67676"/>
    <w:rsid w:val="00B6794C"/>
    <w:rsid w:val="00B67B3F"/>
    <w:rsid w:val="00B704F1"/>
    <w:rsid w:val="00B711C5"/>
    <w:rsid w:val="00B71240"/>
    <w:rsid w:val="00B712CB"/>
    <w:rsid w:val="00B715E9"/>
    <w:rsid w:val="00B71658"/>
    <w:rsid w:val="00B717F9"/>
    <w:rsid w:val="00B71A6B"/>
    <w:rsid w:val="00B72804"/>
    <w:rsid w:val="00B72D22"/>
    <w:rsid w:val="00B7455E"/>
    <w:rsid w:val="00B75DA8"/>
    <w:rsid w:val="00B803C8"/>
    <w:rsid w:val="00B80762"/>
    <w:rsid w:val="00B80DE6"/>
    <w:rsid w:val="00B8107D"/>
    <w:rsid w:val="00B815EE"/>
    <w:rsid w:val="00B819AD"/>
    <w:rsid w:val="00B81A87"/>
    <w:rsid w:val="00B82214"/>
    <w:rsid w:val="00B82A2E"/>
    <w:rsid w:val="00B82CB7"/>
    <w:rsid w:val="00B83AFC"/>
    <w:rsid w:val="00B84E2A"/>
    <w:rsid w:val="00B855EB"/>
    <w:rsid w:val="00B85893"/>
    <w:rsid w:val="00B86079"/>
    <w:rsid w:val="00B86594"/>
    <w:rsid w:val="00B86C51"/>
    <w:rsid w:val="00B86D5E"/>
    <w:rsid w:val="00B8754E"/>
    <w:rsid w:val="00B87C0F"/>
    <w:rsid w:val="00B903B5"/>
    <w:rsid w:val="00B90C71"/>
    <w:rsid w:val="00B90D06"/>
    <w:rsid w:val="00B92C8C"/>
    <w:rsid w:val="00B94C85"/>
    <w:rsid w:val="00B94E3D"/>
    <w:rsid w:val="00B9597C"/>
    <w:rsid w:val="00B95A00"/>
    <w:rsid w:val="00B9657B"/>
    <w:rsid w:val="00B96A4D"/>
    <w:rsid w:val="00B96C2B"/>
    <w:rsid w:val="00B97025"/>
    <w:rsid w:val="00B97617"/>
    <w:rsid w:val="00BA01E9"/>
    <w:rsid w:val="00BA0258"/>
    <w:rsid w:val="00BA06E7"/>
    <w:rsid w:val="00BA092A"/>
    <w:rsid w:val="00BA0DDD"/>
    <w:rsid w:val="00BA172B"/>
    <w:rsid w:val="00BA1D33"/>
    <w:rsid w:val="00BA1DBB"/>
    <w:rsid w:val="00BA1E0E"/>
    <w:rsid w:val="00BA251B"/>
    <w:rsid w:val="00BA2FF3"/>
    <w:rsid w:val="00BA3C3E"/>
    <w:rsid w:val="00BA3E3C"/>
    <w:rsid w:val="00BA4010"/>
    <w:rsid w:val="00BA416F"/>
    <w:rsid w:val="00BA493B"/>
    <w:rsid w:val="00BA558B"/>
    <w:rsid w:val="00BA5C21"/>
    <w:rsid w:val="00BA5C65"/>
    <w:rsid w:val="00BA6C14"/>
    <w:rsid w:val="00BA76A0"/>
    <w:rsid w:val="00BA7949"/>
    <w:rsid w:val="00BA794C"/>
    <w:rsid w:val="00BB211C"/>
    <w:rsid w:val="00BB396A"/>
    <w:rsid w:val="00BB3E12"/>
    <w:rsid w:val="00BB47A2"/>
    <w:rsid w:val="00BB6209"/>
    <w:rsid w:val="00BB6762"/>
    <w:rsid w:val="00BB6A44"/>
    <w:rsid w:val="00BB6A45"/>
    <w:rsid w:val="00BB6CC3"/>
    <w:rsid w:val="00BB6F13"/>
    <w:rsid w:val="00BC2097"/>
    <w:rsid w:val="00BC3046"/>
    <w:rsid w:val="00BC335A"/>
    <w:rsid w:val="00BC43D2"/>
    <w:rsid w:val="00BC4707"/>
    <w:rsid w:val="00BC56C2"/>
    <w:rsid w:val="00BC593C"/>
    <w:rsid w:val="00BC5BF7"/>
    <w:rsid w:val="00BC6794"/>
    <w:rsid w:val="00BC7622"/>
    <w:rsid w:val="00BC78ED"/>
    <w:rsid w:val="00BC7CA9"/>
    <w:rsid w:val="00BD0597"/>
    <w:rsid w:val="00BD097E"/>
    <w:rsid w:val="00BD0E0C"/>
    <w:rsid w:val="00BD1AFF"/>
    <w:rsid w:val="00BD2396"/>
    <w:rsid w:val="00BD270B"/>
    <w:rsid w:val="00BD2830"/>
    <w:rsid w:val="00BD2A9B"/>
    <w:rsid w:val="00BD2E9E"/>
    <w:rsid w:val="00BD3607"/>
    <w:rsid w:val="00BD3854"/>
    <w:rsid w:val="00BD3D4E"/>
    <w:rsid w:val="00BD43AA"/>
    <w:rsid w:val="00BD5081"/>
    <w:rsid w:val="00BD5202"/>
    <w:rsid w:val="00BD7298"/>
    <w:rsid w:val="00BD75CF"/>
    <w:rsid w:val="00BD78F1"/>
    <w:rsid w:val="00BD7DD0"/>
    <w:rsid w:val="00BE0EFB"/>
    <w:rsid w:val="00BE12C6"/>
    <w:rsid w:val="00BE15A4"/>
    <w:rsid w:val="00BE1C55"/>
    <w:rsid w:val="00BE1E01"/>
    <w:rsid w:val="00BE2265"/>
    <w:rsid w:val="00BE3429"/>
    <w:rsid w:val="00BE3CC0"/>
    <w:rsid w:val="00BE4589"/>
    <w:rsid w:val="00BE59AE"/>
    <w:rsid w:val="00BF284D"/>
    <w:rsid w:val="00BF28CD"/>
    <w:rsid w:val="00BF3303"/>
    <w:rsid w:val="00BF4010"/>
    <w:rsid w:val="00BF4643"/>
    <w:rsid w:val="00BF4AC2"/>
    <w:rsid w:val="00BF65C9"/>
    <w:rsid w:val="00BF6A67"/>
    <w:rsid w:val="00C00844"/>
    <w:rsid w:val="00C00C49"/>
    <w:rsid w:val="00C0105E"/>
    <w:rsid w:val="00C011C3"/>
    <w:rsid w:val="00C0120A"/>
    <w:rsid w:val="00C01670"/>
    <w:rsid w:val="00C01AC8"/>
    <w:rsid w:val="00C02830"/>
    <w:rsid w:val="00C03ED0"/>
    <w:rsid w:val="00C04EBE"/>
    <w:rsid w:val="00C05296"/>
    <w:rsid w:val="00C05518"/>
    <w:rsid w:val="00C0681F"/>
    <w:rsid w:val="00C068E7"/>
    <w:rsid w:val="00C06AF9"/>
    <w:rsid w:val="00C07A87"/>
    <w:rsid w:val="00C07CBE"/>
    <w:rsid w:val="00C105B2"/>
    <w:rsid w:val="00C10BC4"/>
    <w:rsid w:val="00C10ED2"/>
    <w:rsid w:val="00C10FA1"/>
    <w:rsid w:val="00C114D4"/>
    <w:rsid w:val="00C12158"/>
    <w:rsid w:val="00C145C7"/>
    <w:rsid w:val="00C156E7"/>
    <w:rsid w:val="00C16CC2"/>
    <w:rsid w:val="00C1700A"/>
    <w:rsid w:val="00C17A6B"/>
    <w:rsid w:val="00C17EC7"/>
    <w:rsid w:val="00C20055"/>
    <w:rsid w:val="00C2020D"/>
    <w:rsid w:val="00C208F7"/>
    <w:rsid w:val="00C20ABC"/>
    <w:rsid w:val="00C20BE5"/>
    <w:rsid w:val="00C2154C"/>
    <w:rsid w:val="00C236A1"/>
    <w:rsid w:val="00C2522D"/>
    <w:rsid w:val="00C25594"/>
    <w:rsid w:val="00C25F08"/>
    <w:rsid w:val="00C26D7D"/>
    <w:rsid w:val="00C3071A"/>
    <w:rsid w:val="00C31125"/>
    <w:rsid w:val="00C31C4D"/>
    <w:rsid w:val="00C32FD4"/>
    <w:rsid w:val="00C33ADB"/>
    <w:rsid w:val="00C344C8"/>
    <w:rsid w:val="00C34741"/>
    <w:rsid w:val="00C35EE1"/>
    <w:rsid w:val="00C366F1"/>
    <w:rsid w:val="00C36DBC"/>
    <w:rsid w:val="00C37036"/>
    <w:rsid w:val="00C37407"/>
    <w:rsid w:val="00C374E2"/>
    <w:rsid w:val="00C37CA0"/>
    <w:rsid w:val="00C40CFA"/>
    <w:rsid w:val="00C41714"/>
    <w:rsid w:val="00C42593"/>
    <w:rsid w:val="00C426FE"/>
    <w:rsid w:val="00C4469A"/>
    <w:rsid w:val="00C47E1C"/>
    <w:rsid w:val="00C505C2"/>
    <w:rsid w:val="00C51AB2"/>
    <w:rsid w:val="00C547C4"/>
    <w:rsid w:val="00C56205"/>
    <w:rsid w:val="00C5789D"/>
    <w:rsid w:val="00C578D1"/>
    <w:rsid w:val="00C60A30"/>
    <w:rsid w:val="00C61B24"/>
    <w:rsid w:val="00C626AA"/>
    <w:rsid w:val="00C62BBE"/>
    <w:rsid w:val="00C62E02"/>
    <w:rsid w:val="00C63E39"/>
    <w:rsid w:val="00C641FB"/>
    <w:rsid w:val="00C646EB"/>
    <w:rsid w:val="00C6540B"/>
    <w:rsid w:val="00C67213"/>
    <w:rsid w:val="00C702DE"/>
    <w:rsid w:val="00C70EE6"/>
    <w:rsid w:val="00C71CCD"/>
    <w:rsid w:val="00C7230F"/>
    <w:rsid w:val="00C723E5"/>
    <w:rsid w:val="00C725A0"/>
    <w:rsid w:val="00C734C6"/>
    <w:rsid w:val="00C75AD6"/>
    <w:rsid w:val="00C760B2"/>
    <w:rsid w:val="00C765BD"/>
    <w:rsid w:val="00C7683D"/>
    <w:rsid w:val="00C7763C"/>
    <w:rsid w:val="00C803E4"/>
    <w:rsid w:val="00C80E62"/>
    <w:rsid w:val="00C8124B"/>
    <w:rsid w:val="00C81AE4"/>
    <w:rsid w:val="00C81F81"/>
    <w:rsid w:val="00C83996"/>
    <w:rsid w:val="00C847F8"/>
    <w:rsid w:val="00C85019"/>
    <w:rsid w:val="00C85A24"/>
    <w:rsid w:val="00C85E25"/>
    <w:rsid w:val="00C85F88"/>
    <w:rsid w:val="00C86074"/>
    <w:rsid w:val="00C86413"/>
    <w:rsid w:val="00C86B35"/>
    <w:rsid w:val="00C86B75"/>
    <w:rsid w:val="00C87DDC"/>
    <w:rsid w:val="00C90C28"/>
    <w:rsid w:val="00C91ED7"/>
    <w:rsid w:val="00C92280"/>
    <w:rsid w:val="00C92FF7"/>
    <w:rsid w:val="00C94B1A"/>
    <w:rsid w:val="00C95634"/>
    <w:rsid w:val="00C95CD3"/>
    <w:rsid w:val="00C96961"/>
    <w:rsid w:val="00C96D02"/>
    <w:rsid w:val="00C9743F"/>
    <w:rsid w:val="00C9751B"/>
    <w:rsid w:val="00C9755C"/>
    <w:rsid w:val="00C977C0"/>
    <w:rsid w:val="00CA03DA"/>
    <w:rsid w:val="00CA0FE9"/>
    <w:rsid w:val="00CA1EA1"/>
    <w:rsid w:val="00CA31CD"/>
    <w:rsid w:val="00CA3E2F"/>
    <w:rsid w:val="00CA4515"/>
    <w:rsid w:val="00CA45AA"/>
    <w:rsid w:val="00CA4A20"/>
    <w:rsid w:val="00CA4D83"/>
    <w:rsid w:val="00CA4E35"/>
    <w:rsid w:val="00CA511F"/>
    <w:rsid w:val="00CA5968"/>
    <w:rsid w:val="00CA6DA5"/>
    <w:rsid w:val="00CA7327"/>
    <w:rsid w:val="00CB1195"/>
    <w:rsid w:val="00CB20E8"/>
    <w:rsid w:val="00CB2152"/>
    <w:rsid w:val="00CB2A8B"/>
    <w:rsid w:val="00CB3108"/>
    <w:rsid w:val="00CB3776"/>
    <w:rsid w:val="00CB4684"/>
    <w:rsid w:val="00CB5F83"/>
    <w:rsid w:val="00CB5F95"/>
    <w:rsid w:val="00CB62BF"/>
    <w:rsid w:val="00CB6768"/>
    <w:rsid w:val="00CB6DE2"/>
    <w:rsid w:val="00CB6F02"/>
    <w:rsid w:val="00CB7A23"/>
    <w:rsid w:val="00CB7E21"/>
    <w:rsid w:val="00CC1D3F"/>
    <w:rsid w:val="00CC1F79"/>
    <w:rsid w:val="00CC251F"/>
    <w:rsid w:val="00CC3D5D"/>
    <w:rsid w:val="00CC449D"/>
    <w:rsid w:val="00CC51B0"/>
    <w:rsid w:val="00CC5B34"/>
    <w:rsid w:val="00CC623F"/>
    <w:rsid w:val="00CC697B"/>
    <w:rsid w:val="00CC6D35"/>
    <w:rsid w:val="00CC755D"/>
    <w:rsid w:val="00CD03FB"/>
    <w:rsid w:val="00CD1047"/>
    <w:rsid w:val="00CD120A"/>
    <w:rsid w:val="00CD19B4"/>
    <w:rsid w:val="00CD1D0F"/>
    <w:rsid w:val="00CD3D46"/>
    <w:rsid w:val="00CD448D"/>
    <w:rsid w:val="00CD4492"/>
    <w:rsid w:val="00CD4516"/>
    <w:rsid w:val="00CD4A0A"/>
    <w:rsid w:val="00CD4ADB"/>
    <w:rsid w:val="00CD4D6F"/>
    <w:rsid w:val="00CD5DDD"/>
    <w:rsid w:val="00CD6467"/>
    <w:rsid w:val="00CD662D"/>
    <w:rsid w:val="00CD6B1D"/>
    <w:rsid w:val="00CD6B32"/>
    <w:rsid w:val="00CE0100"/>
    <w:rsid w:val="00CE11F6"/>
    <w:rsid w:val="00CE1AB3"/>
    <w:rsid w:val="00CE2031"/>
    <w:rsid w:val="00CE215D"/>
    <w:rsid w:val="00CE2658"/>
    <w:rsid w:val="00CE310E"/>
    <w:rsid w:val="00CE5007"/>
    <w:rsid w:val="00CE5341"/>
    <w:rsid w:val="00CE59DE"/>
    <w:rsid w:val="00CE66D4"/>
    <w:rsid w:val="00CE792A"/>
    <w:rsid w:val="00CF1F8D"/>
    <w:rsid w:val="00CF3974"/>
    <w:rsid w:val="00CF4696"/>
    <w:rsid w:val="00CF5709"/>
    <w:rsid w:val="00CF5EEC"/>
    <w:rsid w:val="00CF61C3"/>
    <w:rsid w:val="00CF66CA"/>
    <w:rsid w:val="00CF66CF"/>
    <w:rsid w:val="00CF7412"/>
    <w:rsid w:val="00D0086E"/>
    <w:rsid w:val="00D00E71"/>
    <w:rsid w:val="00D02061"/>
    <w:rsid w:val="00D0294B"/>
    <w:rsid w:val="00D0350D"/>
    <w:rsid w:val="00D03BC1"/>
    <w:rsid w:val="00D057CD"/>
    <w:rsid w:val="00D05832"/>
    <w:rsid w:val="00D064C0"/>
    <w:rsid w:val="00D06EB9"/>
    <w:rsid w:val="00D072DE"/>
    <w:rsid w:val="00D07700"/>
    <w:rsid w:val="00D07DD5"/>
    <w:rsid w:val="00D07E62"/>
    <w:rsid w:val="00D11736"/>
    <w:rsid w:val="00D11CFB"/>
    <w:rsid w:val="00D12296"/>
    <w:rsid w:val="00D12344"/>
    <w:rsid w:val="00D12F14"/>
    <w:rsid w:val="00D13FCF"/>
    <w:rsid w:val="00D1669D"/>
    <w:rsid w:val="00D16A9D"/>
    <w:rsid w:val="00D16CB7"/>
    <w:rsid w:val="00D200B6"/>
    <w:rsid w:val="00D2013F"/>
    <w:rsid w:val="00D2022B"/>
    <w:rsid w:val="00D20255"/>
    <w:rsid w:val="00D20AA8"/>
    <w:rsid w:val="00D2162E"/>
    <w:rsid w:val="00D21865"/>
    <w:rsid w:val="00D21D85"/>
    <w:rsid w:val="00D2228C"/>
    <w:rsid w:val="00D259A7"/>
    <w:rsid w:val="00D25B0F"/>
    <w:rsid w:val="00D25C9D"/>
    <w:rsid w:val="00D263C6"/>
    <w:rsid w:val="00D30A7E"/>
    <w:rsid w:val="00D3155C"/>
    <w:rsid w:val="00D3177D"/>
    <w:rsid w:val="00D31CDE"/>
    <w:rsid w:val="00D31CEB"/>
    <w:rsid w:val="00D31F63"/>
    <w:rsid w:val="00D35C2D"/>
    <w:rsid w:val="00D35CCB"/>
    <w:rsid w:val="00D37A2E"/>
    <w:rsid w:val="00D37D9B"/>
    <w:rsid w:val="00D40EC0"/>
    <w:rsid w:val="00D42A96"/>
    <w:rsid w:val="00D44063"/>
    <w:rsid w:val="00D44317"/>
    <w:rsid w:val="00D44A6F"/>
    <w:rsid w:val="00D44C6D"/>
    <w:rsid w:val="00D450B0"/>
    <w:rsid w:val="00D4567E"/>
    <w:rsid w:val="00D458AB"/>
    <w:rsid w:val="00D45F1D"/>
    <w:rsid w:val="00D4608C"/>
    <w:rsid w:val="00D46C38"/>
    <w:rsid w:val="00D46E21"/>
    <w:rsid w:val="00D4712F"/>
    <w:rsid w:val="00D4785D"/>
    <w:rsid w:val="00D47D31"/>
    <w:rsid w:val="00D50CDF"/>
    <w:rsid w:val="00D5120A"/>
    <w:rsid w:val="00D51CEA"/>
    <w:rsid w:val="00D521CC"/>
    <w:rsid w:val="00D52B0C"/>
    <w:rsid w:val="00D53994"/>
    <w:rsid w:val="00D54020"/>
    <w:rsid w:val="00D547A3"/>
    <w:rsid w:val="00D54D69"/>
    <w:rsid w:val="00D55CFB"/>
    <w:rsid w:val="00D55D40"/>
    <w:rsid w:val="00D56CC3"/>
    <w:rsid w:val="00D606AA"/>
    <w:rsid w:val="00D60BF1"/>
    <w:rsid w:val="00D61145"/>
    <w:rsid w:val="00D61937"/>
    <w:rsid w:val="00D61E99"/>
    <w:rsid w:val="00D61F77"/>
    <w:rsid w:val="00D62F6F"/>
    <w:rsid w:val="00D63CD6"/>
    <w:rsid w:val="00D6401C"/>
    <w:rsid w:val="00D667C5"/>
    <w:rsid w:val="00D667E0"/>
    <w:rsid w:val="00D66A62"/>
    <w:rsid w:val="00D67DFD"/>
    <w:rsid w:val="00D707B5"/>
    <w:rsid w:val="00D71222"/>
    <w:rsid w:val="00D72382"/>
    <w:rsid w:val="00D729E2"/>
    <w:rsid w:val="00D730F4"/>
    <w:rsid w:val="00D731D1"/>
    <w:rsid w:val="00D7392C"/>
    <w:rsid w:val="00D73BDA"/>
    <w:rsid w:val="00D744AA"/>
    <w:rsid w:val="00D74AD2"/>
    <w:rsid w:val="00D74DD3"/>
    <w:rsid w:val="00D757D3"/>
    <w:rsid w:val="00D76BE3"/>
    <w:rsid w:val="00D778AB"/>
    <w:rsid w:val="00D8106E"/>
    <w:rsid w:val="00D8133C"/>
    <w:rsid w:val="00D813C7"/>
    <w:rsid w:val="00D821C0"/>
    <w:rsid w:val="00D825E6"/>
    <w:rsid w:val="00D826A3"/>
    <w:rsid w:val="00D82E5B"/>
    <w:rsid w:val="00D831CD"/>
    <w:rsid w:val="00D8552E"/>
    <w:rsid w:val="00D85C7B"/>
    <w:rsid w:val="00D86B7B"/>
    <w:rsid w:val="00D86C02"/>
    <w:rsid w:val="00D86CC5"/>
    <w:rsid w:val="00D90141"/>
    <w:rsid w:val="00D909DD"/>
    <w:rsid w:val="00D91E5A"/>
    <w:rsid w:val="00D91F27"/>
    <w:rsid w:val="00D92539"/>
    <w:rsid w:val="00D94795"/>
    <w:rsid w:val="00D954D1"/>
    <w:rsid w:val="00D95838"/>
    <w:rsid w:val="00D95D25"/>
    <w:rsid w:val="00D96637"/>
    <w:rsid w:val="00D97435"/>
    <w:rsid w:val="00D979F6"/>
    <w:rsid w:val="00D97EA8"/>
    <w:rsid w:val="00DA1220"/>
    <w:rsid w:val="00DA2281"/>
    <w:rsid w:val="00DA2726"/>
    <w:rsid w:val="00DA319F"/>
    <w:rsid w:val="00DA3E26"/>
    <w:rsid w:val="00DA51C3"/>
    <w:rsid w:val="00DA53F0"/>
    <w:rsid w:val="00DA568E"/>
    <w:rsid w:val="00DA5B7E"/>
    <w:rsid w:val="00DA63D6"/>
    <w:rsid w:val="00DA65D4"/>
    <w:rsid w:val="00DA66BF"/>
    <w:rsid w:val="00DA6B1E"/>
    <w:rsid w:val="00DA7074"/>
    <w:rsid w:val="00DA73CF"/>
    <w:rsid w:val="00DA78F3"/>
    <w:rsid w:val="00DB246A"/>
    <w:rsid w:val="00DB28A0"/>
    <w:rsid w:val="00DB3A1E"/>
    <w:rsid w:val="00DB3B47"/>
    <w:rsid w:val="00DB4232"/>
    <w:rsid w:val="00DB4EA8"/>
    <w:rsid w:val="00DB5EC0"/>
    <w:rsid w:val="00DB62E2"/>
    <w:rsid w:val="00DB64DA"/>
    <w:rsid w:val="00DB78E2"/>
    <w:rsid w:val="00DB7BC4"/>
    <w:rsid w:val="00DB7FD3"/>
    <w:rsid w:val="00DC0038"/>
    <w:rsid w:val="00DC3235"/>
    <w:rsid w:val="00DC35A5"/>
    <w:rsid w:val="00DC4DE4"/>
    <w:rsid w:val="00DC5B79"/>
    <w:rsid w:val="00DC5FEC"/>
    <w:rsid w:val="00DC6113"/>
    <w:rsid w:val="00DC62B6"/>
    <w:rsid w:val="00DC636C"/>
    <w:rsid w:val="00DC643B"/>
    <w:rsid w:val="00DC7E37"/>
    <w:rsid w:val="00DD147B"/>
    <w:rsid w:val="00DD20DE"/>
    <w:rsid w:val="00DD32C0"/>
    <w:rsid w:val="00DD4CC3"/>
    <w:rsid w:val="00DD4D88"/>
    <w:rsid w:val="00DD54C1"/>
    <w:rsid w:val="00DD555F"/>
    <w:rsid w:val="00DD5A18"/>
    <w:rsid w:val="00DD63BE"/>
    <w:rsid w:val="00DD6834"/>
    <w:rsid w:val="00DD6B59"/>
    <w:rsid w:val="00DE1D45"/>
    <w:rsid w:val="00DE2619"/>
    <w:rsid w:val="00DE3685"/>
    <w:rsid w:val="00DE40B8"/>
    <w:rsid w:val="00DE5D6B"/>
    <w:rsid w:val="00DE6DB8"/>
    <w:rsid w:val="00DF04FD"/>
    <w:rsid w:val="00DF19A9"/>
    <w:rsid w:val="00DF254C"/>
    <w:rsid w:val="00DF38FA"/>
    <w:rsid w:val="00DF3F07"/>
    <w:rsid w:val="00DF40D0"/>
    <w:rsid w:val="00DF414F"/>
    <w:rsid w:val="00DF4660"/>
    <w:rsid w:val="00DF4801"/>
    <w:rsid w:val="00DF6F9A"/>
    <w:rsid w:val="00DF783E"/>
    <w:rsid w:val="00E00998"/>
    <w:rsid w:val="00E01C93"/>
    <w:rsid w:val="00E02753"/>
    <w:rsid w:val="00E02D03"/>
    <w:rsid w:val="00E0398B"/>
    <w:rsid w:val="00E04596"/>
    <w:rsid w:val="00E05000"/>
    <w:rsid w:val="00E0551C"/>
    <w:rsid w:val="00E05B13"/>
    <w:rsid w:val="00E06346"/>
    <w:rsid w:val="00E0714C"/>
    <w:rsid w:val="00E072FC"/>
    <w:rsid w:val="00E10FC6"/>
    <w:rsid w:val="00E110C4"/>
    <w:rsid w:val="00E12220"/>
    <w:rsid w:val="00E12984"/>
    <w:rsid w:val="00E12D52"/>
    <w:rsid w:val="00E13CC0"/>
    <w:rsid w:val="00E14463"/>
    <w:rsid w:val="00E1624A"/>
    <w:rsid w:val="00E1644F"/>
    <w:rsid w:val="00E16F8D"/>
    <w:rsid w:val="00E20EA7"/>
    <w:rsid w:val="00E21CB5"/>
    <w:rsid w:val="00E22743"/>
    <w:rsid w:val="00E227A8"/>
    <w:rsid w:val="00E23D0C"/>
    <w:rsid w:val="00E246D0"/>
    <w:rsid w:val="00E24776"/>
    <w:rsid w:val="00E25635"/>
    <w:rsid w:val="00E25AD5"/>
    <w:rsid w:val="00E262A6"/>
    <w:rsid w:val="00E263AF"/>
    <w:rsid w:val="00E2661D"/>
    <w:rsid w:val="00E267EF"/>
    <w:rsid w:val="00E268BE"/>
    <w:rsid w:val="00E27C6B"/>
    <w:rsid w:val="00E27F50"/>
    <w:rsid w:val="00E3234E"/>
    <w:rsid w:val="00E3348E"/>
    <w:rsid w:val="00E3557F"/>
    <w:rsid w:val="00E35D8F"/>
    <w:rsid w:val="00E375F6"/>
    <w:rsid w:val="00E37CFD"/>
    <w:rsid w:val="00E40B28"/>
    <w:rsid w:val="00E41032"/>
    <w:rsid w:val="00E4192D"/>
    <w:rsid w:val="00E41E70"/>
    <w:rsid w:val="00E42DD7"/>
    <w:rsid w:val="00E44199"/>
    <w:rsid w:val="00E44398"/>
    <w:rsid w:val="00E462D4"/>
    <w:rsid w:val="00E46331"/>
    <w:rsid w:val="00E4739D"/>
    <w:rsid w:val="00E50F23"/>
    <w:rsid w:val="00E51685"/>
    <w:rsid w:val="00E51EC7"/>
    <w:rsid w:val="00E532D5"/>
    <w:rsid w:val="00E53E0A"/>
    <w:rsid w:val="00E5530A"/>
    <w:rsid w:val="00E558CA"/>
    <w:rsid w:val="00E55CB8"/>
    <w:rsid w:val="00E562E1"/>
    <w:rsid w:val="00E603C2"/>
    <w:rsid w:val="00E6092A"/>
    <w:rsid w:val="00E61411"/>
    <w:rsid w:val="00E61476"/>
    <w:rsid w:val="00E61C20"/>
    <w:rsid w:val="00E61E65"/>
    <w:rsid w:val="00E621B9"/>
    <w:rsid w:val="00E6236C"/>
    <w:rsid w:val="00E62C7C"/>
    <w:rsid w:val="00E638CA"/>
    <w:rsid w:val="00E6426E"/>
    <w:rsid w:val="00E64B15"/>
    <w:rsid w:val="00E65868"/>
    <w:rsid w:val="00E676CC"/>
    <w:rsid w:val="00E70100"/>
    <w:rsid w:val="00E70981"/>
    <w:rsid w:val="00E72889"/>
    <w:rsid w:val="00E739B7"/>
    <w:rsid w:val="00E7505D"/>
    <w:rsid w:val="00E819D5"/>
    <w:rsid w:val="00E81CDC"/>
    <w:rsid w:val="00E822B6"/>
    <w:rsid w:val="00E82B6D"/>
    <w:rsid w:val="00E83101"/>
    <w:rsid w:val="00E83E14"/>
    <w:rsid w:val="00E8432A"/>
    <w:rsid w:val="00E84F85"/>
    <w:rsid w:val="00E85A9F"/>
    <w:rsid w:val="00E85AEF"/>
    <w:rsid w:val="00E86109"/>
    <w:rsid w:val="00E86502"/>
    <w:rsid w:val="00E868D7"/>
    <w:rsid w:val="00E90D57"/>
    <w:rsid w:val="00E91A0C"/>
    <w:rsid w:val="00E91CBD"/>
    <w:rsid w:val="00E92F1B"/>
    <w:rsid w:val="00E93419"/>
    <w:rsid w:val="00E934BC"/>
    <w:rsid w:val="00E93634"/>
    <w:rsid w:val="00E9388A"/>
    <w:rsid w:val="00E93AFD"/>
    <w:rsid w:val="00E93B62"/>
    <w:rsid w:val="00E93F67"/>
    <w:rsid w:val="00E93F8F"/>
    <w:rsid w:val="00E94A88"/>
    <w:rsid w:val="00E94C50"/>
    <w:rsid w:val="00E963B8"/>
    <w:rsid w:val="00E963DA"/>
    <w:rsid w:val="00E97353"/>
    <w:rsid w:val="00EA070B"/>
    <w:rsid w:val="00EA0EE6"/>
    <w:rsid w:val="00EA1FB2"/>
    <w:rsid w:val="00EA272D"/>
    <w:rsid w:val="00EA28C3"/>
    <w:rsid w:val="00EA33C7"/>
    <w:rsid w:val="00EA33F0"/>
    <w:rsid w:val="00EA359F"/>
    <w:rsid w:val="00EA38EE"/>
    <w:rsid w:val="00EA3DEB"/>
    <w:rsid w:val="00EA56F6"/>
    <w:rsid w:val="00EA7266"/>
    <w:rsid w:val="00EA73ED"/>
    <w:rsid w:val="00EB08BD"/>
    <w:rsid w:val="00EB17AB"/>
    <w:rsid w:val="00EB2092"/>
    <w:rsid w:val="00EB2481"/>
    <w:rsid w:val="00EB37DC"/>
    <w:rsid w:val="00EB3EFA"/>
    <w:rsid w:val="00EB487A"/>
    <w:rsid w:val="00EB527C"/>
    <w:rsid w:val="00EB52B1"/>
    <w:rsid w:val="00EB5EF0"/>
    <w:rsid w:val="00EB6EF6"/>
    <w:rsid w:val="00EC0582"/>
    <w:rsid w:val="00EC0F9C"/>
    <w:rsid w:val="00EC1683"/>
    <w:rsid w:val="00EC17BE"/>
    <w:rsid w:val="00EC1E38"/>
    <w:rsid w:val="00EC22CB"/>
    <w:rsid w:val="00EC239A"/>
    <w:rsid w:val="00EC263B"/>
    <w:rsid w:val="00EC2DFA"/>
    <w:rsid w:val="00EC3831"/>
    <w:rsid w:val="00EC38BD"/>
    <w:rsid w:val="00EC48AB"/>
    <w:rsid w:val="00EC4B8C"/>
    <w:rsid w:val="00EC5CB2"/>
    <w:rsid w:val="00EC6260"/>
    <w:rsid w:val="00EC6893"/>
    <w:rsid w:val="00EC6CB3"/>
    <w:rsid w:val="00EC754C"/>
    <w:rsid w:val="00EC7694"/>
    <w:rsid w:val="00EC7900"/>
    <w:rsid w:val="00ED2291"/>
    <w:rsid w:val="00ED2A8A"/>
    <w:rsid w:val="00ED5177"/>
    <w:rsid w:val="00ED54EC"/>
    <w:rsid w:val="00ED5D88"/>
    <w:rsid w:val="00ED6D27"/>
    <w:rsid w:val="00ED71B6"/>
    <w:rsid w:val="00EE1692"/>
    <w:rsid w:val="00EE216A"/>
    <w:rsid w:val="00EE3462"/>
    <w:rsid w:val="00EE36C2"/>
    <w:rsid w:val="00EE3BA5"/>
    <w:rsid w:val="00EE3D57"/>
    <w:rsid w:val="00EE4266"/>
    <w:rsid w:val="00EE44D2"/>
    <w:rsid w:val="00EE4A95"/>
    <w:rsid w:val="00EE62CD"/>
    <w:rsid w:val="00EE740F"/>
    <w:rsid w:val="00EE7723"/>
    <w:rsid w:val="00EE7765"/>
    <w:rsid w:val="00EF01BE"/>
    <w:rsid w:val="00EF0D40"/>
    <w:rsid w:val="00EF14FC"/>
    <w:rsid w:val="00EF1E28"/>
    <w:rsid w:val="00EF2EF4"/>
    <w:rsid w:val="00EF3D77"/>
    <w:rsid w:val="00EF3F3D"/>
    <w:rsid w:val="00EF4458"/>
    <w:rsid w:val="00EF48D4"/>
    <w:rsid w:val="00EF6D4A"/>
    <w:rsid w:val="00F012BC"/>
    <w:rsid w:val="00F0136C"/>
    <w:rsid w:val="00F03F88"/>
    <w:rsid w:val="00F0617A"/>
    <w:rsid w:val="00F07032"/>
    <w:rsid w:val="00F07FF4"/>
    <w:rsid w:val="00F113B5"/>
    <w:rsid w:val="00F1170B"/>
    <w:rsid w:val="00F11827"/>
    <w:rsid w:val="00F123CF"/>
    <w:rsid w:val="00F12780"/>
    <w:rsid w:val="00F13133"/>
    <w:rsid w:val="00F14A09"/>
    <w:rsid w:val="00F14AA2"/>
    <w:rsid w:val="00F1608B"/>
    <w:rsid w:val="00F163A6"/>
    <w:rsid w:val="00F16EE0"/>
    <w:rsid w:val="00F20C00"/>
    <w:rsid w:val="00F21242"/>
    <w:rsid w:val="00F216E2"/>
    <w:rsid w:val="00F22354"/>
    <w:rsid w:val="00F2330A"/>
    <w:rsid w:val="00F247AC"/>
    <w:rsid w:val="00F24C76"/>
    <w:rsid w:val="00F25998"/>
    <w:rsid w:val="00F26777"/>
    <w:rsid w:val="00F26993"/>
    <w:rsid w:val="00F27E10"/>
    <w:rsid w:val="00F27F8F"/>
    <w:rsid w:val="00F30C0D"/>
    <w:rsid w:val="00F3128A"/>
    <w:rsid w:val="00F31536"/>
    <w:rsid w:val="00F33084"/>
    <w:rsid w:val="00F336F2"/>
    <w:rsid w:val="00F33B2F"/>
    <w:rsid w:val="00F34E13"/>
    <w:rsid w:val="00F356CE"/>
    <w:rsid w:val="00F35BAE"/>
    <w:rsid w:val="00F35EA1"/>
    <w:rsid w:val="00F37A1A"/>
    <w:rsid w:val="00F401CD"/>
    <w:rsid w:val="00F410DC"/>
    <w:rsid w:val="00F42450"/>
    <w:rsid w:val="00F4255C"/>
    <w:rsid w:val="00F428FF"/>
    <w:rsid w:val="00F4304D"/>
    <w:rsid w:val="00F43F55"/>
    <w:rsid w:val="00F445F3"/>
    <w:rsid w:val="00F45CCD"/>
    <w:rsid w:val="00F461AB"/>
    <w:rsid w:val="00F46A2E"/>
    <w:rsid w:val="00F46DA9"/>
    <w:rsid w:val="00F47796"/>
    <w:rsid w:val="00F51A3D"/>
    <w:rsid w:val="00F522DF"/>
    <w:rsid w:val="00F534FB"/>
    <w:rsid w:val="00F53524"/>
    <w:rsid w:val="00F53FDD"/>
    <w:rsid w:val="00F569B8"/>
    <w:rsid w:val="00F56DCA"/>
    <w:rsid w:val="00F578EE"/>
    <w:rsid w:val="00F606AB"/>
    <w:rsid w:val="00F607D3"/>
    <w:rsid w:val="00F62124"/>
    <w:rsid w:val="00F625D2"/>
    <w:rsid w:val="00F62BFE"/>
    <w:rsid w:val="00F62DE6"/>
    <w:rsid w:val="00F62F4E"/>
    <w:rsid w:val="00F634FE"/>
    <w:rsid w:val="00F640B1"/>
    <w:rsid w:val="00F64616"/>
    <w:rsid w:val="00F656AA"/>
    <w:rsid w:val="00F65E5B"/>
    <w:rsid w:val="00F67C2C"/>
    <w:rsid w:val="00F715A6"/>
    <w:rsid w:val="00F7188A"/>
    <w:rsid w:val="00F71FBB"/>
    <w:rsid w:val="00F72ACE"/>
    <w:rsid w:val="00F73DB8"/>
    <w:rsid w:val="00F750F9"/>
    <w:rsid w:val="00F7512F"/>
    <w:rsid w:val="00F7540B"/>
    <w:rsid w:val="00F76B7C"/>
    <w:rsid w:val="00F77572"/>
    <w:rsid w:val="00F77894"/>
    <w:rsid w:val="00F803FA"/>
    <w:rsid w:val="00F80401"/>
    <w:rsid w:val="00F809F1"/>
    <w:rsid w:val="00F8282D"/>
    <w:rsid w:val="00F84181"/>
    <w:rsid w:val="00F84E6B"/>
    <w:rsid w:val="00F85979"/>
    <w:rsid w:val="00F85BBD"/>
    <w:rsid w:val="00F85E91"/>
    <w:rsid w:val="00F85F07"/>
    <w:rsid w:val="00F879B1"/>
    <w:rsid w:val="00F90F5C"/>
    <w:rsid w:val="00F913D9"/>
    <w:rsid w:val="00F917A5"/>
    <w:rsid w:val="00F918F5"/>
    <w:rsid w:val="00F960C1"/>
    <w:rsid w:val="00F9650F"/>
    <w:rsid w:val="00F96815"/>
    <w:rsid w:val="00F97204"/>
    <w:rsid w:val="00FA0143"/>
    <w:rsid w:val="00FA0343"/>
    <w:rsid w:val="00FA0510"/>
    <w:rsid w:val="00FA0E56"/>
    <w:rsid w:val="00FA11AB"/>
    <w:rsid w:val="00FA23DB"/>
    <w:rsid w:val="00FA2AF3"/>
    <w:rsid w:val="00FA2E0F"/>
    <w:rsid w:val="00FA3438"/>
    <w:rsid w:val="00FA3A07"/>
    <w:rsid w:val="00FA43D4"/>
    <w:rsid w:val="00FA4811"/>
    <w:rsid w:val="00FA4FD8"/>
    <w:rsid w:val="00FA5CDE"/>
    <w:rsid w:val="00FA6901"/>
    <w:rsid w:val="00FA69E3"/>
    <w:rsid w:val="00FA6ECF"/>
    <w:rsid w:val="00FA753C"/>
    <w:rsid w:val="00FB0FEF"/>
    <w:rsid w:val="00FB1F96"/>
    <w:rsid w:val="00FB2330"/>
    <w:rsid w:val="00FB41B2"/>
    <w:rsid w:val="00FB6AF3"/>
    <w:rsid w:val="00FB7AB0"/>
    <w:rsid w:val="00FC00A3"/>
    <w:rsid w:val="00FC08BB"/>
    <w:rsid w:val="00FC1908"/>
    <w:rsid w:val="00FC1B6E"/>
    <w:rsid w:val="00FC2537"/>
    <w:rsid w:val="00FC2C61"/>
    <w:rsid w:val="00FC30F4"/>
    <w:rsid w:val="00FC33EC"/>
    <w:rsid w:val="00FC3475"/>
    <w:rsid w:val="00FC3987"/>
    <w:rsid w:val="00FC3D78"/>
    <w:rsid w:val="00FC42F5"/>
    <w:rsid w:val="00FC465E"/>
    <w:rsid w:val="00FC5B62"/>
    <w:rsid w:val="00FC5E81"/>
    <w:rsid w:val="00FC60B4"/>
    <w:rsid w:val="00FC6A2F"/>
    <w:rsid w:val="00FC6F51"/>
    <w:rsid w:val="00FC76D8"/>
    <w:rsid w:val="00FC7DD6"/>
    <w:rsid w:val="00FD05D0"/>
    <w:rsid w:val="00FD1615"/>
    <w:rsid w:val="00FD2592"/>
    <w:rsid w:val="00FD28A6"/>
    <w:rsid w:val="00FD3861"/>
    <w:rsid w:val="00FD3EE7"/>
    <w:rsid w:val="00FD432B"/>
    <w:rsid w:val="00FD5A15"/>
    <w:rsid w:val="00FD5F41"/>
    <w:rsid w:val="00FD608D"/>
    <w:rsid w:val="00FD6914"/>
    <w:rsid w:val="00FD7634"/>
    <w:rsid w:val="00FD7F9E"/>
    <w:rsid w:val="00FE0FD4"/>
    <w:rsid w:val="00FE17A2"/>
    <w:rsid w:val="00FE21D4"/>
    <w:rsid w:val="00FE2E73"/>
    <w:rsid w:val="00FE4618"/>
    <w:rsid w:val="00FE4B19"/>
    <w:rsid w:val="00FE5118"/>
    <w:rsid w:val="00FE61E1"/>
    <w:rsid w:val="00FE7B3D"/>
    <w:rsid w:val="00FE7E29"/>
    <w:rsid w:val="00FF0188"/>
    <w:rsid w:val="00FF0D80"/>
    <w:rsid w:val="00FF12F8"/>
    <w:rsid w:val="00FF2378"/>
    <w:rsid w:val="00FF44F9"/>
    <w:rsid w:val="00FF50A8"/>
    <w:rsid w:val="00FF549C"/>
    <w:rsid w:val="00FF5DC2"/>
    <w:rsid w:val="00FF5E5C"/>
    <w:rsid w:val="00FF69F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181F"/>
    <w:pPr>
      <w:jc w:val="both"/>
    </w:pPr>
    <w:rPr>
      <w:szCs w:val="24"/>
      <w:lang w:val="en-GB"/>
    </w:rPr>
  </w:style>
  <w:style w:type="paragraph" w:styleId="Heading1">
    <w:name w:val="heading 1"/>
    <w:next w:val="Normal"/>
    <w:qFormat/>
    <w:rsid w:val="00BC56C2"/>
    <w:pPr>
      <w:keepNext/>
      <w:numPr>
        <w:numId w:val="1"/>
      </w:numPr>
      <w:spacing w:before="240" w:after="240"/>
      <w:outlineLvl w:val="0"/>
    </w:pPr>
    <w:rPr>
      <w:rFonts w:cs="Arial"/>
      <w:b/>
      <w:bCs/>
      <w:kern w:val="32"/>
      <w:sz w:val="24"/>
      <w:szCs w:val="32"/>
      <w:lang w:val="en-GB"/>
    </w:rPr>
  </w:style>
  <w:style w:type="paragraph" w:styleId="Heading2">
    <w:name w:val="heading 2"/>
    <w:next w:val="Normal"/>
    <w:qFormat/>
    <w:rsid w:val="00BC56C2"/>
    <w:pPr>
      <w:keepNext/>
      <w:numPr>
        <w:ilvl w:val="1"/>
        <w:numId w:val="1"/>
      </w:numPr>
      <w:spacing w:before="200" w:after="200"/>
      <w:outlineLvl w:val="1"/>
    </w:pPr>
    <w:rPr>
      <w:rFonts w:cs="Arial"/>
      <w:b/>
      <w:bCs/>
      <w:iCs/>
      <w:szCs w:val="28"/>
      <w:lang w:val="en-GB"/>
    </w:rPr>
  </w:style>
  <w:style w:type="paragraph" w:styleId="Heading3">
    <w:name w:val="heading 3"/>
    <w:next w:val="Normal"/>
    <w:qFormat/>
    <w:rsid w:val="00BC56C2"/>
    <w:pPr>
      <w:keepNext/>
      <w:numPr>
        <w:ilvl w:val="2"/>
        <w:numId w:val="1"/>
      </w:numPr>
      <w:spacing w:before="200"/>
      <w:outlineLvl w:val="2"/>
    </w:pPr>
    <w:rPr>
      <w:rFonts w:cs="Arial"/>
      <w:b/>
      <w:bCs/>
      <w:szCs w:val="26"/>
      <w:lang w:val="en-GB"/>
    </w:rPr>
  </w:style>
  <w:style w:type="paragraph" w:styleId="Heading4">
    <w:name w:val="heading 4"/>
    <w:basedOn w:val="Normal"/>
    <w:next w:val="Normal"/>
    <w:qFormat/>
    <w:rsid w:val="00BC56C2"/>
    <w:pPr>
      <w:keepNext/>
      <w:numPr>
        <w:ilvl w:val="3"/>
        <w:numId w:val="1"/>
      </w:numPr>
      <w:spacing w:before="240" w:after="60"/>
      <w:outlineLvl w:val="3"/>
    </w:pPr>
    <w:rPr>
      <w:b/>
      <w:bCs/>
      <w:sz w:val="28"/>
      <w:szCs w:val="28"/>
    </w:rPr>
  </w:style>
  <w:style w:type="paragraph" w:styleId="Heading5">
    <w:name w:val="heading 5"/>
    <w:basedOn w:val="Normal"/>
    <w:next w:val="Normal"/>
    <w:qFormat/>
    <w:rsid w:val="00BC56C2"/>
    <w:pPr>
      <w:numPr>
        <w:ilvl w:val="4"/>
        <w:numId w:val="1"/>
      </w:numPr>
      <w:spacing w:before="240" w:after="60"/>
      <w:outlineLvl w:val="4"/>
    </w:pPr>
    <w:rPr>
      <w:b/>
      <w:bCs/>
      <w:i/>
      <w:iCs/>
      <w:sz w:val="26"/>
      <w:szCs w:val="26"/>
    </w:rPr>
  </w:style>
  <w:style w:type="paragraph" w:styleId="Heading6">
    <w:name w:val="heading 6"/>
    <w:basedOn w:val="Normal"/>
    <w:next w:val="Normal"/>
    <w:qFormat/>
    <w:rsid w:val="00BC56C2"/>
    <w:pPr>
      <w:numPr>
        <w:ilvl w:val="5"/>
        <w:numId w:val="1"/>
      </w:numPr>
      <w:spacing w:before="240" w:after="60"/>
      <w:outlineLvl w:val="5"/>
    </w:pPr>
    <w:rPr>
      <w:b/>
      <w:bCs/>
      <w:sz w:val="22"/>
      <w:szCs w:val="22"/>
    </w:rPr>
  </w:style>
  <w:style w:type="paragraph" w:styleId="Heading7">
    <w:name w:val="heading 7"/>
    <w:basedOn w:val="Normal"/>
    <w:next w:val="Normal"/>
    <w:qFormat/>
    <w:rsid w:val="00BC56C2"/>
    <w:pPr>
      <w:numPr>
        <w:ilvl w:val="6"/>
        <w:numId w:val="1"/>
      </w:numPr>
      <w:spacing w:before="240" w:after="60"/>
      <w:outlineLvl w:val="6"/>
    </w:pPr>
  </w:style>
  <w:style w:type="paragraph" w:styleId="Heading8">
    <w:name w:val="heading 8"/>
    <w:basedOn w:val="Normal"/>
    <w:next w:val="Normal"/>
    <w:qFormat/>
    <w:rsid w:val="00BC56C2"/>
    <w:pPr>
      <w:numPr>
        <w:ilvl w:val="7"/>
        <w:numId w:val="1"/>
      </w:numPr>
      <w:spacing w:before="240" w:after="60"/>
      <w:outlineLvl w:val="7"/>
    </w:pPr>
    <w:rPr>
      <w:i/>
      <w:iCs/>
    </w:rPr>
  </w:style>
  <w:style w:type="paragraph" w:styleId="Heading9">
    <w:name w:val="heading 9"/>
    <w:basedOn w:val="Normal"/>
    <w:next w:val="Normal"/>
    <w:qFormat/>
    <w:rsid w:val="00BC56C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C56C2"/>
    <w:rPr>
      <w:color w:val="0000FF"/>
      <w:u w:val="single"/>
    </w:rPr>
  </w:style>
  <w:style w:type="paragraph" w:customStyle="1" w:styleId="PaperTitle">
    <w:name w:val="Paper Title"/>
    <w:next w:val="PaperAuthor"/>
    <w:rsid w:val="00BC56C2"/>
    <w:pPr>
      <w:widowControl w:val="0"/>
      <w:spacing w:before="1960"/>
      <w:outlineLvl w:val="0"/>
    </w:pPr>
    <w:rPr>
      <w:b/>
      <w:sz w:val="32"/>
      <w:lang w:val="en-GB"/>
    </w:rPr>
  </w:style>
  <w:style w:type="paragraph" w:customStyle="1" w:styleId="PaperAuthor">
    <w:name w:val="Paper Author"/>
    <w:next w:val="PaperAffliation"/>
    <w:rsid w:val="00BC56C2"/>
    <w:pPr>
      <w:widowControl w:val="0"/>
      <w:spacing w:before="320"/>
      <w:outlineLvl w:val="1"/>
    </w:pPr>
    <w:rPr>
      <w:sz w:val="24"/>
      <w:lang w:val="en-GB"/>
    </w:rPr>
  </w:style>
  <w:style w:type="paragraph" w:customStyle="1" w:styleId="PaperAffliation">
    <w:name w:val="Paper Affliation"/>
    <w:next w:val="Normal"/>
    <w:rsid w:val="00BC56C2"/>
    <w:pPr>
      <w:widowControl w:val="0"/>
      <w:outlineLvl w:val="1"/>
    </w:pPr>
    <w:rPr>
      <w:i/>
      <w:sz w:val="22"/>
      <w:lang w:val="en-GB"/>
    </w:rPr>
  </w:style>
  <w:style w:type="paragraph" w:customStyle="1" w:styleId="AbstractText">
    <w:name w:val="Abstract Text"/>
    <w:next w:val="Normal"/>
    <w:rsid w:val="00BC56C2"/>
    <w:pPr>
      <w:widowControl w:val="0"/>
      <w:spacing w:before="240"/>
      <w:jc w:val="both"/>
      <w:outlineLvl w:val="1"/>
    </w:pPr>
    <w:rPr>
      <w:lang w:val="en-GB"/>
    </w:rPr>
  </w:style>
  <w:style w:type="table" w:styleId="TableGrid">
    <w:name w:val="Table Grid"/>
    <w:basedOn w:val="TableNormal"/>
    <w:rsid w:val="00BC56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C56C2"/>
    <w:rPr>
      <w:b/>
      <w:bCs/>
      <w:szCs w:val="20"/>
    </w:rPr>
  </w:style>
  <w:style w:type="paragraph" w:styleId="FootnoteText">
    <w:name w:val="footnote text"/>
    <w:basedOn w:val="Normal"/>
    <w:semiHidden/>
    <w:rsid w:val="00AE70F2"/>
    <w:rPr>
      <w:szCs w:val="20"/>
    </w:rPr>
  </w:style>
  <w:style w:type="character" w:styleId="FootnoteReference">
    <w:name w:val="footnote reference"/>
    <w:basedOn w:val="DefaultParagraphFont"/>
    <w:semiHidden/>
    <w:rsid w:val="00AE70F2"/>
    <w:rPr>
      <w:vertAlign w:val="superscript"/>
    </w:rPr>
  </w:style>
  <w:style w:type="character" w:customStyle="1" w:styleId="searchword">
    <w:name w:val="searchword"/>
    <w:basedOn w:val="DefaultParagraphFont"/>
    <w:rsid w:val="00914D76"/>
    <w:rPr>
      <w:shd w:val="clear" w:color="auto" w:fill="FFFF00"/>
    </w:rPr>
  </w:style>
  <w:style w:type="paragraph" w:styleId="Footer">
    <w:name w:val="footer"/>
    <w:basedOn w:val="Normal"/>
    <w:link w:val="FooterChar"/>
    <w:uiPriority w:val="99"/>
    <w:rsid w:val="00F33B2F"/>
    <w:pPr>
      <w:tabs>
        <w:tab w:val="center" w:pos="4320"/>
        <w:tab w:val="right" w:pos="8640"/>
      </w:tabs>
    </w:pPr>
  </w:style>
  <w:style w:type="character" w:styleId="PageNumber">
    <w:name w:val="page number"/>
    <w:basedOn w:val="DefaultParagraphFont"/>
    <w:rsid w:val="00F33B2F"/>
  </w:style>
  <w:style w:type="paragraph" w:styleId="BalloonText">
    <w:name w:val="Balloon Text"/>
    <w:basedOn w:val="Normal"/>
    <w:semiHidden/>
    <w:rsid w:val="000D2029"/>
    <w:rPr>
      <w:rFonts w:ascii="Tahoma" w:hAnsi="Tahoma" w:cs="Tahoma"/>
      <w:sz w:val="16"/>
      <w:szCs w:val="16"/>
    </w:rPr>
  </w:style>
  <w:style w:type="character" w:styleId="Emphasis">
    <w:name w:val="Emphasis"/>
    <w:basedOn w:val="DefaultParagraphFont"/>
    <w:qFormat/>
    <w:rsid w:val="000C0DCF"/>
    <w:rPr>
      <w:i/>
      <w:iCs/>
    </w:rPr>
  </w:style>
  <w:style w:type="character" w:customStyle="1" w:styleId="apple-style-span">
    <w:name w:val="apple-style-span"/>
    <w:basedOn w:val="DefaultParagraphFont"/>
    <w:rsid w:val="00C86B75"/>
  </w:style>
  <w:style w:type="paragraph" w:styleId="ListParagraph">
    <w:name w:val="List Paragraph"/>
    <w:basedOn w:val="Normal"/>
    <w:uiPriority w:val="34"/>
    <w:qFormat/>
    <w:rsid w:val="000251A7"/>
    <w:pPr>
      <w:ind w:left="720"/>
    </w:pPr>
  </w:style>
  <w:style w:type="paragraph" w:styleId="Header">
    <w:name w:val="header"/>
    <w:basedOn w:val="Normal"/>
    <w:link w:val="HeaderChar"/>
    <w:rsid w:val="00054CAC"/>
    <w:pPr>
      <w:tabs>
        <w:tab w:val="center" w:pos="4680"/>
        <w:tab w:val="right" w:pos="9360"/>
      </w:tabs>
    </w:pPr>
  </w:style>
  <w:style w:type="character" w:customStyle="1" w:styleId="HeaderChar">
    <w:name w:val="Header Char"/>
    <w:basedOn w:val="DefaultParagraphFont"/>
    <w:link w:val="Header"/>
    <w:rsid w:val="00054CAC"/>
    <w:rPr>
      <w:szCs w:val="24"/>
      <w:lang w:val="en-GB"/>
    </w:rPr>
  </w:style>
  <w:style w:type="character" w:customStyle="1" w:styleId="FooterChar">
    <w:name w:val="Footer Char"/>
    <w:basedOn w:val="DefaultParagraphFont"/>
    <w:link w:val="Footer"/>
    <w:uiPriority w:val="99"/>
    <w:rsid w:val="00054CAC"/>
    <w:rPr>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oleObject" Target="embeddings/oleObject64.bin"/><Relationship Id="rId138" Type="http://schemas.openxmlformats.org/officeDocument/2006/relationships/image" Target="media/image65.wmf"/><Relationship Id="rId154" Type="http://schemas.openxmlformats.org/officeDocument/2006/relationships/image" Target="media/image73.wmf"/><Relationship Id="rId159" Type="http://schemas.openxmlformats.org/officeDocument/2006/relationships/oleObject" Target="embeddings/oleObject77.bin"/><Relationship Id="rId175" Type="http://schemas.openxmlformats.org/officeDocument/2006/relationships/image" Target="media/image81.wmf"/><Relationship Id="rId170" Type="http://schemas.openxmlformats.org/officeDocument/2006/relationships/oleObject" Target="embeddings/oleObject85.bin"/><Relationship Id="rId16" Type="http://schemas.openxmlformats.org/officeDocument/2006/relationships/image" Target="media/image5.w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9.bin"/><Relationship Id="rId128" Type="http://schemas.openxmlformats.org/officeDocument/2006/relationships/image" Target="media/image60.wmf"/><Relationship Id="rId144" Type="http://schemas.openxmlformats.org/officeDocument/2006/relationships/image" Target="media/image68.wmf"/><Relationship Id="rId149" Type="http://schemas.openxmlformats.org/officeDocument/2006/relationships/oleObject" Target="embeddings/oleObject72.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160" Type="http://schemas.openxmlformats.org/officeDocument/2006/relationships/image" Target="media/image76.wmf"/><Relationship Id="rId165" Type="http://schemas.openxmlformats.org/officeDocument/2006/relationships/oleObject" Target="embeddings/oleObject82.bin"/><Relationship Id="rId181" Type="http://schemas.openxmlformats.org/officeDocument/2006/relationships/image" Target="media/image84.wmf"/><Relationship Id="rId186" Type="http://schemas.openxmlformats.org/officeDocument/2006/relationships/footer" Target="footer2.xml"/><Relationship Id="rId22" Type="http://schemas.openxmlformats.org/officeDocument/2006/relationships/oleObject" Target="embeddings/oleObject8.bin"/><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7.bin"/><Relationship Id="rId80" Type="http://schemas.openxmlformats.org/officeDocument/2006/relationships/image" Target="media/image36.wmf"/><Relationship Id="rId85" Type="http://schemas.openxmlformats.org/officeDocument/2006/relationships/oleObject" Target="embeddings/oleObject40.bin"/><Relationship Id="rId150" Type="http://schemas.openxmlformats.org/officeDocument/2006/relationships/image" Target="media/image71.wmf"/><Relationship Id="rId155" Type="http://schemas.openxmlformats.org/officeDocument/2006/relationships/oleObject" Target="embeddings/oleObject75.bin"/><Relationship Id="rId171" Type="http://schemas.openxmlformats.org/officeDocument/2006/relationships/image" Target="media/image79.wmf"/><Relationship Id="rId176" Type="http://schemas.openxmlformats.org/officeDocument/2006/relationships/oleObject" Target="embeddings/oleObject88.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4.bin"/><Relationship Id="rId38" Type="http://schemas.openxmlformats.org/officeDocument/2006/relationships/image" Target="media/image15.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2.bin"/><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oleObject" Target="embeddings/oleObject83.bin"/><Relationship Id="rId182" Type="http://schemas.openxmlformats.org/officeDocument/2006/relationships/oleObject" Target="embeddings/oleObject91.bin"/><Relationship Id="rId18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9.bin"/><Relationship Id="rId28" Type="http://schemas.openxmlformats.org/officeDocument/2006/relationships/image" Target="media/image10.wmf"/><Relationship Id="rId49" Type="http://schemas.openxmlformats.org/officeDocument/2006/relationships/oleObject" Target="embeddings/oleObject22.bin"/><Relationship Id="rId114" Type="http://schemas.openxmlformats.org/officeDocument/2006/relationships/image" Target="media/image53.wmf"/><Relationship Id="rId119" Type="http://schemas.openxmlformats.org/officeDocument/2006/relationships/oleObject" Target="embeddings/oleObject57.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39.wmf"/><Relationship Id="rId130" Type="http://schemas.openxmlformats.org/officeDocument/2006/relationships/image" Target="media/image61.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4.wmf"/><Relationship Id="rId177" Type="http://schemas.openxmlformats.org/officeDocument/2006/relationships/image" Target="media/image82.wmf"/><Relationship Id="rId172" Type="http://schemas.openxmlformats.org/officeDocument/2006/relationships/oleObject" Target="embeddings/oleObject86.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69.wmf"/><Relationship Id="rId167" Type="http://schemas.openxmlformats.org/officeDocument/2006/relationships/image" Target="media/image77.wmf"/><Relationship Id="rId188"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162" Type="http://schemas.openxmlformats.org/officeDocument/2006/relationships/oleObject" Target="embeddings/oleObject79.bin"/><Relationship Id="rId183" Type="http://schemas.openxmlformats.org/officeDocument/2006/relationships/image" Target="media/image85.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4.wmf"/><Relationship Id="rId157" Type="http://schemas.openxmlformats.org/officeDocument/2006/relationships/oleObject" Target="embeddings/oleObject76.bin"/><Relationship Id="rId178" Type="http://schemas.openxmlformats.org/officeDocument/2006/relationships/oleObject" Target="embeddings/oleObject89.bin"/><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image" Target="media/image72.wmf"/><Relationship Id="rId173" Type="http://schemas.openxmlformats.org/officeDocument/2006/relationships/image" Target="media/image80.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15.bin"/><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oleObject" Target="embeddings/oleObject71.bin"/><Relationship Id="rId168" Type="http://schemas.openxmlformats.org/officeDocument/2006/relationships/oleObject" Target="embeddings/oleObject84.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8.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oleObject" Target="embeddings/oleObject92.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19.wmf"/><Relationship Id="rId67" Type="http://schemas.openxmlformats.org/officeDocument/2006/relationships/oleObject" Target="embeddings/oleObject31.bin"/><Relationship Id="rId116" Type="http://schemas.openxmlformats.org/officeDocument/2006/relationships/image" Target="media/image54.wmf"/><Relationship Id="rId137" Type="http://schemas.openxmlformats.org/officeDocument/2006/relationships/oleObject" Target="embeddings/oleObject66.bin"/><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image" Target="media/image62.wmf"/><Relationship Id="rId153" Type="http://schemas.openxmlformats.org/officeDocument/2006/relationships/oleObject" Target="embeddings/oleObject74.bin"/><Relationship Id="rId174" Type="http://schemas.openxmlformats.org/officeDocument/2006/relationships/oleObject" Target="embeddings/oleObject87.bin"/><Relationship Id="rId179" Type="http://schemas.openxmlformats.org/officeDocument/2006/relationships/image" Target="media/image83.wmf"/><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oleObject" Target="embeddings/oleObject61.bin"/><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image" Target="media/image22.wmf"/><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43" Type="http://schemas.openxmlformats.org/officeDocument/2006/relationships/oleObject" Target="embeddings/oleObject69.bin"/><Relationship Id="rId148" Type="http://schemas.openxmlformats.org/officeDocument/2006/relationships/image" Target="media/image70.wmf"/><Relationship Id="rId164" Type="http://schemas.openxmlformats.org/officeDocument/2006/relationships/oleObject" Target="embeddings/oleObject81.bin"/><Relationship Id="rId169" Type="http://schemas.openxmlformats.org/officeDocument/2006/relationships/image" Target="media/image78.wmf"/><Relationship Id="rId18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78852-56CF-4037-AC25-82133181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18</Pages>
  <Words>6290</Words>
  <Characters>35859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Portfolio Optimization and Risk Budgets</vt:lpstr>
    </vt:vector>
  </TitlesOfParts>
  <Company>K.U.Leuven</Company>
  <LinksUpToDate>false</LinksUpToDate>
  <CharactersWithSpaces>42065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Optimization and Risk Budgets</dc:title>
  <dc:subject/>
  <dc:creator>Kris Boudt, Peter Carl and Brian G Peterson</dc:creator>
  <cp:keywords/>
  <dc:description/>
  <cp:lastModifiedBy>Boudt Kris</cp:lastModifiedBy>
  <cp:revision>50</cp:revision>
  <cp:lastPrinted>2010-08-18T10:08:00Z</cp:lastPrinted>
  <dcterms:created xsi:type="dcterms:W3CDTF">2010-08-08T16:19:00Z</dcterms:created>
  <dcterms:modified xsi:type="dcterms:W3CDTF">2010-08-18T15:13:00Z</dcterms:modified>
  <cp:category>Research paper</cp:category>
</cp:coreProperties>
</file>