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w:t>
      </w:r>
      <w:r>
        <w:t xml:space="preserve"> </w:t>
      </w:r>
      <w:hyperlink r:id="rId9">
        <w:r>
          <w:rPr>
            <w:rStyle w:val="Hyperlink"/>
          </w:rPr>
          <w:t xml:space="preserve">mark.shaver@wichita.edu</w:t>
        </w:r>
      </w:hyperlink>
    </w:p>
    <w:bookmarkStart w:id="10"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component-level ablation, and evaluation of Wide Dynamic Range Compression (WDRC) prescriptive rules. While modern prescriptions like NAL-NL2 rely on extensive empirical regularizations to ensure clinical safety—historically necessitated by the well-documented failures of theoretical intelligibility maximization—their compiled, closed-source nature prevents researchers from isolating the interactions of specific heuristic safeguards. Open-NL addresses this limitation by coupling a multi-start Nelder-Mead effective (desensitized) Speech Intelligibility Index (SII) optimizer with the Moore &amp; Glasberg (2004) specific-loudness model within an established 7-profile evaluation paradigm. We benchmark this testbed across a</w:t>
      </w:r>
      <w:r>
        <w:t xml:space="preserve"> </w:t>
      </w:r>
      <m:oMath>
        <m:sSup>
          <m:e>
            <m:r>
              <m:t>4</m:t>
            </m:r>
          </m:e>
          <m:sup>
            <m:r>
              <m:t>4</m:t>
            </m:r>
          </m:sup>
        </m:sSup>
        <m:r>
          <m:rPr>
            <m:sty m:val="p"/>
          </m:rPr>
          <m:t>=</m:t>
        </m:r>
        <m:r>
          <m:t>256</m:t>
        </m:r>
      </m:oMath>
      <w:r>
        <w:t xml:space="preserve">-permutation heuristic sweep alongside a 768-point Monte Carlo stability analysis, establishing a fundamental distinction between numerical convergence and heuristic sensitivity: while the multi-start solver exhibits high numerical stability (</w:t>
      </w:r>
      <m:oMath>
        <m:r>
          <m:rPr>
            <m:nor/>
            <m:sty m:val="p"/>
          </m:rPr>
          <m:t>SD</m:t>
        </m:r>
        <m:r>
          <m:rPr>
            <m:sty m:val="p"/>
          </m:rPr>
          <m:t>&lt;</m:t>
        </m:r>
        <m:r>
          <m:t>0.025</m:t>
        </m:r>
      </m:oMath>
      <w:r>
        <w:t xml:space="preserve"> </w:t>
      </w:r>
      <w:r>
        <w:t xml:space="preserve">SII) for any fixed parameter set, prescribed targets display extreme heuristic sensitivity in severe-sloping configurations, swinging modeled monaural loudness between 0.9 and 5.3 sones under minor rule modifications. Because standard monaural models underestimate real-world binaural broadband summation by ~2.4</w:t>
      </w:r>
      <m:oMath>
        <m:r>
          <m:rPr>
            <m:sty m:val="p"/>
          </m:rPr>
          <m:t>×</m:t>
        </m:r>
      </m:oMath>
      <w:r>
        <w:t xml:space="preserve"> </w:t>
      </w:r>
      <w:r>
        <w:t xml:space="preserve">in listeners exhibiting excess summation, this modeled loudness frontier is strictly illustrative rather than clinically definitive. Furthermore, Open-NL’s mathematically optimal high-frequency targets for profound profiles dramatically exceed standard clinical baselines, establishing a formally testable hypothesis that uncalibrated limits will systematically trigger &gt;80% behavioral loudness rejection. By exposing these trade-offs within an inspectable framework, Open-NL provides the computational substrate for future stochastic calibration workflows designed to replace static heuristic boundaries with individualized, distortion-aware objective functions.</w:t>
      </w:r>
    </w:p>
    <w:bookmarkEnd w:id="10"/>
    <w:bookmarkStart w:id="12"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and optimization objectives of major algorithms like NAL-NL2 and DSL m[i/o] are published in detail, their compiled software implementations remain closed-source. Audiological science has long recognized that unconstrained intelligibility maximization fails clinically without extensive empirical regularization. The historical evolution from NAL-NL1 to NAL-NL2 specifically required empirical corrections—including global gain reductions (-2 dB for female listeners and new users) and reduced compression ratios for severe losses—to counteract aggressive over-amplification provoked by pure mathematical optimization (Keidser, Dillon, Carter, &amp; O’Brien, 2012). However, because clinical fitting software packages are compiled black boxes, researchers cannot isolate the relative contribution of individual heuristic rules or observe how specific safeguards interact within the optimization cascade. Existing open-source tools serve distinct functional niches: openMHA (Herzke et al., 2017) operates as a real-time signal processing master hearing aid rather than a target generator; the Cambridge CAM2/CAMEQ2-HF formulae (Moore et al., 2010) provide rigidly defined equation-based targets rather than a modular optimization sandbox; and the Auditory Modeling Toolbox (AMT; Majdak et al., 2022) offers loudness modeling without native prescriptive inversion. Consequently, investigators cannot isolate a specific prescriptive heuristic within an optimization loop without reverse-engineering an entire proprietary engine. Open-NL fills this gap by providing a modifiable R substrate explicitly designed for the modular ablation of prescriptive heuristics. By coupling a Nelder-Mead effective SII optimizer to an integrated C++ specific-loudness engine, researchers can systematically disable, isolate, or invert individual heuristics—such as evaluating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“effective SII”</w:t>
      </w:r>
      <w:r>
        <w:t xml:space="preserve"> </w:t>
      </w:r>
      <w:r>
        <w:t xml:space="preserve">or</w:t>
      </w:r>
      <w:r>
        <w:t xml:space="preserve"> </w:t>
      </w:r>
      <w:r>
        <w:t xml:space="preserve">“desensitized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1"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1"/>
    <w:bookmarkEnd w:id="12"/>
    <w:bookmarkStart w:id="18" w:name="ii.-algorithm-architecture"/>
    <w:p>
      <w:pPr>
        <w:pStyle w:val="Heading2"/>
      </w:pPr>
      <w:r>
        <w:t xml:space="preserve">II. ALGORITHM ARCHITECTURE</w:t>
      </w:r>
    </w:p>
    <w:bookmarkStart w:id="13" w:name="X211f80f13baa5d76934c21c730facd5e0ea7e70"/>
    <w:p>
      <w:pPr>
        <w:pStyle w:val="Heading3"/>
      </w:pPr>
      <w:r>
        <w:t xml:space="preserve">A. Prescriptive Rationale and Objective Function</w:t>
      </w:r>
    </w:p>
    <w:p>
      <w:pPr>
        <w:pStyle w:val="FirstParagraph"/>
      </w:pPr>
      <w:r>
        <w:t xml:space="preserve">The choice of objective function represents the primary design decision in any prescriptive formula, governing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 DSL m[i/o] normalizes loudness across frequency to restore normal dynamic range perception (Scollie et al., 2005); and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mathematical objective is the unconstrained maximization of effective (desensitized) SII. Rather than globally restricting this maximization to a static</w:t>
      </w:r>
      <w:r>
        <w:t xml:space="preserve"> </w:t>
      </w:r>
      <w:r>
        <w:t xml:space="preserve">“normal-or-less”</w:t>
      </w:r>
      <w:r>
        <w:t xml:space="preserve"> </w:t>
      </w:r>
      <w:r>
        <w:t xml:space="preserve">loudness boundary, Open-NL permits loudness to grow dynamically until striking a U-shaped physiological ceiling (controlled via</w:t>
      </w:r>
      <w:r>
        <w:t xml:space="preserve"> </w:t>
      </w:r>
      <w:r>
        <w:rPr>
          <w:rStyle w:val="VerbatimChar"/>
        </w:rPr>
        <w:t xml:space="preserve">cap_knots</w:t>
      </w:r>
      <w:r>
        <w:t xml:space="preserve">; Section II.K). This U-shaped penalty specifically permits slightly higher-than-normal loudness in the mid-frequencies for severe losses—where intelligibility yield is highest—while aggressively decelerating loudness growth at spectral extremes.</w:t>
      </w:r>
    </w:p>
    <w:p>
      <w:pPr>
        <w:pStyle w:val="BodyText"/>
      </w:pPr>
      <w:r>
        <w:t xml:space="preserve">Crucially, this U-shaped penalty operates strictly within the canonical Moore &amp; Glasberg (2004) monaural specific-loudness engine. While dynamically restricting modeled monaural sones, it does not—and mathematically cannot—account for the idiosyncratic binaural broadband loudness summation observed in hearing-impaired listeners. In normal-hearing auditory physiology, bilateral acoustic presentation produces a modest binaural loudness summation typically modeled by a 2–6 dB level-dependent gain reduction. However, robust psychoacoustic evidence demonstrates that binaural broadband summation in hearing-impaired populations averages ~13 dB higher than in normal-hearing listeners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with individual summation values spanning a massive -10 to +40 dB envelope. Because standard monaural and narrowband loudness models cannot predict this broadband suprathreshold phenomenon from the pure-tone audiogram,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3"/>
    <w:bookmarkStart w:id="14"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w:t>
      </w:r>
      <w:r>
        <w:t xml:space="preserve"> </w:t>
      </w:r>
      <w:r>
        <w:rPr>
          <w:rStyle w:val="VerbatimChar"/>
        </w:rPr>
        <w:t xml:space="preserve">calculate_loudness()</w:t>
      </w:r>
      <w:r>
        <w:t xml:space="preserve">, and</w:t>
      </w:r>
      <w:r>
        <w:t xml:space="preserve"> </w:t>
      </w:r>
      <w:r>
        <w:rPr>
          <w:rStyle w:val="VerbatimChar"/>
        </w:rPr>
        <w:t xml:space="preserve">launch_app()</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w:t>
      </w:r>
    </w:p>
    <w:bookmarkEnd w:id="14"/>
    <w:bookmarkStart w:id="15"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5"/>
    <w:bookmarkStart w:id="16" w:name="X9f7ae0a182f4edfe5928fef6c044f1798516152"/>
    <w:p>
      <w:pPr>
        <w:pStyle w:val="Heading3"/>
      </w:pPr>
      <w:r>
        <w:t xml:space="preserve">O.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V).</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6"/>
    <w:bookmarkStart w:id="17" w:name="p.-framework-for-principled-calibration"/>
    <w:p>
      <w:pPr>
        <w:pStyle w:val="Heading3"/>
      </w:pPr>
      <w:r>
        <w:t xml:space="preserve">P.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demonstrated by Denk et al. (2025), binaural broadband loudness summation in hearing-impaired listeners averages ~13 dB higher than in normal-hearing controls, with ~30–40% exceeding normal limits. Because this excess summation spans roughly -10 to +40 dB and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V. Summary of Algorithmic Constants, Evidentiary Support, and Proposed Calibration Pathways.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c>
          <w:tcPr/>
          <w:p>
            <w:pPr>
              <w:pStyle w:val="Compact"/>
              <w:jc w:val="left"/>
            </w:pPr>
            <w:r>
              <w:t xml:space="preserve">Justification &amp; Evidentiary Status</w:t>
            </w:r>
          </w:p>
        </w:tc>
        <w:tc>
          <w:tcPr/>
          <w:p>
            <w:pPr>
              <w:pStyle w:val="Compact"/>
              <w:jc w:val="left"/>
            </w:pPr>
            <w:r>
              <w:t xml:space="preserve">Proposed Calibration Data Source</w:t>
            </w:r>
          </w:p>
        </w:tc>
      </w:tr>
      <w:tr>
        <w:tc>
          <w:tcPr/>
          <w:p>
            <w:pPr>
              <w:pStyle w:val="Compact"/>
              <w:jc w:val="left"/>
            </w:pPr>
            <w:r>
              <w:t xml:space="preserve">Base Gain Anchor</w:t>
            </w:r>
          </w:p>
        </w:tc>
        <w:tc>
          <w:tcPr/>
          <w:p>
            <w:pPr>
              <w:pStyle w:val="Compact"/>
              <w:jc w:val="left"/>
            </w:pPr>
            <w:r>
              <w:t xml:space="preserve">0.46</w:t>
            </w:r>
          </w:p>
        </w:tc>
        <w:tc>
          <w:tcPr/>
          <w:p>
            <w:pPr>
              <w:pStyle w:val="Compact"/>
              <w:jc w:val="left"/>
            </w:pPr>
            <w:r>
              <w:t xml:space="preserve">Half-gain multiplier (</w:t>
            </w:r>
            <m:oMath>
              <m:sSub>
                <m:e>
                  <m:r>
                    <m:t>G</m:t>
                  </m:r>
                </m:e>
                <m:sub>
                  <m:r>
                    <m:t>b</m:t>
                  </m:r>
                  <m:r>
                    <m:t>a</m:t>
                  </m:r>
                  <m:r>
                    <m:t>s</m:t>
                  </m:r>
                  <m:r>
                    <m:t>e</m:t>
                  </m:r>
                </m:sub>
              </m:sSub>
            </m:oMath>
            <w:r>
              <w:t xml:space="preserve">)</w:t>
            </w:r>
          </w:p>
        </w:tc>
        <w:tc>
          <w:tcPr/>
          <w:p>
            <w:pPr>
              <w:pStyle w:val="Compact"/>
              <w:jc w:val="left"/>
            </w:pPr>
            <w:r>
              <w:t xml:space="preserve">Balances Lybarger half-gain rule with historical gain preference data (uncalibrated midpoint).</w:t>
            </w:r>
          </w:p>
        </w:tc>
        <w:tc>
          <w:tcPr/>
          <w:p>
            <w:pPr>
              <w:pStyle w:val="Compact"/>
              <w:jc w:val="left"/>
            </w:pPr>
            <w:r>
              <w:t xml:space="preserve">Large-scale preferred listening level datasets (e.g., NHANES-derived preference corpus)</w:t>
            </w:r>
          </w:p>
        </w:tc>
      </w:tr>
      <w:tr>
        <w:tc>
          <w:tcPr/>
          <w:p>
            <w:pPr>
              <w:pStyle w:val="Compact"/>
              <w:jc w:val="left"/>
            </w:pPr>
            <w:r>
              <w:t xml:space="preserve">New-User Offset</w:t>
            </w:r>
          </w:p>
        </w:tc>
        <w:tc>
          <w:tcPr/>
          <w:p>
            <w:pPr>
              <w:pStyle w:val="Compact"/>
              <w:jc w:val="left"/>
            </w:pPr>
            <w:r>
              <w:t xml:space="preserve">-3 dB</w:t>
            </w:r>
          </w:p>
        </w:tc>
        <w:tc>
          <w:tcPr/>
          <w:p>
            <w:pPr>
              <w:pStyle w:val="Compact"/>
              <w:jc w:val="left"/>
            </w:pPr>
            <w:r>
              <w:t xml:space="preserve">Flat reduction applied to</w:t>
            </w:r>
            <w:r>
              <w:t xml:space="preserve"> </w:t>
            </w:r>
            <m:oMath>
              <m:sSub>
                <m:e>
                  <m:r>
                    <m:t>C</m:t>
                  </m:r>
                </m:e>
                <m:sub>
                  <m:r>
                    <m:t>v</m:t>
                  </m:r>
                  <m:r>
                    <m:t>a</m:t>
                  </m:r>
                  <m:r>
                    <m:t>l</m:t>
                  </m:r>
                  <m:r>
                    <m:t>s</m:t>
                  </m:r>
                </m:sub>
              </m:sSub>
            </m:oMath>
          </w:p>
        </w:tc>
        <w:tc>
          <w:tcPr/>
          <w:p>
            <w:pPr>
              <w:pStyle w:val="Compact"/>
              <w:jc w:val="left"/>
            </w:pPr>
            <w:r>
              <w:t xml:space="preserve">Approximates empirical preference for less amplification in naive users (asserted heuristic).</w:t>
            </w:r>
          </w:p>
        </w:tc>
        <w:tc>
          <w:tcPr/>
          <w:p>
            <w:pPr>
              <w:pStyle w:val="Compact"/>
              <w:jc w:val="left"/>
            </w:pPr>
            <w:r>
              <w:t xml:space="preserve">Longitudinal acclimatization studies (Categorical Loudness Scaling)</w:t>
            </w:r>
          </w:p>
        </w:tc>
      </w:tr>
      <w:tr>
        <w:tc>
          <w:tcPr/>
          <w:p>
            <w:pPr>
              <w:pStyle w:val="Compact"/>
              <w:jc w:val="left"/>
            </w:pPr>
            <w:r>
              <w:t xml:space="preserve">Severe-Loss Booster Slope</w:t>
            </w:r>
          </w:p>
        </w:tc>
        <w:tc>
          <w:tcPr/>
          <w:p>
            <w:pPr>
              <w:pStyle w:val="Compact"/>
              <w:jc w:val="left"/>
            </w:pPr>
            <w:r>
              <w:t xml:space="preserve">0.15</w:t>
            </w:r>
          </w:p>
        </w:tc>
        <w:tc>
          <w:tcPr/>
          <w:p>
            <w:pPr>
              <w:pStyle w:val="Compact"/>
              <w:jc w:val="left"/>
            </w:pPr>
            <w:r>
              <w:t xml:space="preserve">Applied linearly to thresholds 70–80 dB HL (default)</w:t>
            </w:r>
          </w:p>
        </w:tc>
        <w:tc>
          <w:tcPr/>
          <w:p>
            <w:pPr>
              <w:pStyle w:val="Compact"/>
              <w:jc w:val="left"/>
            </w:pPr>
            <w:r>
              <w:t xml:space="preserve">Gently assists profound losses without triggering explosive recruitment (asserted heuristic).</w:t>
            </w:r>
          </w:p>
        </w:tc>
        <w:tc>
          <w:tcPr/>
          <w:p>
            <w:pPr>
              <w:pStyle w:val="Compact"/>
              <w:jc w:val="left"/>
            </w:pPr>
            <w:r>
              <w:t xml:space="preserve">Individualized UCL/trueLOUDNESS broadband summation limits</w:t>
            </w:r>
          </w:p>
        </w:tc>
      </w:tr>
      <w:tr>
        <w:tc>
          <w:tcPr/>
          <w:p>
            <w:pPr>
              <w:pStyle w:val="Compact"/>
              <w:jc w:val="left"/>
            </w:pPr>
            <w:r>
              <w:t xml:space="preserve">High-Frequency Gain Cap Base</w:t>
            </w:r>
          </w:p>
        </w:tc>
        <w:tc>
          <w:tcPr/>
          <w:p>
            <w:pPr>
              <w:pStyle w:val="Compact"/>
              <w:jc w:val="left"/>
            </w:pPr>
            <w:r>
              <w:t xml:space="preserve">30 dB</w:t>
            </w:r>
          </w:p>
        </w:tc>
        <w:tc>
          <w:tcPr/>
          <w:p>
            <w:pPr>
              <w:pStyle w:val="Compact"/>
              <w:jc w:val="left"/>
            </w:pPr>
            <w:r>
              <w:t xml:space="preserve">Base limit for</w:t>
            </w:r>
            <w:r>
              <w:t xml:space="preserve"> </w:t>
            </w:r>
            <m:oMath>
              <m:sSub>
                <m:e>
                  <m:r>
                    <m:t>L</m:t>
                  </m:r>
                </m:e>
                <m:sub>
                  <m:r>
                    <m:t>g</m:t>
                  </m:r>
                  <m:r>
                    <m:t>a</m:t>
                  </m:r>
                  <m:r>
                    <m:t>i</m:t>
                  </m:r>
                  <m:r>
                    <m:t>n</m:t>
                  </m:r>
                </m:sub>
              </m:sSub>
            </m:oMath>
            <w:r>
              <w:t xml:space="preserve"> </w:t>
            </w:r>
            <w:r>
              <w:t xml:space="preserve">soft-compression</w:t>
            </w:r>
          </w:p>
        </w:tc>
        <w:tc>
          <w:tcPr/>
          <w:p>
            <w:pPr>
              <w:pStyle w:val="Compact"/>
              <w:jc w:val="left"/>
            </w:pPr>
            <w:r>
              <w:t xml:space="preserve">Manages upward spread of masking and distortion in severe impairments (asserted heuristic).</w:t>
            </w:r>
          </w:p>
        </w:tc>
        <w:tc>
          <w:tcPr/>
          <w:p>
            <w:pPr>
              <w:pStyle w:val="Compact"/>
              <w:jc w:val="left"/>
            </w:pPr>
            <w:r>
              <w:t xml:space="preserve">HASPI/HASQI speech-in-noise behavioral thresholds (e.g., WIN/HINT)</w:t>
            </w:r>
          </w:p>
        </w:tc>
      </w:tr>
      <w:tr>
        <w:tc>
          <w:tcPr/>
          <w:p>
            <w:pPr>
              <w:pStyle w:val="Compact"/>
              <w:jc w:val="left"/>
            </w:pPr>
            <w:r>
              <w:t xml:space="preserve">High-Frequency Gain Cap Slope</w:t>
            </w:r>
          </w:p>
        </w:tc>
        <w:tc>
          <w:tcPr/>
          <w:p>
            <w:pPr>
              <w:pStyle w:val="Compact"/>
              <w:jc w:val="left"/>
            </w:pPr>
            <w:r>
              <w:t xml:space="preserve">0.4</w:t>
            </w:r>
          </w:p>
        </w:tc>
        <w:tc>
          <w:tcPr/>
          <w:p>
            <w:pPr>
              <w:pStyle w:val="Compact"/>
              <w:jc w:val="left"/>
            </w:pPr>
            <w:r>
              <w:t xml:space="preserve">Slope for</w:t>
            </w:r>
            <w:r>
              <w:t xml:space="preserve"> </w:t>
            </w:r>
            <m:oMath>
              <m:sSub>
                <m:e>
                  <m:r>
                    <m:t>L</m:t>
                  </m:r>
                </m:e>
                <m:sub>
                  <m:r>
                    <m:t>g</m:t>
                  </m:r>
                  <m:r>
                    <m:t>a</m:t>
                  </m:r>
                  <m:r>
                    <m:t>i</m:t>
                  </m:r>
                  <m:r>
                    <m:t>n</m:t>
                  </m:r>
                </m:sub>
              </m:sSub>
            </m:oMath>
            <w:r>
              <w:t xml:space="preserve"> </w:t>
            </w:r>
            <w:r>
              <w:t xml:space="preserve">soft-compression</w:t>
            </w:r>
          </w:p>
        </w:tc>
        <w:tc>
          <w:tcPr/>
          <w:p>
            <w:pPr>
              <w:pStyle w:val="Compact"/>
              <w:jc w:val="left"/>
            </w:pPr>
            <w:r>
              <w:t xml:space="preserve">Gradual restriction for high frequencies (asserted heuristic).</w:t>
            </w:r>
          </w:p>
        </w:tc>
        <w:tc>
          <w:tcPr/>
          <w:p>
            <w:pPr>
              <w:pStyle w:val="Compact"/>
              <w:jc w:val="left"/>
            </w:pPr>
            <w:r>
              <w:t xml:space="preserve">HASPI/HASQI speech-in-noise behavioral thresholds (e.g., WIN/HINT)</w:t>
            </w:r>
          </w:p>
        </w:tc>
      </w:tr>
      <w:tr>
        <w:tc>
          <w:tcPr/>
          <w:p>
            <w:pPr>
              <w:pStyle w:val="Compact"/>
              <w:jc w:val="left"/>
            </w:pPr>
            <w:r>
              <w:t xml:space="preserve">Dynamic Range Squeeze</w:t>
            </w:r>
          </w:p>
        </w:tc>
        <w:tc>
          <w:tcPr/>
          <w:p>
            <w:pPr>
              <w:pStyle w:val="Compact"/>
              <w:jc w:val="left"/>
            </w:pPr>
            <w:r>
              <w:t xml:space="preserve">0.2 dB/dB</w:t>
            </w:r>
          </w:p>
        </w:tc>
        <w:tc>
          <w:tcPr/>
          <w:p>
            <w:pPr>
              <w:pStyle w:val="Compact"/>
              <w:jc w:val="left"/>
            </w:pPr>
            <w:r>
              <w:t xml:space="preserve">Gain attenuation per dB of reduced DR</w:t>
            </w:r>
          </w:p>
        </w:tc>
        <w:tc>
          <w:tcPr/>
          <w:p>
            <w:pPr>
              <w:pStyle w:val="Compact"/>
              <w:jc w:val="left"/>
            </w:pPr>
            <w:r>
              <w:t xml:space="preserve">Ensures speech envelope fits within restricted auditory space (uncalibrated heuristic).</w:t>
            </w:r>
          </w:p>
        </w:tc>
        <w:tc>
          <w:tcPr/>
          <w:p>
            <w:pPr>
              <w:pStyle w:val="Compact"/>
              <w:jc w:val="left"/>
            </w:pPr>
            <w:r>
              <w:t xml:space="preserve">Envelope correlation mapping (e.g., normalized covariance optimization)</w:t>
            </w:r>
          </w:p>
        </w:tc>
      </w:tr>
      <w:tr>
        <w:tc>
          <w:tcPr/>
          <w:p>
            <w:pPr>
              <w:pStyle w:val="Compact"/>
              <w:jc w:val="left"/>
            </w:pPr>
            <w:r>
              <w:t xml:space="preserve">Dynamic Range CR Shift</w:t>
            </w:r>
          </w:p>
        </w:tc>
        <w:tc>
          <w:tcPr/>
          <w:p>
            <w:pPr>
              <w:pStyle w:val="Compact"/>
              <w:jc w:val="left"/>
            </w:pPr>
            <w:r>
              <w:t xml:space="preserve">0.02</w:t>
            </w:r>
          </w:p>
        </w:tc>
        <w:tc>
          <w:tcPr/>
          <w:p>
            <w:pPr>
              <w:pStyle w:val="Compact"/>
              <w:jc w:val="left"/>
            </w:pPr>
            <w:r>
              <w:t xml:space="preserve">Baseline CR shift per dB of DR reduction</w:t>
            </w:r>
          </w:p>
        </w:tc>
        <w:tc>
          <w:tcPr/>
          <w:p>
            <w:pPr>
              <w:pStyle w:val="Compact"/>
              <w:jc w:val="left"/>
            </w:pPr>
            <w:r>
              <w:t xml:space="preserve">Maps identical input range into smaller residual auditory space.</w:t>
            </w:r>
          </w:p>
        </w:tc>
        <w:tc>
          <w:tcPr/>
          <w:p>
            <w:pPr>
              <w:pStyle w:val="Compact"/>
              <w:jc w:val="left"/>
            </w:pPr>
            <w:r>
              <w:t xml:space="preserve">Known physiological IHC/OHC compression loss functions</w:t>
            </w:r>
          </w:p>
        </w:tc>
      </w:tr>
      <w:tr>
        <w:tc>
          <w:tcPr/>
          <w:p>
            <w:pPr>
              <w:pStyle w:val="Compact"/>
              <w:jc w:val="left"/>
            </w:pPr>
            <w:r>
              <w:t xml:space="preserve">Reverse-Slope Floor</w:t>
            </w:r>
          </w:p>
        </w:tc>
        <w:tc>
          <w:tcPr/>
          <w:p>
            <w:pPr>
              <w:pStyle w:val="Compact"/>
              <w:jc w:val="left"/>
            </w:pPr>
            <w:r>
              <w:t xml:space="preserve">-10 dB</w:t>
            </w:r>
          </w:p>
        </w:tc>
        <w:tc>
          <w:tcPr/>
          <w:p>
            <w:pPr>
              <w:pStyle w:val="Compact"/>
              <w:jc w:val="left"/>
            </w:pPr>
            <w:r>
              <w:t xml:space="preserve">Gain floor for negative slopes</w:t>
            </w:r>
          </w:p>
        </w:tc>
        <w:tc>
          <w:tcPr/>
          <w:p>
            <w:pPr>
              <w:pStyle w:val="Compact"/>
              <w:jc w:val="left"/>
            </w:pPr>
            <w:r>
              <w:t xml:space="preserve">Cautiously prevents masking of intact basal units (asserted heuristic).</w:t>
            </w:r>
          </w:p>
        </w:tc>
        <w:tc>
          <w:tcPr/>
          <w:p>
            <w:pPr>
              <w:pStyle w:val="Compact"/>
              <w:jc w:val="left"/>
            </w:pPr>
            <w:r>
              <w:t xml:space="preserve">Masking release behavioral paradigms (e.g., notched-noise tests)</w:t>
            </w:r>
          </w:p>
        </w:tc>
      </w:tr>
      <w:tr>
        <w:tc>
          <w:tcPr/>
          <w:p>
            <w:pPr>
              <w:pStyle w:val="Compact"/>
              <w:jc w:val="left"/>
            </w:pPr>
            <w:r>
              <w:t xml:space="preserve">Explicit DR Roll-off</w:t>
            </w:r>
          </w:p>
        </w:tc>
        <w:tc>
          <w:tcPr/>
          <w:p>
            <w:pPr>
              <w:pStyle w:val="Compact"/>
              <w:jc w:val="left"/>
            </w:pPr>
            <w:r>
              <w:t xml:space="preserve">30 dB/oct</w:t>
            </w:r>
          </w:p>
        </w:tc>
        <w:tc>
          <w:tcPr/>
          <w:p>
            <w:pPr>
              <w:pStyle w:val="Compact"/>
              <w:jc w:val="left"/>
            </w:pPr>
            <w:r>
              <w:t xml:space="preserve">Attenuation past 1.7x Dead Region boundary</w:t>
            </w:r>
          </w:p>
        </w:tc>
        <w:tc>
          <w:tcPr/>
          <w:p>
            <w:pPr>
              <w:pStyle w:val="Compact"/>
              <w:jc w:val="left"/>
            </w:pPr>
            <w:r>
              <w:t xml:space="preserve">Prevents phase distortion from off-frequency listening (Moore, 2004).</w:t>
            </w:r>
          </w:p>
        </w:tc>
        <w:tc>
          <w:tcPr/>
          <w:p>
            <w:pPr>
              <w:pStyle w:val="Compact"/>
              <w:jc w:val="left"/>
            </w:pPr>
            <w:r>
              <w:t xml:space="preserve">TEN-test validated behavioral roll-off boundaries</w:t>
            </w:r>
          </w:p>
        </w:tc>
      </w:tr>
      <w:tr>
        <w:tc>
          <w:tcPr/>
          <w:p>
            <w:pPr>
              <w:pStyle w:val="Compact"/>
              <w:jc w:val="left"/>
            </w:pPr>
            <w:r>
              <w:t xml:space="preserve">ABG Restoration Fraction</w:t>
            </w:r>
          </w:p>
        </w:tc>
        <w:tc>
          <w:tcPr/>
          <w:p>
            <w:pPr>
              <w:pStyle w:val="Compact"/>
              <w:jc w:val="left"/>
            </w:pPr>
            <w:r>
              <w:t xml:space="preserve">75%</w:t>
            </w:r>
          </w:p>
        </w:tc>
        <w:tc>
          <w:tcPr/>
          <w:p>
            <w:pPr>
              <w:pStyle w:val="Compact"/>
              <w:jc w:val="left"/>
            </w:pPr>
            <w:r>
              <w:t xml:space="preserve">Mixed/conductive linear restoration fraction</w:t>
            </w:r>
          </w:p>
        </w:tc>
        <w:tc>
          <w:tcPr/>
          <w:p>
            <w:pPr>
              <w:pStyle w:val="Compact"/>
              <w:jc w:val="left"/>
            </w:pPr>
            <w:r>
              <w:rPr>
                <w:b/>
                <w:bCs/>
              </w:rPr>
              <w:t xml:space="preserve">Pragmatic engineering choice</w:t>
            </w:r>
            <w:r>
              <w:t xml:space="preserve"> </w:t>
            </w:r>
            <w:r>
              <w:t xml:space="preserve">(Johnson, 2013a; Scollie et al., 2005) preventing hardware saturation; lacking direct empirical derivation from listener preference.</w:t>
            </w:r>
          </w:p>
        </w:tc>
        <w:tc>
          <w:tcPr/>
          <w:p>
            <w:pPr>
              <w:pStyle w:val="Compact"/>
              <w:jc w:val="left"/>
            </w:pPr>
            <w:r>
              <w:t xml:space="preserve">Bone-conduction/Air-conduction loudness matching and preference trials</w:t>
            </w:r>
          </w:p>
        </w:tc>
      </w:tr>
      <w:tr>
        <w:tc>
          <w:tcPr/>
          <w:p>
            <w:pPr>
              <w:pStyle w:val="Compact"/>
              <w:jc w:val="left"/>
            </w:pPr>
            <w:r>
              <w:t xml:space="preserve">Comfort-in-Noise (CIN) Clamp</w:t>
            </w:r>
          </w:p>
        </w:tc>
        <w:tc>
          <w:tcPr/>
          <w:p>
            <w:pPr>
              <w:pStyle w:val="Compact"/>
              <w:jc w:val="left"/>
            </w:pPr>
            <m:oMath>
              <m:r>
                <m:rPr>
                  <m:sty m:val="p"/>
                </m:rPr>
                <m:t>≤</m:t>
              </m:r>
              <m:r>
                <m:t>1.5</m:t>
              </m:r>
              <m:r>
                <m:rPr>
                  <m:sty m:val="p"/>
                </m:rPr>
                <m:t>:</m:t>
              </m:r>
              <m:r>
                <m:t>1</m:t>
              </m:r>
            </m:oMath>
          </w:p>
        </w:tc>
        <w:tc>
          <w:tcPr/>
          <w:p>
            <w:pPr>
              <w:pStyle w:val="Compact"/>
              <w:jc w:val="left"/>
            </w:pPr>
            <w:r>
              <w:t xml:space="preserve">Upper ceiling on CR in noise/comfort mode</w:t>
            </w:r>
          </w:p>
        </w:tc>
        <w:tc>
          <w:tcPr/>
          <w:p>
            <w:pPr>
              <w:pStyle w:val="Compact"/>
              <w:jc w:val="left"/>
            </w:pPr>
            <w:r>
              <w:rPr>
                <w:b/>
                <w:bCs/>
              </w:rPr>
              <w:t xml:space="preserve">Uncalibrated engineering heuristic</w:t>
            </w:r>
            <w:r>
              <w:t xml:space="preserve"> </w:t>
            </w:r>
            <w:r>
              <w:t xml:space="preserve">inspired by NAL-NL3 (Kitterick et al., 2026) to reduce listening fatigue; lacking direct empirical derivation.</w:t>
            </w:r>
          </w:p>
        </w:tc>
        <w:tc>
          <w:tcPr/>
          <w:p>
            <w:pPr>
              <w:pStyle w:val="Compact"/>
              <w:jc w:val="left"/>
            </w:pPr>
            <w:r>
              <w:t xml:space="preserve">Speech-in-noise quality ratings and subjective listening effort paradigms</w:t>
            </w:r>
          </w:p>
        </w:tc>
      </w:tr>
      <w:tr>
        <w:tc>
          <w:tcPr/>
          <w:p>
            <w:pPr>
              <w:pStyle w:val="Compact"/>
              <w:jc w:val="left"/>
            </w:pPr>
            <w:r>
              <w:t xml:space="preserve">Compression Ratio Ceiling</w:t>
            </w:r>
          </w:p>
        </w:tc>
        <w:tc>
          <w:tcPr/>
          <w:p>
            <w:pPr>
              <w:pStyle w:val="Compact"/>
              <w:jc w:val="left"/>
            </w:pPr>
            <w:r>
              <w:t xml:space="preserve">3.0:1</w:t>
            </w:r>
          </w:p>
        </w:tc>
        <w:tc>
          <w:tcPr/>
          <w:p>
            <w:pPr>
              <w:pStyle w:val="Compact"/>
              <w:jc w:val="left"/>
            </w:pPr>
            <w:r>
              <w:t xml:space="preserve">Upper boundary on emergent sensorineural CR</w:t>
            </w:r>
          </w:p>
        </w:tc>
        <w:tc>
          <w:tcPr/>
          <w:p>
            <w:pPr>
              <w:pStyle w:val="Compact"/>
              <w:jc w:val="left"/>
            </w:pPr>
            <w:r>
              <w:rPr>
                <w:b/>
                <w:bCs/>
              </w:rPr>
              <w:t xml:space="preserve">Strong empirical support</w:t>
            </w:r>
            <w:r>
              <w:t xml:space="preserve">: Anchored in extensive psychoacoustic literature (Souza, 2002; Souza et al., 2006) demonstrating severe envelope flattening, acoustic contrast loss, and speech degradation for CR</w:t>
            </w:r>
            <w:r>
              <w:t xml:space="preserve"> </w:t>
            </w:r>
            <m:oMath>
              <m:r>
                <m:rPr>
                  <m:sty m:val="p"/>
                </m:rPr>
                <m:t>&gt;</m:t>
              </m:r>
              <m:r>
                <m:t>3.0</m:t>
              </m:r>
              <m:r>
                <m:rPr>
                  <m:sty m:val="p"/>
                </m:rPr>
                <m:t>:</m:t>
              </m:r>
              <m:r>
                <m:t>1</m:t>
              </m:r>
            </m:oMath>
            <w:r>
              <w:t xml:space="preserve">.</w:t>
            </w:r>
          </w:p>
        </w:tc>
        <w:tc>
          <w:tcPr/>
          <w:p>
            <w:pPr>
              <w:pStyle w:val="Compact"/>
              <w:jc w:val="left"/>
            </w:pPr>
            <w:r>
              <w:t xml:space="preserve">Robust existing empirical literature; fine-tuning against individual temporal processing acuity</w:t>
            </w:r>
          </w:p>
        </w:tc>
      </w:tr>
      <w:tr>
        <w:tc>
          <w:tcPr/>
          <w:p>
            <w:pPr>
              <w:pStyle w:val="Compact"/>
              <w:jc w:val="left"/>
            </w:pPr>
            <w:r>
              <w:t xml:space="preserve">Desensitization Penalty</w:t>
            </w:r>
          </w:p>
        </w:tc>
        <w:tc>
          <w:tcPr/>
          <w:p>
            <w:pPr>
              <w:pStyle w:val="Compact"/>
              <w:jc w:val="left"/>
            </w:pPr>
            <w:r>
              <w:t xml:space="preserve">Variable</w:t>
            </w:r>
          </w:p>
        </w:tc>
        <w:tc>
          <w:tcPr/>
          <w:p>
            <w:pPr>
              <w:pStyle w:val="Compact"/>
              <w:jc w:val="left"/>
            </w:pPr>
            <w:r>
              <w:t xml:space="preserve">Johnson &amp; Dillon (2011) piecewise scalar</w:t>
            </w:r>
          </w:p>
        </w:tc>
        <w:tc>
          <w:tcPr/>
          <w:p>
            <w:pPr>
              <w:pStyle w:val="Compact"/>
              <w:jc w:val="left"/>
            </w:pPr>
            <w:r>
              <w:t xml:space="preserve">Modifies pure audibility to account for severe-loss distortion (asserted clinical proxy).</w:t>
            </w:r>
          </w:p>
        </w:tc>
        <w:tc>
          <w:tcPr/>
          <w:p>
            <w:pPr>
              <w:pStyle w:val="Compact"/>
              <w:jc w:val="left"/>
            </w:pPr>
            <w:r>
              <w:t xml:space="preserve">HASPI/HASQI stochastic optimization vs subjective rejection curves</w:t>
            </w:r>
          </w:p>
        </w:tc>
      </w:tr>
    </w:tbl>
    <w:bookmarkEnd w:id="17"/>
    <w:bookmarkEnd w:id="18"/>
    <w:bookmarkStart w:id="34"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4" w:name="X48dbefb20622bc3849e3968387565e024798d9e"/>
    <w:p>
      <w:pPr>
        <w:pStyle w:val="Heading3"/>
      </w:pPr>
      <w:r>
        <w:t xml:space="preserve">A. Heuristic Parameter Sensitivity vs. Numerical Convergence Stability</w:t>
      </w:r>
    </w:p>
    <w:bookmarkStart w:id="19" w:name="multi-parameter-sensitivity-sweep"/>
    <w:p>
      <w:pPr>
        <w:pStyle w:val="Heading4"/>
      </w:pPr>
      <w:r>
        <w:t xml:space="preserve">1. Multi-Parameter Sensitivity Sweep</w:t>
      </w:r>
    </w:p>
    <w:p>
      <w:pPr>
        <w:pStyle w:val="FirstParagraph"/>
      </w:pPr>
      <w:r>
        <w:t xml:space="preserve">To evaluate the fragility of these uncalibrated boundaries, a comprehensive multi-parameter sensitivity sweep was executed across four primary algorithmic constraints: the base gain anchor (0.40 to 0.50), steep-slope trigger (10 to 20 dB/octave), absolute severity bypass (60 to 80 dB HL), and reverse-slope gain floor (-20 to 0 dB). This generated 256 unique parameter permutations applied across the most topologically unstable profiles (A2, A4, A5), executed with the aggressive 60 dB HL booster mode engaged to directly probe boundary interactions.</w:t>
      </w:r>
    </w:p>
    <w:p>
      <w:pPr>
        <w:pStyle w:val="BodyText"/>
      </w:pPr>
      <w:r>
        <w:rPr>
          <w:b/>
          <w:bCs/>
        </w:rPr>
        <w:t xml:space="preserve">TABLE IV. Multi-Parameter Sensitivity Sweep Variance (65 dB SPL Input).</w:t>
      </w:r>
      <w:r>
        <w:t xml:space="preserve"> </w:t>
      </w:r>
      <w:r>
        <w:rPr>
          <w:i/>
          <w:iCs/>
        </w:rPr>
        <w:t xml:space="preserve">Note: Generated using the aggressive 60 dB HL booster onset.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(Sones) [Min, Max]</w:t>
            </w:r>
          </w:p>
        </w:tc>
        <w:tc>
          <w:tcPr/>
          <w:p>
            <w:pPr>
              <w:pStyle w:val="Compact"/>
            </w:pPr>
            <w:r>
              <w:t xml:space="preserve">Primary Divergence Factor</w:t>
            </w:r>
          </w:p>
        </w:tc>
      </w:tr>
      <w:tr>
        <w:tc>
          <w:tcPr/>
          <w:p>
            <w:pPr>
              <w:pStyle w:val="Compact"/>
            </w:pPr>
            <w:r>
              <w:rPr>
                <w:b/>
                <w:bCs/>
              </w:rPr>
              <w:t xml:space="preserve">A2</w:t>
            </w:r>
          </w:p>
        </w:tc>
        <w:tc>
          <w:tcPr/>
          <w:p>
            <w:pPr>
              <w:pStyle w:val="Compact"/>
            </w:pPr>
            <w:r>
              <w:t xml:space="preserve">0.88 [0.72, 0.94]</w:t>
            </w:r>
          </w:p>
        </w:tc>
        <w:tc>
          <w:tcPr/>
          <w:p>
            <w:pPr>
              <w:pStyle w:val="Compact"/>
            </w:pPr>
            <w:r>
              <w:t xml:space="preserve">4.9 [2.7, 8.4]</w:t>
            </w:r>
          </w:p>
        </w:tc>
        <w:tc>
          <w:tcPr/>
          <w:p>
            <w:pPr>
              <w:pStyle w:val="Compact"/>
            </w:pPr>
            <w:r>
              <w:t xml:space="preserve">Reverse-Slope Floor</w:t>
            </w:r>
          </w:p>
        </w:tc>
      </w:tr>
      <w:tr>
        <w:tc>
          <w:tcPr/>
          <w:p>
            <w:pPr>
              <w:pStyle w:val="Compact"/>
            </w:pPr>
            <w:r>
              <w:rPr>
                <w:b/>
                <w:bCs/>
              </w:rPr>
              <w:t xml:space="preserve">A4</w:t>
            </w:r>
          </w:p>
        </w:tc>
        <w:tc>
          <w:tcPr/>
          <w:p>
            <w:pPr>
              <w:pStyle w:val="Compact"/>
            </w:pPr>
            <w:r>
              <w:t xml:space="preserve">0.65 [0.51, 0.77]</w:t>
            </w:r>
          </w:p>
        </w:tc>
        <w:tc>
          <w:tcPr/>
          <w:p>
            <w:pPr>
              <w:pStyle w:val="Compact"/>
            </w:pPr>
            <w:r>
              <w:t xml:space="preserve">2.5 [1.4, 6.1]</w:t>
            </w:r>
          </w:p>
        </w:tc>
        <w:tc>
          <w:tcPr/>
          <w:p>
            <w:pPr>
              <w:pStyle w:val="Compact"/>
            </w:pPr>
            <w:r>
              <w:t xml:space="preserve">Anchor &amp; Slope Trigger</w:t>
            </w:r>
          </w:p>
        </w:tc>
      </w:tr>
      <w:tr>
        <w:tc>
          <w:tcPr/>
          <w:p>
            <w:pPr>
              <w:pStyle w:val="Compact"/>
            </w:pPr>
            <w:r>
              <w:rPr>
                <w:b/>
                <w:bCs/>
              </w:rPr>
              <w:t xml:space="preserve">A5</w:t>
            </w:r>
          </w:p>
        </w:tc>
        <w:tc>
          <w:tcPr/>
          <w:p>
            <w:pPr>
              <w:pStyle w:val="Compact"/>
            </w:pPr>
            <w:r>
              <w:t xml:space="preserve">0.67 [0.49, 0.82]</w:t>
            </w:r>
          </w:p>
        </w:tc>
        <w:tc>
          <w:tcPr/>
          <w:p>
            <w:pPr>
              <w:pStyle w:val="Compact"/>
            </w:pPr>
            <w:r>
              <w:t xml:space="preserve">1.8 [0.9, 5.3]</w:t>
            </w:r>
          </w:p>
        </w:tc>
        <w:tc>
          <w:tcPr/>
          <w:p>
            <w:pPr>
              <w:pStyle w:val="Compact"/>
            </w:pPr>
            <w:r>
              <w:t xml:space="preserve">Slope Trigger</w:t>
            </w:r>
          </w:p>
        </w:tc>
      </w:tr>
    </w:tbl>
    <w:p>
      <w:pPr>
        <w:pStyle w:val="BodyText"/>
      </w:pPr>
      <w:r>
        <w:t xml:space="preserve">The resulting variance (Table IV) illustrates mechanistically why unregularized optimization fails in practice and why algorithms like NAL-NL2 required extensive empirical corrections (Keidser et al., 2012). Rather than indicating solver failure, this variance reflects the acute sensitivity of the objective landscape to uncalibrated boundaries. For the steeply sloping A5 profile, altering slope trigger and base anchor interactions caused modeled monaural loudness to swing from 0.9 to 5.3 sones, with theoretical effective SII fluctuating between 0.49 and 0.82. This variance was heavily driven by the structural opposition between the SD-LFP penalty (suppressing low-frequency gain for sloping losses) and the absolute severity bypass (suppressing the penalty when high-frequency loss exceeds threshold). Depending on the bypass threshold (60 to 80 dB HL), the optimizer abruptly shifted from heavily penalizing low frequencies to fully restoring them. Similarly, modulating the reverse-slope floor on A2 caused modeled loudness to nearly triple (2.7 to 8.4 sones). This massive response envelope proves that absent explicit distortion penalties, the loudness-audibility surface is highly non-convex.</w:t>
      </w:r>
    </w:p>
    <w:bookmarkEnd w:id="19"/>
    <w:bookmarkStart w:id="23"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To evaluate whether Nelder-Mead could achieve reproducible solutions on this rugged landscape, a 768-point Monte Carlo stability analysis was executed across profiles A2, A4, and A5, varying simplex dimensions, reflection coefficients, and initial starting jitter across their operational ranges (Figure 4). Across all 768 permutations, the multi-start routine exhibited exceptional numerical convergence stability: the standard deviation of final ANSI SII was</w:t>
      </w:r>
      <w:r>
        <w:t xml:space="preserve"> </w:t>
      </w:r>
      <m:oMath>
        <m:r>
          <m:rPr>
            <m:sty m:val="p"/>
          </m:rPr>
          <m:t>&lt;</m:t>
        </m:r>
        <m:r>
          <m:t>0.025</m:t>
        </m:r>
      </m:oMath>
      <w:r>
        <w:t xml:space="preserve">, and loudness variance remained tightly clustered (</w:t>
      </w:r>
      <m:oMath>
        <m:r>
          <m:rPr>
            <m:nor/>
            <m:sty m:val="p"/>
          </m:rPr>
          <m:t>SD</m:t>
        </m:r>
        <m:r>
          <m:rPr>
            <m:sty m:val="p"/>
          </m:rPr>
          <m:t>&lt;</m:t>
        </m:r>
        <m:r>
          <m:t>0.05</m:t>
        </m:r>
      </m:oMath>
      <w:r>
        <w:t xml:space="preserve"> </w:t>
      </w:r>
      <w:r>
        <w:t xml:space="preserve">sones for A4 and A5).</w:t>
      </w:r>
    </w:p>
    <w:p>
      <w:pPr>
        <w:pStyle w:val="BodyText"/>
      </w:pPr>
      <w:r>
        <w:drawing>
          <wp:inline>
            <wp:extent cx="5334000" cy="3333749"/>
            <wp:effectExtent b="0" l="0" r="0" t="0"/>
            <wp:docPr descr="Parameter Sensitivity Analysis" title="" id="21" name="Picture"/>
            <a:graphic>
              <a:graphicData uri="http://schemas.openxmlformats.org/drawingml/2006/picture">
                <pic:pic>
                  <pic:nvPicPr>
                    <pic:cNvPr descr="manuscript_figures/Figure4_Sensitivity.png" id="22" name="Picture"/>
                    <pic:cNvPicPr>
                      <a:picLocks noChangeArrowheads="1" noChangeAspect="1"/>
                    </pic:cNvPicPr>
                  </pic:nvPicPr>
                  <pic:blipFill>
                    <a:blip r:embed="rId20"/>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w:t>
      </w:r>
    </w:p>
    <w:p>
      <w:pPr>
        <w:pStyle w:val="BodyText"/>
      </w:pPr>
      <w:r>
        <w:t xml:space="preserve">This narrow distribution confirms that for a fixed parameter set within the Open-NL architecture, the multi-start Nelder-Mead routine reliably converges on the same regional optimum. Consequently, the wide target swings observed in the sensitivity sweep (Section III.A.1) are definitively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Sup>
          <m:e>
            <m:r>
              <m:t>K</m:t>
            </m:r>
          </m:e>
          <m:sub>
            <m:r>
              <m:t>s</m:t>
            </m:r>
            <m:r>
              <m:t>m</m:t>
            </m:r>
            <m:r>
              <m:t>o</m:t>
            </m:r>
            <m:r>
              <m:t>o</m:t>
            </m:r>
            <m:r>
              <m:t>t</m:t>
            </m:r>
            <m:r>
              <m:t>h</m:t>
            </m:r>
            <m:r>
              <m:t>e</m:t>
            </m:r>
            <m:r>
              <m:t>d</m:t>
            </m:r>
          </m:sub>
          <m:sup>
            <m:r>
              <m:rPr>
                <m:sty m:val="p"/>
              </m:rPr>
              <m:t>′</m:t>
            </m:r>
          </m:sup>
        </m:sSubSup>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II.Q).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3"/>
    <w:bookmarkEnd w:id="24"/>
    <w:bookmarkStart w:id="25"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empirical</w:t>
      </w:r>
      <w:r>
        <w:t xml:space="preserve"> </w:t>
      </w:r>
      <w:r>
        <w:t xml:space="preserve">“fudge factors.”</w:t>
      </w:r>
    </w:p>
    <w:p>
      <w:pPr>
        <w:pStyle w:val="BodyText"/>
      </w:pPr>
      <w:r>
        <w:t xml:space="preserve">The following comparison between Open-NL and NAL-NL2 is therefore not presented as a finding about Open-NL’s amplification superiority, but as a</w:t>
      </w:r>
      <w:r>
        <w:t xml:space="preserve"> </w:t>
      </w:r>
      <w:r>
        <w:rPr>
          <w:b/>
          <w:bCs/>
        </w:rPr>
        <w:t xml:space="preserve">worked demonstration</w:t>
      </w:r>
      <w:r>
        <w:t xml:space="preserve"> </w:t>
      </w:r>
      <w:r>
        <w:t xml:space="preserve">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5"/>
    <w:bookmarkStart w:id="32"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+13 dB broadband excess summation documented in 30–40% of hearing-impaired individuals (Denk et al., 2025).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w:t>
      </w:r>
    </w:p>
    <w:p>
      <w:pPr>
        <w:pStyle w:val="BodyText"/>
      </w:pPr>
      <w:r>
        <w:t xml:space="preserve">By intentionally executing this evaluation with the aggressive 60 dB HL booster mode engaged, Open-NL deliberately strips away these empirical dampers. This stress-testing proves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the entire prescriptive audiological field currently rests on an anti-conservative monaural assumption</w:t>
      </w:r>
      <w:r>
        <w:t xml:space="preserve">. This formally confirms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Metric Tautology Warning &amp; Call for Waveform-Based Metrics</w:t>
      </w:r>
      <w:r>
        <w:t xml:space="preserve">: A fundamental circularity exists when evaluating an optimization algorithm against the identical metric it was tuned to maximize. Because Open-NL’s objective function directly maximizes effective (desensitized) SII, reporting higher SII values for Open-NL relative to regularized clinical formulae (like NAL-NL2) is an unavoidable mathematical tautology: it merely confirms that the numerical optimizer successfully converged on its mathematical objective. It does</w:t>
      </w:r>
      <w:r>
        <w:t xml:space="preserve"> </w:t>
      </w:r>
      <w:r>
        <w:rPr>
          <w:i/>
          <w:iCs/>
        </w:rPr>
        <w:t xml:space="preserve">not</w:t>
      </w:r>
      <w:r>
        <w:t xml:space="preserve"> </w:t>
      </w:r>
      <w:r>
        <w:t xml:space="preserve">demonstrate superior speech intelligibility. Clinical formulae like NAL-NL2 intentionally compromise theoretical audibility in severe-to-profound impairments to limit upward spread of masking, preserve acoustic contrast, and prevent loudness discomfort (Keidser et al., 2012). Stationary band-importance metrics like ANSI S3.5 and effective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operates strictly at the steady-state prescriptive target level (Johnson &amp; Dillon, 2011), it cannot natively capture dynamic waveform degradation. Readers must therefore interpret the higher SII values in Table VI strictly as an internal diagnostic index of objective function exploitation, not as evidence of enhanced clinical speech recognition.</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demonstrated by Moore et al. (2014), Oetting et al. (2016, 2017), and Denk et al. (2025), hearing-impaired listeners exhibit an average of ~13 dB of excess binaural broadband loudness summation (</w:t>
      </w:r>
      <m:oMath>
        <m:r>
          <m:rPr>
            <m:sty m:val="p"/>
          </m:rPr>
          <m:t>≈</m:t>
        </m:r>
        <m:r>
          <m:t>2.4</m:t>
        </m:r>
        <m:r>
          <m:rPr>
            <m:sty m:val="p"/>
          </m:rPr>
          <m:t>×</m:t>
        </m:r>
      </m:oMath>
      <w:r>
        <w:t xml:space="preserve"> </w:t>
      </w:r>
      <w:r>
        <w:t xml:space="preserve">in linear sones), with ~30–40% of patients residing in an extreme excess-summation tail. Crucially, because excess summation is a broadband, suprathreshold effect that does not correlate with pure-tone audiograms, an optimization routine operating beneath a monaural ceiling (e.g., 5.2 sones for profile A5) appears mathematically safe in isolation, yet predictably collapses into acute acoustic intolerance (yielding an intolerable ~12.4 sones) when fitted bilaterally. To make this structural vulnerability transparent, Table VI reports canonical single-ear monaural loudness as primary (maintaining comparability with Johnson &amp; Dillon, 2011), alongside an illustrative worst-case binaural loudness envelope.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bramslow2004</w:t>
      </w:r>
      <w:r>
        <w:t xml:space="preserve"> </w:t>
      </w:r>
      <w:r>
        <w:t xml:space="preserve">implementation in the Auditory Modeling Toolbox (AMT; Majdak et al., 2022; Bramslow, 2004). Across sensorineural profiles (A1–A5), native C++ predictions closely matched external time-domain AMT Octave simulations (</w:t>
      </w:r>
      <m:oMath>
        <m:r>
          <m:t>r</m:t>
        </m:r>
        <m:r>
          <m:rPr>
            <m:sty m:val="p"/>
          </m:rPr>
          <m:t>=</m:t>
        </m:r>
        <m:r>
          <m:t>0.98</m:t>
        </m:r>
      </m:oMath>
      <w:r>
        <w:t xml:space="preserve">, Mean Absolute Error = 0.64 sones), confirming high physiological fidelity. For mixed and conductive profiles (A6, A7), direct AMT benchmarking was omitted because canonical AMT lacks native air-bone gap parameters, whereas our C++ engine natively models the conductive component as a linear pre-cochlear attenuator per Moore and Glasberg’s guidelines.</w:t>
      </w:r>
    </w:p>
    <w:p>
      <w:pPr>
        <w:pStyle w:val="BodyText"/>
      </w:pPr>
      <w:r>
        <w:rPr>
          <w:b/>
          <w:bCs/>
        </w:rPr>
        <w:t xml:space="preserve">TABLE VI. Diagnostic Demonstration of Objective Exploitation: Monaural Loudness (Sones) and Theoretical SII across A1-A7 Audiograms (65 dB SPL Input).</w:t>
      </w:r>
      <w:r>
        <w:t xml:space="preserve"> </w:t>
      </w:r>
      <w:r>
        <w:rPr>
          <w:i/>
          <w:iCs/>
        </w:rPr>
        <w:t xml:space="preserve">Note: Generated using the aggressive 60 dB HL booster onset. Higher SII values for Open-NL reflect mathematical convergence on its objective function, not an independent clinical advantage. Monaural Loudness reports single-ear sones directly comparable to Johnson &amp; Dillon (2011) and serves as the primary metric. Est. Binaural Excess Loudness incorporates the empirical +13 dB (</w:t>
      </w:r>
      <m:oMath>
        <m:r>
          <m:rPr>
            <m:sty m:val="p"/>
          </m:rPr>
          <m:t>≈</m:t>
        </m:r>
        <m:r>
          <m:t>2.4</m:t>
        </m:r>
        <m:r>
          <m:rPr>
            <m:sty m:val="p"/>
          </m:rPr>
          <m:t>×</m:t>
        </m:r>
      </m:oMath>
      <w:r>
        <w:rPr>
          <w:i/>
          <w:iCs/>
        </w:rPr>
        <w:t xml:space="preserve"> </w:t>
      </w:r>
      <w:r>
        <w:rPr>
          <w:i/>
          <w:iCs/>
        </w:rPr>
        <w:t xml:space="preserve">sones) broadband excess summation documented by Denk et al. (2025), Oetting et al. (2016), and Moore et al. (2014) in the ~30–40% excess-summation cohort.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c>
          <w:tcPr/>
          <w:p>
            <w:pPr>
              <w:pStyle w:val="Compact"/>
            </w:pPr>
            <w:r>
              <w:t xml:space="preserve">Worst-Case Tail Binaural Loudness (Sones)</w:t>
            </w:r>
          </w:p>
        </w:tc>
      </w:tr>
      <w:tr>
        <w:tc>
          <w:tcPr/>
          <w:p>
            <w:pPr>
              <w:pStyle w:val="Compact"/>
            </w:pPr>
            <w:r>
              <w:t xml:space="preserve">A1</w:t>
            </w:r>
          </w:p>
        </w:tc>
        <w:tc>
          <w:tcPr/>
          <w:p>
            <w:pPr>
              <w:pStyle w:val="Compact"/>
            </w:pPr>
            <w:r>
              <w:t xml:space="preserve">NAL-NL2</w:t>
            </w:r>
          </w:p>
        </w:tc>
        <w:tc>
          <w:tcPr/>
          <w:p>
            <w:pPr>
              <w:pStyle w:val="Compact"/>
            </w:pPr>
            <w:r>
              <w:t xml:space="preserve">0.81</w:t>
            </w:r>
          </w:p>
        </w:tc>
        <w:tc>
          <w:tcPr/>
          <w:p>
            <w:pPr>
              <w:pStyle w:val="Compact"/>
            </w:pPr>
            <w:r>
              <w:t xml:space="preserve">0.76</w:t>
            </w:r>
          </w:p>
        </w:tc>
        <w:tc>
          <w:tcPr/>
          <w:p>
            <w:pPr>
              <w:pStyle w:val="Compact"/>
            </w:pPr>
            <w:r>
              <w:t xml:space="preserve">4.13</w:t>
            </w:r>
          </w:p>
        </w:tc>
        <w:tc>
          <w:tcPr/>
          <w:p>
            <w:pPr>
              <w:pStyle w:val="Compact"/>
            </w:pPr>
            <w:r>
              <w:t xml:space="preserve">9.91</w:t>
            </w:r>
          </w:p>
        </w:tc>
      </w:tr>
      <w:tr>
        <w:tc>
          <w:tcPr/>
          <w:p>
            <w:pPr>
              <w:pStyle w:val="Compact"/>
            </w:pPr>
            <w:r>
              <w:t xml:space="preserve">A1</w:t>
            </w:r>
          </w:p>
        </w:tc>
        <w:tc>
          <w:tcPr/>
          <w:p>
            <w:pPr>
              <w:pStyle w:val="Compact"/>
            </w:pPr>
            <w:r>
              <w:t xml:space="preserve">Open-NL</w:t>
            </w:r>
          </w:p>
        </w:tc>
        <w:tc>
          <w:tcPr/>
          <w:p>
            <w:pPr>
              <w:pStyle w:val="Compact"/>
            </w:pPr>
            <w:r>
              <w:t xml:space="preserve">0.87</w:t>
            </w:r>
          </w:p>
        </w:tc>
        <w:tc>
          <w:tcPr/>
          <w:p>
            <w:pPr>
              <w:pStyle w:val="Compact"/>
            </w:pPr>
            <w:r>
              <w:t xml:space="preserve">0.78</w:t>
            </w:r>
          </w:p>
        </w:tc>
        <w:tc>
          <w:tcPr/>
          <w:p>
            <w:pPr>
              <w:pStyle w:val="Compact"/>
            </w:pPr>
            <w:r>
              <w:t xml:space="preserve">4.82</w:t>
            </w:r>
          </w:p>
        </w:tc>
        <w:tc>
          <w:tcPr/>
          <w:p>
            <w:pPr>
              <w:pStyle w:val="Compact"/>
            </w:pPr>
            <w:r>
              <w:t xml:space="preserve">11.57</w:t>
            </w:r>
          </w:p>
        </w:tc>
      </w:tr>
      <w:tr>
        <w:tc>
          <w:tcPr/>
          <w:p>
            <w:pPr>
              <w:pStyle w:val="Compact"/>
            </w:pPr>
            <w:r>
              <w:t xml:space="preserve">A2</w:t>
            </w:r>
          </w:p>
        </w:tc>
        <w:tc>
          <w:tcPr/>
          <w:p>
            <w:pPr>
              <w:pStyle w:val="Compact"/>
            </w:pPr>
            <w:r>
              <w:t xml:space="preserve">NAL-NL2</w:t>
            </w:r>
          </w:p>
        </w:tc>
        <w:tc>
          <w:tcPr/>
          <w:p>
            <w:pPr>
              <w:pStyle w:val="Compact"/>
            </w:pPr>
            <w:r>
              <w:t xml:space="preserve">0.86</w:t>
            </w:r>
          </w:p>
        </w:tc>
        <w:tc>
          <w:tcPr/>
          <w:p>
            <w:pPr>
              <w:pStyle w:val="Compact"/>
            </w:pPr>
            <w:r>
              <w:t xml:space="preserve">0.79</w:t>
            </w:r>
          </w:p>
        </w:tc>
        <w:tc>
          <w:tcPr/>
          <w:p>
            <w:pPr>
              <w:pStyle w:val="Compact"/>
            </w:pPr>
            <w:r>
              <w:t xml:space="preserve">3.50</w:t>
            </w:r>
          </w:p>
        </w:tc>
        <w:tc>
          <w:tcPr/>
          <w:p>
            <w:pPr>
              <w:pStyle w:val="Compact"/>
            </w:pPr>
            <w:r>
              <w:t xml:space="preserve">8.40</w:t>
            </w:r>
          </w:p>
        </w:tc>
      </w:tr>
      <w:tr>
        <w:tc>
          <w:tcPr/>
          <w:p>
            <w:pPr>
              <w:pStyle w:val="Compact"/>
            </w:pPr>
            <w:r>
              <w:t xml:space="preserve">A2</w:t>
            </w:r>
          </w:p>
        </w:tc>
        <w:tc>
          <w:tcPr/>
          <w:p>
            <w:pPr>
              <w:pStyle w:val="Compact"/>
            </w:pPr>
            <w:r>
              <w:t xml:space="preserve">Open-NL</w:t>
            </w:r>
          </w:p>
        </w:tc>
        <w:tc>
          <w:tcPr/>
          <w:p>
            <w:pPr>
              <w:pStyle w:val="Compact"/>
            </w:pPr>
            <w:r>
              <w:t xml:space="preserve">0.91</w:t>
            </w:r>
          </w:p>
        </w:tc>
        <w:tc>
          <w:tcPr/>
          <w:p>
            <w:pPr>
              <w:pStyle w:val="Compact"/>
            </w:pPr>
            <w:r>
              <w:t xml:space="preserve">0.82</w:t>
            </w:r>
          </w:p>
        </w:tc>
        <w:tc>
          <w:tcPr/>
          <w:p>
            <w:pPr>
              <w:pStyle w:val="Compact"/>
            </w:pPr>
            <w:r>
              <w:t xml:space="preserve">4.10</w:t>
            </w:r>
          </w:p>
        </w:tc>
        <w:tc>
          <w:tcPr/>
          <w:p>
            <w:pPr>
              <w:pStyle w:val="Compact"/>
            </w:pPr>
            <w:r>
              <w:t xml:space="preserve">9.84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3.62</w:t>
            </w:r>
          </w:p>
        </w:tc>
        <w:tc>
          <w:tcPr/>
          <w:p>
            <w:pPr>
              <w:pStyle w:val="Compact"/>
            </w:pPr>
            <w:r>
              <w:t xml:space="preserve">8.69</w:t>
            </w:r>
          </w:p>
        </w:tc>
      </w:tr>
      <w:tr>
        <w:tc>
          <w:tcPr/>
          <w:p>
            <w:pPr>
              <w:pStyle w:val="Compact"/>
            </w:pPr>
            <w:r>
              <w:t xml:space="preserve">A3</w:t>
            </w:r>
          </w:p>
        </w:tc>
        <w:tc>
          <w:tcPr/>
          <w:p>
            <w:pPr>
              <w:pStyle w:val="Compact"/>
            </w:pPr>
            <w:r>
              <w:t xml:space="preserve">Open-NL</w:t>
            </w:r>
          </w:p>
        </w:tc>
        <w:tc>
          <w:tcPr/>
          <w:p>
            <w:pPr>
              <w:pStyle w:val="Compact"/>
            </w:pPr>
            <w:r>
              <w:t xml:space="preserve">0.78</w:t>
            </w:r>
          </w:p>
        </w:tc>
        <w:tc>
          <w:tcPr/>
          <w:p>
            <w:pPr>
              <w:pStyle w:val="Compact"/>
            </w:pPr>
            <w:r>
              <w:t xml:space="preserve">0.70</w:t>
            </w:r>
          </w:p>
        </w:tc>
        <w:tc>
          <w:tcPr/>
          <w:p>
            <w:pPr>
              <w:pStyle w:val="Compact"/>
            </w:pPr>
            <w:r>
              <w:t xml:space="preserve">4.80</w:t>
            </w:r>
          </w:p>
        </w:tc>
        <w:tc>
          <w:tcPr/>
          <w:p>
            <w:pPr>
              <w:pStyle w:val="Compact"/>
            </w:pPr>
            <w:r>
              <w:t xml:space="preserve">11.52</w:t>
            </w:r>
          </w:p>
        </w:tc>
      </w:tr>
      <w:tr>
        <w:tc>
          <w:tcPr/>
          <w:p>
            <w:pPr>
              <w:pStyle w:val="Compact"/>
            </w:pPr>
            <w:r>
              <w:t xml:space="preserve">A4</w:t>
            </w:r>
          </w:p>
        </w:tc>
        <w:tc>
          <w:tcPr/>
          <w:p>
            <w:pPr>
              <w:pStyle w:val="Compact"/>
            </w:pPr>
            <w:r>
              <w:t xml:space="preserve">NAL-NL2</w:t>
            </w:r>
          </w:p>
        </w:tc>
        <w:tc>
          <w:tcPr/>
          <w:p>
            <w:pPr>
              <w:pStyle w:val="Compact"/>
            </w:pPr>
            <w:r>
              <w:t xml:space="preserve">0.72</w:t>
            </w:r>
          </w:p>
        </w:tc>
        <w:tc>
          <w:tcPr/>
          <w:p>
            <w:pPr>
              <w:pStyle w:val="Compact"/>
            </w:pPr>
            <w:r>
              <w:t xml:space="preserve">0.68</w:t>
            </w:r>
          </w:p>
        </w:tc>
        <w:tc>
          <w:tcPr/>
          <w:p>
            <w:pPr>
              <w:pStyle w:val="Compact"/>
            </w:pPr>
            <w:r>
              <w:t xml:space="preserve">6.56</w:t>
            </w:r>
          </w:p>
        </w:tc>
        <w:tc>
          <w:tcPr/>
          <w:p>
            <w:pPr>
              <w:pStyle w:val="Compact"/>
            </w:pPr>
            <w:r>
              <w:t xml:space="preserve">15.74</w:t>
            </w:r>
          </w:p>
        </w:tc>
      </w:tr>
      <w:tr>
        <w:tc>
          <w:tcPr/>
          <w:p>
            <w:pPr>
              <w:pStyle w:val="Compact"/>
            </w:pPr>
            <w:r>
              <w:t xml:space="preserve">A4</w:t>
            </w:r>
          </w:p>
        </w:tc>
        <w:tc>
          <w:tcPr/>
          <w:p>
            <w:pPr>
              <w:pStyle w:val="Compact"/>
            </w:pPr>
            <w:r>
              <w:t xml:space="preserve">Open-NL</w:t>
            </w:r>
          </w:p>
        </w:tc>
        <w:tc>
          <w:tcPr/>
          <w:p>
            <w:pPr>
              <w:pStyle w:val="Compact"/>
            </w:pPr>
            <w:r>
              <w:t xml:space="preserve">0.69</w:t>
            </w:r>
          </w:p>
        </w:tc>
        <w:tc>
          <w:tcPr/>
          <w:p>
            <w:pPr>
              <w:pStyle w:val="Compact"/>
            </w:pPr>
            <w:r>
              <w:t xml:space="preserve">0.65</w:t>
            </w:r>
          </w:p>
        </w:tc>
        <w:tc>
          <w:tcPr/>
          <w:p>
            <w:pPr>
              <w:pStyle w:val="Compact"/>
            </w:pPr>
            <w:r>
              <w:t xml:space="preserve">5.78</w:t>
            </w:r>
          </w:p>
        </w:tc>
        <w:tc>
          <w:tcPr/>
          <w:p>
            <w:pPr>
              <w:pStyle w:val="Compact"/>
            </w:pPr>
            <w:r>
              <w:t xml:space="preserve">13.87</w:t>
            </w:r>
          </w:p>
        </w:tc>
      </w:tr>
      <w:tr>
        <w:tc>
          <w:tcPr/>
          <w:p>
            <w:pPr>
              <w:pStyle w:val="Compact"/>
            </w:pPr>
            <w:r>
              <w:t xml:space="preserve">A5</w:t>
            </w:r>
          </w:p>
        </w:tc>
        <w:tc>
          <w:tcPr/>
          <w:p>
            <w:pPr>
              <w:pStyle w:val="Compact"/>
            </w:pPr>
            <w:r>
              <w:t xml:space="preserve">NAL-NL2</w:t>
            </w:r>
          </w:p>
        </w:tc>
        <w:tc>
          <w:tcPr/>
          <w:p>
            <w:pPr>
              <w:pStyle w:val="Compact"/>
            </w:pPr>
            <w:r>
              <w:t xml:space="preserve">0.60</w:t>
            </w:r>
          </w:p>
        </w:tc>
        <w:tc>
          <w:tcPr/>
          <w:p>
            <w:pPr>
              <w:pStyle w:val="Compact"/>
            </w:pPr>
            <w:r>
              <w:t xml:space="preserve">0.57</w:t>
            </w:r>
          </w:p>
        </w:tc>
        <w:tc>
          <w:tcPr/>
          <w:p>
            <w:pPr>
              <w:pStyle w:val="Compact"/>
            </w:pPr>
            <w:r>
              <w:t xml:space="preserve">5.50</w:t>
            </w:r>
          </w:p>
        </w:tc>
        <w:tc>
          <w:tcPr/>
          <w:p>
            <w:pPr>
              <w:pStyle w:val="Compact"/>
            </w:pPr>
            <w:r>
              <w:t xml:space="preserve">13.20</w:t>
            </w:r>
          </w:p>
        </w:tc>
      </w:tr>
      <w:tr>
        <w:tc>
          <w:tcPr/>
          <w:p>
            <w:pPr>
              <w:pStyle w:val="Compact"/>
            </w:pPr>
            <w:r>
              <w:t xml:space="preserve">A5</w:t>
            </w:r>
          </w:p>
        </w:tc>
        <w:tc>
          <w:tcPr/>
          <w:p>
            <w:pPr>
              <w:pStyle w:val="Compact"/>
            </w:pPr>
            <w:r>
              <w:t xml:space="preserve">Open-NL</w:t>
            </w:r>
          </w:p>
        </w:tc>
        <w:tc>
          <w:tcPr/>
          <w:p>
            <w:pPr>
              <w:pStyle w:val="Compact"/>
            </w:pPr>
            <w:r>
              <w:t xml:space="preserve">0.68</w:t>
            </w:r>
          </w:p>
        </w:tc>
        <w:tc>
          <w:tcPr/>
          <w:p>
            <w:pPr>
              <w:pStyle w:val="Compact"/>
            </w:pPr>
            <w:r>
              <w:t xml:space="preserve">0.62</w:t>
            </w:r>
          </w:p>
        </w:tc>
        <w:tc>
          <w:tcPr/>
          <w:p>
            <w:pPr>
              <w:pStyle w:val="Compact"/>
            </w:pPr>
            <w:r>
              <w:t xml:space="preserve">5.17</w:t>
            </w:r>
          </w:p>
        </w:tc>
        <w:tc>
          <w:tcPr/>
          <w:p>
            <w:pPr>
              <w:pStyle w:val="Compact"/>
            </w:pPr>
            <w:r>
              <w:t xml:space="preserve">12.41</w:t>
            </w:r>
          </w:p>
        </w:tc>
      </w:tr>
      <w:tr>
        <w:tc>
          <w:tcPr/>
          <w:p>
            <w:pPr>
              <w:pStyle w:val="Compact"/>
            </w:pPr>
            <w:r>
              <w:t xml:space="preserve">A6</w:t>
            </w:r>
          </w:p>
        </w:tc>
        <w:tc>
          <w:tcPr/>
          <w:p>
            <w:pPr>
              <w:pStyle w:val="Compact"/>
            </w:pPr>
            <w:r>
              <w:t xml:space="preserve">NAL-NL2</w:t>
            </w:r>
          </w:p>
        </w:tc>
        <w:tc>
          <w:tcPr/>
          <w:p>
            <w:pPr>
              <w:pStyle w:val="Compact"/>
            </w:pPr>
            <w:r>
              <w:t xml:space="preserve">0.99</w:t>
            </w:r>
          </w:p>
        </w:tc>
        <w:tc>
          <w:tcPr/>
          <w:p>
            <w:pPr>
              <w:pStyle w:val="Compact"/>
            </w:pPr>
            <w:r>
              <w:t xml:space="preserve">0.87</w:t>
            </w:r>
          </w:p>
        </w:tc>
        <w:tc>
          <w:tcPr/>
          <w:p>
            <w:pPr>
              <w:pStyle w:val="Compact"/>
            </w:pPr>
            <w:r>
              <w:t xml:space="preserve">2.09</w:t>
            </w:r>
          </w:p>
        </w:tc>
        <w:tc>
          <w:tcPr/>
          <w:p>
            <w:pPr>
              <w:pStyle w:val="Compact"/>
            </w:pPr>
            <w:r>
              <w:t xml:space="preserve">5.02</w:t>
            </w:r>
          </w:p>
        </w:tc>
      </w:tr>
      <w:tr>
        <w:tc>
          <w:tcPr/>
          <w:p>
            <w:pPr>
              <w:pStyle w:val="Compact"/>
            </w:pPr>
            <w:r>
              <w:t xml:space="preserve">A6</w:t>
            </w:r>
          </w:p>
        </w:tc>
        <w:tc>
          <w:tcPr/>
          <w:p>
            <w:pPr>
              <w:pStyle w:val="Compact"/>
            </w:pPr>
            <w:r>
              <w:t xml:space="preserve">Open-NL</w:t>
            </w:r>
          </w:p>
        </w:tc>
        <w:tc>
          <w:tcPr/>
          <w:p>
            <w:pPr>
              <w:pStyle w:val="Compact"/>
            </w:pPr>
            <w:r>
              <w:t xml:space="preserve">0.97</w:t>
            </w:r>
          </w:p>
        </w:tc>
        <w:tc>
          <w:tcPr/>
          <w:p>
            <w:pPr>
              <w:pStyle w:val="Compact"/>
            </w:pPr>
            <w:r>
              <w:t xml:space="preserve">0.86</w:t>
            </w:r>
          </w:p>
        </w:tc>
        <w:tc>
          <w:tcPr/>
          <w:p>
            <w:pPr>
              <w:pStyle w:val="Compact"/>
            </w:pPr>
            <w:r>
              <w:t xml:space="preserve">3.42</w:t>
            </w:r>
          </w:p>
        </w:tc>
        <w:tc>
          <w:tcPr/>
          <w:p>
            <w:pPr>
              <w:pStyle w:val="Compact"/>
            </w:pPr>
            <w:r>
              <w:t xml:space="preserve">8.21</w:t>
            </w:r>
          </w:p>
        </w:tc>
      </w:tr>
      <w:tr>
        <w:tc>
          <w:tcPr/>
          <w:p>
            <w:pPr>
              <w:pStyle w:val="Compact"/>
            </w:pPr>
            <w:r>
              <w:t xml:space="preserve">A7</w:t>
            </w:r>
          </w:p>
        </w:tc>
        <w:tc>
          <w:tcPr/>
          <w:p>
            <w:pPr>
              <w:pStyle w:val="Compact"/>
            </w:pPr>
            <w:r>
              <w:t xml:space="preserve">NAL-NL2</w:t>
            </w:r>
          </w:p>
        </w:tc>
        <w:tc>
          <w:tcPr/>
          <w:p>
            <w:pPr>
              <w:pStyle w:val="Compact"/>
            </w:pPr>
            <w:r>
              <w:t xml:space="preserve">1.00</w:t>
            </w:r>
          </w:p>
        </w:tc>
        <w:tc>
          <w:tcPr/>
          <w:p>
            <w:pPr>
              <w:pStyle w:val="Compact"/>
            </w:pPr>
            <w:r>
              <w:t xml:space="preserve">0.95</w:t>
            </w:r>
          </w:p>
        </w:tc>
        <w:tc>
          <w:tcPr/>
          <w:p>
            <w:pPr>
              <w:pStyle w:val="Compact"/>
            </w:pPr>
            <w:r>
              <w:t xml:space="preserve">3.10</w:t>
            </w:r>
          </w:p>
        </w:tc>
        <w:tc>
          <w:tcPr/>
          <w:p>
            <w:pPr>
              <w:pStyle w:val="Compact"/>
            </w:pPr>
            <w:r>
              <w:t xml:space="preserve">7.44</w:t>
            </w:r>
          </w:p>
        </w:tc>
      </w:tr>
      <w:tr>
        <w:tc>
          <w:tcPr/>
          <w:p>
            <w:pPr>
              <w:pStyle w:val="Compact"/>
            </w:pPr>
            <w:r>
              <w:t xml:space="preserve">A7</w:t>
            </w:r>
          </w:p>
        </w:tc>
        <w:tc>
          <w:tcPr/>
          <w:p>
            <w:pPr>
              <w:pStyle w:val="Compact"/>
            </w:pPr>
            <w:r>
              <w:t xml:space="preserve">Open-NL</w:t>
            </w:r>
          </w:p>
        </w:tc>
        <w:tc>
          <w:tcPr/>
          <w:p>
            <w:pPr>
              <w:pStyle w:val="Compact"/>
            </w:pPr>
            <w:r>
              <w:t xml:space="preserve">1.00</w:t>
            </w:r>
          </w:p>
        </w:tc>
        <w:tc>
          <w:tcPr/>
          <w:p>
            <w:pPr>
              <w:pStyle w:val="Compact"/>
            </w:pPr>
            <w:r>
              <w:t xml:space="preserve">0.95</w:t>
            </w:r>
          </w:p>
        </w:tc>
        <w:tc>
          <w:tcPr/>
          <w:p>
            <w:pPr>
              <w:pStyle w:val="Compact"/>
            </w:pPr>
            <w:r>
              <w:t xml:space="preserve">3.85</w:t>
            </w:r>
          </w:p>
        </w:tc>
        <w:tc>
          <w:tcPr/>
          <w:p>
            <w:pPr>
              <w:pStyle w:val="Compact"/>
            </w:pPr>
            <w:r>
              <w:t xml:space="preserve">9.24</w:t>
            </w:r>
          </w:p>
        </w:tc>
      </w:tr>
    </w:tbl>
    <w:p>
      <w:pPr>
        <w:pStyle w:val="BodyText"/>
      </w:pPr>
      <w:r>
        <w:rPr>
          <w:b/>
          <w:bCs/>
        </w:rPr>
        <w:t xml:space="preserve">TABLE VII. Insertion Gain Targets (dB) across A1-A7 Audiograms (65 dB SPL Input).</w:t>
      </w:r>
      <w:r>
        <w:t xml:space="preserve"> </w:t>
      </w:r>
      <w:r>
        <w:rPr>
          <w:i/>
          <w:iCs/>
        </w:rPr>
        <w:t xml:space="preserve">Note: Generated using the aggressive 60 dB HL booster onset. Targets illustrate how unconstrained effective SII maximization allocates substantial high-frequency gain in steeply sloping profiles (A4, A5) relative to regularized NAL-NL2 targets.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Effective SII (Desensitized) for NAL-NL2 and Open-NL across 50, 65, and 80 dB SPL Inputs." title="" id="27" name="Picture"/>
            <a:graphic>
              <a:graphicData uri="http://schemas.openxmlformats.org/drawingml/2006/picture">
                <pic:pic>
                  <pic:nvPicPr>
                    <pic:cNvPr descr="manuscript_figures/OpenNL_vs_NALNL2_SII_Grouped.png" id="28" name="Picture"/>
                    <pic:cNvPicPr>
                      <a:picLocks noChangeArrowheads="1" noChangeAspect="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Effective SII (Desensitized)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30" name="Picture"/>
            <a:graphic>
              <a:graphicData uri="http://schemas.openxmlformats.org/drawingml/2006/picture">
                <pic:pic>
                  <pic:nvPicPr>
                    <pic:cNvPr descr="manuscript_figures/OpenNL_vs_NALNL2_Gain_Final.png" id="31" name="Picture"/>
                    <pic:cNvPicPr>
                      <a:picLocks noChangeArrowheads="1" noChangeAspect="1"/>
                    </pic:cNvPicPr>
                  </pic:nvPicPr>
                  <pic:blipFill>
                    <a:blip r:embed="rId2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VII).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optimizer prescribes an exact, flat 37.5 dB of linear gain across frequencies and levels via the 75% ABG restoration rule (yielding 1.00 SII at 3.85 sones). Crucially, this 75% restoration rule is an engineering choice adapted from clinical conventions (Johnson, 2013a; Scollie et al., 2005) to prevent hardware saturation, rather than an empirical preference optimum. This contrasts with well-supported constants like the 3.0:1 Compression Ratio ceiling (Stage 12), which is directly grounded in extensive empirical psychoacoustic data (Souza, 2002; Souza et al., 2006).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Sup>
          <m:e>
            <m:r>
              <m:t>T</m:t>
            </m:r>
          </m:e>
          <m:sub>
            <m:r>
              <m:t>i</m:t>
            </m:r>
          </m:sub>
          <m:sup>
            <m:r>
              <m:rPr>
                <m:sty m:val="p"/>
              </m:rPr>
              <m:t>′</m:t>
            </m:r>
          </m:sup>
        </m:sSubSup>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Sup>
          <m:e>
            <m:r>
              <m:t>X</m:t>
            </m:r>
          </m:e>
          <m:sub>
            <m:r>
              <m:t>i</m:t>
            </m:r>
          </m:sub>
          <m:sup>
            <m:r>
              <m:rPr>
                <m:sty m:val="p"/>
              </m:rPr>
              <m:t>′</m:t>
            </m:r>
          </m:sup>
        </m:sSubSup>
        <m:r>
          <m:rPr>
            <m:sty m:val="p"/>
          </m:rPr>
          <m:t>=</m:t>
        </m:r>
        <m:sSub>
          <m:e>
            <m:r>
              <m:t>X</m:t>
            </m:r>
          </m:e>
          <m:sub>
            <m:r>
              <m:t>i</m:t>
            </m:r>
          </m:sub>
        </m:sSub>
        <m:r>
          <m:rPr>
            <m:sty m:val="p"/>
          </m:rPr>
          <m:t>+</m:t>
        </m:r>
        <m:r>
          <m:rPr>
            <m:sty m:val="p"/>
          </m:rPr>
          <m:t>max</m:t>
        </m:r>
        <m:r>
          <m:rPr>
            <m:sty m:val="p"/>
          </m:rPr>
          <m:t>(</m:t>
        </m:r>
        <m:r>
          <m:t>0</m:t>
        </m:r>
        <m:r>
          <m:rPr>
            <m:sty m:val="p"/>
          </m:rPr>
          <m:t>,</m:t>
        </m:r>
        <m:sSubSup>
          <m:e>
            <m:r>
              <m:t>T</m:t>
            </m:r>
          </m:e>
          <m:sub>
            <m:r>
              <m:t>i</m:t>
            </m:r>
          </m:sub>
          <m:sup>
            <m:r>
              <m:rPr>
                <m:sty m:val="p"/>
              </m:rPr>
              <m:t>′</m:t>
            </m:r>
          </m:sup>
        </m:sSubSup>
        <m:r>
          <m:rPr>
            <m:sty m:val="p"/>
          </m:rPr>
          <m:t>−</m:t>
        </m:r>
        <m:sSub>
          <m:e>
            <m:r>
              <m:t>J</m:t>
            </m:r>
          </m:e>
          <m:sub>
            <m:r>
              <m:t>i</m:t>
            </m:r>
          </m:sub>
        </m:sSub>
        <m:r>
          <m:rPr>
            <m:sty m:val="p"/>
          </m:rPr>
          <m:t>)</m:t>
        </m:r>
      </m:oMath>
      <w:r>
        <w:t xml:space="preserve">), preventing conductive attenuation from falsely inflating internal noise. While the rigid clinical formula (</w:t>
      </w:r>
      <m:oMath>
        <m:sSubSup>
          <m:e>
            <m:r>
              <m:t>K</m:t>
            </m:r>
          </m:e>
          <m:sub>
            <m:r>
              <m:t>c</m:t>
            </m:r>
            <m:r>
              <m:t>o</m:t>
            </m:r>
            <m:r>
              <m:t>m</m:t>
            </m:r>
            <m:r>
              <m:t>p</m:t>
            </m:r>
            <m:r>
              <m:t>l</m:t>
            </m:r>
            <m:r>
              <m:t>e</m:t>
            </m:r>
            <m:r>
              <m:t>t</m:t>
            </m:r>
            <m:r>
              <m:t>e</m:t>
            </m:r>
          </m:sub>
          <m:sup>
            <m:r>
              <m:rPr>
                <m:sty m:val="p"/>
              </m:rPr>
              <m:t>′</m:t>
            </m:r>
          </m:sup>
        </m:sSub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desensitization multiplier. This continuous relaxation permits smooth gradient descent, after which finalized targets are post-scored against the rigid piecewise</w:t>
      </w:r>
      <w:r>
        <w:t xml:space="preserve"> </w:t>
      </w:r>
      <m:oMath>
        <m:sSubSup>
          <m:e>
            <m:r>
              <m:t>K</m:t>
            </m:r>
          </m:e>
          <m:sub>
            <m:r>
              <m:t>c</m:t>
            </m:r>
            <m:r>
              <m:t>o</m:t>
            </m:r>
            <m:r>
              <m:t>m</m:t>
            </m:r>
            <m:r>
              <m:t>p</m:t>
            </m:r>
            <m:r>
              <m:t>l</m:t>
            </m:r>
            <m:r>
              <m:t>e</m:t>
            </m:r>
            <m:r>
              <m:t>t</m:t>
            </m:r>
            <m:r>
              <m:t>e</m:t>
            </m:r>
          </m:sub>
          <m:sup>
            <m:r>
              <m:rPr>
                <m:sty m:val="p"/>
              </m:rPr>
              <m:t>′</m:t>
            </m:r>
          </m:sup>
        </m:sSubSup>
      </m:oMath>
      <w:r>
        <w:t xml:space="preserve"> </w:t>
      </w:r>
      <w:r>
        <w:t xml:space="preserve">formulation (detailed fully in Stage 7 and Stage 12 of the Supplementary Material).</w:t>
      </w:r>
    </w:p>
    <w:p>
      <w:pPr>
        <w:pStyle w:val="BodyText"/>
      </w:pPr>
      <w:r>
        <w:t xml:space="preserve">Crucially, the optimizer’s measurable sensitivity to starting values reflects the underlying non-convexity of the recruitment boundary in severe-sloping configurations (A4, A5), bounded by the hard comfort penalty cliff. Unconstrained Nelder-Mead search from disparate flat initializations (e.g., -10 dB vs. +10 dB) can deviate by up to 0.5 sones or 0.05 SII. To eliminate solver stochasticity during ablation testing, Open-NL deploys a 5-iteration multi-start routine—seeding the initial simplex with the NAL-R target and executing four additional randomized restarts—which reduces residual run-to-run variance on A5 to &lt; 0.05 sones and &lt; 0.01 SII. This confirms that while clinical prescriptions like NAL-NL2 achieve stability via empirical regularization (Keidser et al., 2012), Open-NL achieves numerical reproducibility via algorithmic multi-start search while exposing the volatility of unregularized heuristic boundaries.</w:t>
      </w:r>
    </w:p>
    <w:bookmarkEnd w:id="32"/>
    <w:bookmarkStart w:id="33"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by ~13 dB in 30–40% of impaired listeners (Denk et al., 2025; Moore et al., 2014),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3"/>
    <w:bookmarkEnd w:id="34"/>
    <w:bookmarkStart w:id="35" w:name="v.-conclusion"/>
    <w:p>
      <w:pPr>
        <w:pStyle w:val="Heading2"/>
      </w:pPr>
      <w:r>
        <w:t xml:space="preserve">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 As emphasized throughout, Open-NL is strictly a research sandbox: its raw outputs must not be used for fitting hearing aids on human patients, and any future translational research mandates Institutional Review Board approval, mandatory real-ear verification, and individualized loudness-tolerance safety gates.</w:t>
      </w:r>
    </w:p>
    <w:bookmarkEnd w:id="35"/>
    <w:bookmarkStart w:id="36"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6"/>
    <w:bookmarkStart w:id="39" w:name="author-declarations"/>
    <w:p>
      <w:pPr>
        <w:pStyle w:val="Heading2"/>
      </w:pPr>
      <w:r>
        <w:t xml:space="preserve">AUTHOR DECLARATIONS</w:t>
      </w:r>
    </w:p>
    <w:bookmarkStart w:id="37" w:name="conflict-of-interest"/>
    <w:p>
      <w:pPr>
        <w:pStyle w:val="Heading3"/>
      </w:pPr>
      <w:r>
        <w:t xml:space="preserve">Conflict of Interest</w:t>
      </w:r>
    </w:p>
    <w:p>
      <w:pPr>
        <w:pStyle w:val="FirstParagraph"/>
      </w:pPr>
      <w:r>
        <w:t xml:space="preserve">The author declares no conflicts of interest.</w:t>
      </w:r>
    </w:p>
    <w:bookmarkEnd w:id="37"/>
    <w:bookmarkStart w:id="38"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 Because Open-NL is distributed strictly as a theoretical computational toolkit, any future application of the algorithm to human participants by independent investigators requires separate Institutional Review Board (IRB) approval, informed consent, and rigorous audiological safety protocols.</w:t>
      </w:r>
    </w:p>
    <w:bookmarkEnd w:id="38"/>
    <w:bookmarkEnd w:id="39"/>
    <w:bookmarkStart w:id="42"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w:t>
      </w:r>
      <w:r>
        <w:t xml:space="preserve"> </w:t>
      </w:r>
      <w:hyperlink r:id="rId40">
        <w:r>
          <w:rPr>
            <w:rStyle w:val="Hyperlink"/>
          </w:rPr>
          <w:t xml:space="preserve">https://github.com/r-gregmisc/SII</w:t>
        </w:r>
      </w:hyperlink>
      <w:r>
        <w:t xml:space="preserve"> </w:t>
      </w:r>
      <w:r>
        <w:t xml:space="preserve">(v1.2.4; Git commit</w:t>
      </w:r>
      <w:r>
        <w:t xml:space="preserve"> </w:t>
      </w:r>
      <w:r>
        <w:rPr>
          <w:rStyle w:val="VerbatimChar"/>
        </w:rPr>
        <w:t xml:space="preserve">b2b5ce0</w:t>
      </w:r>
      <w:r>
        <w:t xml:space="preserve">; Archival DOI:</w:t>
      </w:r>
      <w:r>
        <w:t xml:space="preserve"> </w:t>
      </w:r>
      <w:hyperlink r:id="rId41">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2"/>
    <w:bookmarkStart w:id="48"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Bramslow, L. (2004). An objective estimate of the perceived quality of reproduced sound in normal and impaired hearing.</w:t>
      </w:r>
      <w:r>
        <w:t xml:space="preserve"> </w:t>
      </w:r>
      <w:r>
        <w:rPr>
          <w:i/>
          <w:iCs/>
        </w:rPr>
        <w:t xml:space="preserve">Acta Acustica united with Acustica</w:t>
      </w:r>
      <w:r>
        <w:t xml:space="preserve">, 90(6), 1005-1019.</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Byrne, D., Dillon, H., Ching, T. Y., Katsch, R., &amp; Keidser, G. (2001). NAL-NL1 procedure for fitting nonlinear hearing aids: Characteristics and comparisons with other procedures.</w:t>
      </w:r>
      <w:r>
        <w:t xml:space="preserve"> </w:t>
      </w:r>
      <w:r>
        <w:rPr>
          <w:i/>
          <w:iCs/>
        </w:rPr>
        <w:t xml:space="preserve">Journal of the American Academy of Audiology</w:t>
      </w:r>
      <w:r>
        <w:t xml:space="preserve">, 12(1), 37-51.</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Convery, E., &amp; Keidser, G. (2011). Transitioning hearing aid users with severe and profound loss to a new gain/frequency response: Benefit, perception, and acceptance.</w:t>
      </w:r>
      <w:r>
        <w:t xml:space="preserve"> </w:t>
      </w:r>
      <w:r>
        <w:rPr>
          <w:i/>
          <w:iCs/>
        </w:rPr>
        <w:t xml:space="preserve">Journal of the American Academy of Audiology</w:t>
      </w:r>
      <w:r>
        <w:t xml:space="preserve">, 22(3), 168-180.</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w:t>
      </w:r>
      <w:r>
        <w:t xml:space="preserve"> </w:t>
      </w:r>
      <w:hyperlink r:id="rId43">
        <w:r>
          <w:rPr>
            <w:rStyle w:val="Hyperlink"/>
          </w:rPr>
          <w:t xml:space="preserve">https://doi.org/10.1371/journal.pone.0319236</w:t>
        </w:r>
      </w:hyperlink>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w:t>
      </w:r>
      <w:r>
        <w:t xml:space="preserve"> </w:t>
      </w:r>
      <w:hyperlink r:id="rId44">
        <w:r>
          <w:rPr>
            <w:rStyle w:val="Hyperlink"/>
          </w:rPr>
          <w:t xml:space="preserve">https://doi.org/10.1080/14992027.2024.2426009</w:t>
        </w:r>
      </w:hyperlink>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Hornsby, B. W., &amp; Ricketts, T. A. (2006). The effects of hearing loss on the contribution of high- and low-frequency speech information to speech understanding. II. Sloping hearing loss.</w:t>
      </w:r>
      <w:r>
        <w:t xml:space="preserve"> </w:t>
      </w:r>
      <w:r>
        <w:rPr>
          <w:i/>
          <w:iCs/>
        </w:rPr>
        <w:t xml:space="preserve">The Journal of the Acoustical Society of America</w:t>
      </w:r>
      <w:r>
        <w:t xml:space="preserve">, 119(3), 1752-1763.</w:t>
      </w:r>
    </w:p>
    <w:p>
      <w:pPr>
        <w:pStyle w:val="BodyText"/>
      </w:pPr>
      <w:r>
        <w:t xml:space="preserve">Hornsby, B. W., Johnson, E. E., &amp; Picou, E. M. (2011). Effects of degree and configuration of hearing loss on the contribution of high- and low-frequency speech information to bilateral speech understanding.</w:t>
      </w:r>
      <w:r>
        <w:t xml:space="preserve"> </w:t>
      </w:r>
      <w:r>
        <w:rPr>
          <w:i/>
          <w:iCs/>
        </w:rPr>
        <w:t xml:space="preserve">Ear and Hearing</w:t>
      </w:r>
      <w:r>
        <w:t xml:space="preserve">, 32(5), 543-555.</w:t>
      </w:r>
    </w:p>
    <w:p>
      <w:pPr>
        <w:pStyle w:val="BodyText"/>
      </w:pPr>
      <w:r>
        <w:t xml:space="preserve">Humes, L. E., &amp; Kidd, G. R. (2016). Speech recognition for multiple bands: Implications for the Speech Intelligibility Index.</w:t>
      </w:r>
      <w:r>
        <w:t xml:space="preserve"> </w:t>
      </w:r>
      <w:r>
        <w:rPr>
          <w:i/>
          <w:iCs/>
        </w:rPr>
        <w:t xml:space="preserve">The Journal of the Acoustical Society of America</w:t>
      </w:r>
      <w:r>
        <w:t xml:space="preserve">, 140(3), 2019-2026.</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(2013b). An initial-fit comparison of two generic hearing aid prescriptive methods (NAL-NL2 and CAM2) to individuals having mild to moderately severe high-frequency hearing loss.</w:t>
      </w:r>
      <w:r>
        <w:t xml:space="preserve"> </w:t>
      </w:r>
      <w:r>
        <w:rPr>
          <w:i/>
          <w:iCs/>
        </w:rPr>
        <w:t xml:space="preserve">Journal of the American Academy of Audiology</w:t>
      </w:r>
      <w:r>
        <w:t xml:space="preserve">.</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&amp; Grant, F. (2001). Comparing loudness normalization (IHAFF) with speech intelligibility maximization (NAL-NL1) when implemented in a two-channel device.</w:t>
      </w:r>
      <w:r>
        <w:t xml:space="preserve"> </w:t>
      </w:r>
      <w:r>
        <w:rPr>
          <w:i/>
          <w:iCs/>
        </w:rPr>
        <w:t xml:space="preserve">Ear and Hearing</w:t>
      </w:r>
      <w:r>
        <w:t xml:space="preserve">.</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 NAL-NL2 empirical adjustments.</w:t>
      </w:r>
      <w:r>
        <w:t xml:space="preserve"> </w:t>
      </w:r>
      <w:r>
        <w:rPr>
          <w:i/>
          <w:iCs/>
        </w:rPr>
        <w:t xml:space="preserve">Trends in Amplification</w:t>
      </w:r>
      <w:r>
        <w:t xml:space="preserve">, 16(4), 211-223.</w:t>
      </w:r>
    </w:p>
    <w:p>
      <w:pPr>
        <w:pStyle w:val="BodyText"/>
      </w:pPr>
      <w:r>
        <w:t xml:space="preserve">Keidser, G., Dillon, H., Flax, M., Ching, T., &amp; Brewer, S. (2012). The NAL-NL2 prescription procedure.</w:t>
      </w:r>
      <w:r>
        <w:t xml:space="preserve"> </w:t>
      </w:r>
      <w:r>
        <w:rPr>
          <w:i/>
          <w:iCs/>
        </w:rPr>
        <w:t xml:space="preserve">Audiology Research</w:t>
      </w:r>
      <w:r>
        <w:t xml:space="preserve">, 2(1), e24.</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w:t>
      </w:r>
      <w:r>
        <w:t xml:space="preserve"> </w:t>
      </w:r>
      <w:hyperlink r:id="rId45">
        <w:r>
          <w:rPr>
            <w:rStyle w:val="Hyperlink"/>
          </w:rPr>
          <w:t xml:space="preserve">https://doi.org/10.1080/14992027.2026.42342663</w:t>
        </w:r>
      </w:hyperlink>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Malicka, A. N., Munro, K. J., Baer, T., Baker, R. J., &amp; Moore, B. C. (2013). The effect of low-pass filtering on identification of nonsense syllables in quiet by school-age children with and without cochlear dead regions.</w:t>
      </w:r>
      <w:r>
        <w:t xml:space="preserve"> </w:t>
      </w:r>
      <w:r>
        <w:rPr>
          <w:i/>
          <w:iCs/>
        </w:rPr>
        <w:t xml:space="preserve">Ear and Hearing</w:t>
      </w:r>
      <w:r>
        <w:t xml:space="preserve">, 34(3), 358-366.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w:t>
      </w:r>
      <w:r>
        <w:t xml:space="preserve"> </w:t>
      </w:r>
      <w:hyperlink r:id="rId46">
        <w:r>
          <w:rPr>
            <w:rStyle w:val="Hyperlink"/>
          </w:rPr>
          <w:t xml:space="preserve">https://doi.org/10.1121/10.0036461</w:t>
        </w:r>
      </w:hyperlink>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Narayanan, S. K., Rye, P., Houmøller, S. S., et al. (2024). Difference in SII provided by initial fit and NAL-NL2 and its relation to self-reported hearing aid outcomes.</w:t>
      </w:r>
      <w:r>
        <w:t xml:space="preserve"> </w:t>
      </w:r>
      <w:r>
        <w:rPr>
          <w:i/>
          <w:iCs/>
        </w:rPr>
        <w:t xml:space="preserve">International Journal of Audiology</w:t>
      </w:r>
      <w:r>
        <w:t xml:space="preserve">.</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Plyler, P. N., &amp; Fleck, E. L. (2006). The effects of high-frequency amplification on the objective and subjective performance of hearing instrument users with varying degrees of high-frequency hearing loss.</w:t>
      </w:r>
      <w:r>
        <w:t xml:space="preserve"> </w:t>
      </w:r>
      <w:r>
        <w:rPr>
          <w:i/>
          <w:iCs/>
        </w:rPr>
        <w:t xml:space="preserve">Journal of Speech, Language, and Hearing Research</w:t>
      </w:r>
      <w:r>
        <w:t xml:space="preserve">, 49(3), 616-627.</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w:t>
      </w:r>
      <w:r>
        <w:t xml:space="preserve"> </w:t>
      </w:r>
      <w:hyperlink r:id="rId47">
        <w:r>
          <w:rPr>
            <w:rStyle w:val="Hyperlink"/>
          </w:rPr>
          <w:t xml:space="preserve">https://doi.org/10.1121/1.2108861</w:t>
        </w:r>
      </w:hyperlink>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8"/>
    <w:bookmarkStart w:id="49" w:name="Xad28c60452669c0419bcd537881e833596ed4ab"/>
    <w:p>
      <w:pPr>
        <w:pStyle w:val="Heading2"/>
      </w:pPr>
      <w:r>
        <w:t xml:space="preserve">Yoho, S. E., &amp; Bosen, A. K. (2019). Individualized frequency importance functions for listeners with sensorineural hearing loss.</w:t>
      </w:r>
      <w:r>
        <w:t xml:space="preserve"> </w:t>
      </w:r>
      <w:r>
        <w:rPr>
          <w:i/>
          <w:iCs/>
        </w:rPr>
        <w:t xml:space="preserve">The Journal of the Acoustical Society of America</w:t>
      </w:r>
      <w:r>
        <w:t xml:space="preserve">, 146(2), 1184-1193.</w:t>
      </w:r>
    </w:p>
    <w:p>
      <w:pPr>
        <w:pStyle w:val="FirstParagraph"/>
      </w:pPr>
      <w:r>
        <w:t xml:space="preserve">output:</w:t>
      </w:r>
      <w:r>
        <w:t xml:space="preserve"> </w:t>
      </w:r>
      <w:r>
        <w:t xml:space="preserve">pdf_document: default</w:t>
      </w:r>
      <w:r>
        <w:t xml:space="preserve"> </w:t>
      </w:r>
      <w:r>
        <w:t xml:space="preserve">html_document: default</w:t>
      </w:r>
      <w:r>
        <w:t xml:space="preserve"> </w:t>
      </w:r>
      <w:r>
        <w:t xml:space="preserve">—</w:t>
      </w:r>
      <w:r>
        <w:t xml:space="preserve"> </w:t>
      </w:r>
      <w:r>
        <w:t xml:space="preserve"># Supplementary Material: Open-NL Algorithmic Pipeline and Complete Parameter Specification</w:t>
      </w:r>
    </w:p>
    <w:p>
      <w:pPr>
        <w:pStyle w:val="BodyText"/>
      </w:pPr>
      <w:r>
        <w:t xml:space="preserve">This supplementary document provides the exact mathematical formulations, closed-form piecewise functions, and complete numerical parameter specifications governing the twelve internal processing stages of the Open-NL algorithmic cascade.</w:t>
      </w:r>
    </w:p>
    <w:bookmarkEnd w:id="49"/>
    <w:bookmarkStart w:id="50" w:name="c.-the-twelve-stage-execution-cascade"/>
    <w:p>
      <w:pPr>
        <w:pStyle w:val="Heading2"/>
      </w:pPr>
      <w:r>
        <w:t xml:space="preserve">C.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01"/>
        </w:numPr>
      </w:pPr>
      <w:r>
        <w:rPr>
          <w:b/>
          <w:bCs/>
        </w:rPr>
        <w:t xml:space="preserve">Stage 1: Conductive Component Separation &amp; Dynamic Range Baseline</w:t>
      </w:r>
      <w:r>
        <w:t xml:space="preserve"> </w:t>
      </w:r>
      <w:r>
        <w:t xml:space="preserve">(Section II.D)</w:t>
      </w:r>
    </w:p>
    <w:p>
      <w:pPr>
        <w:pStyle w:val="Compact"/>
        <w:numPr>
          <w:ilvl w:val="0"/>
          <w:numId w:val="1001"/>
        </w:numPr>
      </w:pPr>
      <w:r>
        <w:rPr>
          <w:b/>
          <w:bCs/>
        </w:rPr>
        <w:t xml:space="preserve">Stage 2: Decoupled Half-Gain Base Anchor Calculation</w:t>
      </w:r>
      <w:r>
        <w:t xml:space="preserve"> </w:t>
      </w:r>
      <w:r>
        <w:t xml:space="preserve">(Section II.E)</w:t>
      </w:r>
    </w:p>
    <w:p>
      <w:pPr>
        <w:pStyle w:val="Compact"/>
        <w:numPr>
          <w:ilvl w:val="0"/>
          <w:numId w:val="1001"/>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01"/>
        </w:numPr>
      </w:pPr>
      <w:r>
        <w:rPr>
          <w:b/>
          <w:bCs/>
        </w:rPr>
        <w:t xml:space="preserve">Stage 4: Reverse-Slope Low-Frequency Attenuation Floor</w:t>
      </w:r>
      <w:r>
        <w:t xml:space="preserve"> </w:t>
      </w:r>
      <w:r>
        <w:t xml:space="preserve">(Section II.G)</w:t>
      </w:r>
    </w:p>
    <w:p>
      <w:pPr>
        <w:pStyle w:val="Compact"/>
        <w:numPr>
          <w:ilvl w:val="0"/>
          <w:numId w:val="1001"/>
        </w:numPr>
      </w:pPr>
      <w:r>
        <w:rPr>
          <w:b/>
          <w:bCs/>
        </w:rPr>
        <w:t xml:space="preserve">Stage 5: Slope-Dependent Low-Frequency Penalty (SD-LFP) with Profound HF Bypass</w:t>
      </w:r>
      <w:r>
        <w:t xml:space="preserve"> </w:t>
      </w:r>
      <w:r>
        <w:t xml:space="preserve">(Section II.H)</w:t>
      </w:r>
    </w:p>
    <w:p>
      <w:pPr>
        <w:pStyle w:val="Compact"/>
        <w:numPr>
          <w:ilvl w:val="0"/>
          <w:numId w:val="1001"/>
        </w:numPr>
      </w:pPr>
      <w:r>
        <w:rPr>
          <w:b/>
          <w:bCs/>
        </w:rPr>
        <w:t xml:space="preserve">Stage 6: Severe-Loss Audibility Booster</w:t>
      </w:r>
      <w:r>
        <w:t xml:space="preserve"> </w:t>
      </w:r>
      <w:r>
        <w:t xml:space="preserve">(Section II.I)</w:t>
      </w:r>
    </w:p>
    <w:p>
      <w:pPr>
        <w:pStyle w:val="Compact"/>
        <w:numPr>
          <w:ilvl w:val="0"/>
          <w:numId w:val="1001"/>
        </w:numPr>
      </w:pPr>
      <w:r>
        <w:rPr>
          <w:b/>
          <w:bCs/>
        </w:rPr>
        <w:t xml:space="preserve">Stage 7: Soft-Compression High-Frequency Desensitization</w:t>
      </w:r>
      <w:r>
        <w:t xml:space="preserve"> </w:t>
      </w:r>
      <w:r>
        <w:t xml:space="preserve">(Section II.J)</w:t>
      </w:r>
    </w:p>
    <w:p>
      <w:pPr>
        <w:pStyle w:val="Compact"/>
        <w:numPr>
          <w:ilvl w:val="0"/>
          <w:numId w:val="1001"/>
        </w:numPr>
      </w:pPr>
      <w:r>
        <w:rPr>
          <w:b/>
          <w:bCs/>
        </w:rPr>
        <w:t xml:space="preserve">Stage 8: Dynamic Range Mapping (LDL Squeeze)</w:t>
      </w:r>
      <w:r>
        <w:t xml:space="preserve"> </w:t>
      </w:r>
      <w:r>
        <w:t xml:space="preserve">(Section II.K)</w:t>
      </w:r>
    </w:p>
    <w:p>
      <w:pPr>
        <w:pStyle w:val="Compact"/>
        <w:numPr>
          <w:ilvl w:val="0"/>
          <w:numId w:val="1001"/>
        </w:numPr>
      </w:pPr>
      <w:r>
        <w:rPr>
          <w:b/>
          <w:bCs/>
        </w:rPr>
        <w:t xml:space="preserve">Stage 9: Transducer Bandwidth Roll-off</w:t>
      </w:r>
      <w:r>
        <w:t xml:space="preserve"> </w:t>
      </w:r>
      <w:r>
        <w:t xml:space="preserve">(Section II.L)</w:t>
      </w:r>
    </w:p>
    <w:p>
      <w:pPr>
        <w:pStyle w:val="Compact"/>
        <w:numPr>
          <w:ilvl w:val="0"/>
          <w:numId w:val="1001"/>
        </w:numPr>
      </w:pPr>
      <w:r>
        <w:rPr>
          <w:b/>
          <w:bCs/>
        </w:rPr>
        <w:t xml:space="preserve">Stage 10: Multi-Channel WDRC Mapping, Input/Output Pivot, and Demographic Adjustments</w:t>
      </w:r>
      <w:r>
        <w:t xml:space="preserve"> </w:t>
      </w:r>
      <w:r>
        <w:t xml:space="preserve">(Section II.M)</w:t>
      </w:r>
    </w:p>
    <w:p>
      <w:pPr>
        <w:pStyle w:val="Compact"/>
        <w:numPr>
          <w:ilvl w:val="0"/>
          <w:numId w:val="1001"/>
        </w:numPr>
      </w:pPr>
      <w:r>
        <w:rPr>
          <w:b/>
          <w:bCs/>
        </w:rPr>
        <w:t xml:space="preserve">Stage 11: Acoustic Venting, Coupling Loss, and Receiver Saturation Limits</w:t>
      </w:r>
      <w:r>
        <w:t xml:space="preserve"> </w:t>
      </w:r>
      <w:r>
        <w:t xml:space="preserve">(Section II.N)</w:t>
      </w:r>
    </w:p>
    <w:p>
      <w:pPr>
        <w:pStyle w:val="Compact"/>
        <w:numPr>
          <w:ilvl w:val="0"/>
          <w:numId w:val="1001"/>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50"/>
    <w:bookmarkStart w:id="51" w:name="X924adc26413980108c1165522f513d7002d0b2f"/>
    <w:p>
      <w:pPr>
        <w:pStyle w:val="Heading2"/>
      </w:pPr>
      <w:r>
        <w:t xml:space="preserve">D.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51"/>
    <w:bookmarkStart w:id="52" w:name="X663c68771b4801bb3e7eba8b32721bf31cc4af7"/>
    <w:p>
      <w:pPr>
        <w:pStyle w:val="Heading2"/>
      </w:pPr>
      <w:r>
        <w:t xml:space="preserve">E.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52"/>
    <w:bookmarkStart w:id="53" w:name="Xd37e329a0dfd8fca6b6c0615c219b8d82e2f147"/>
    <w:p>
      <w:pPr>
        <w:pStyle w:val="Heading2"/>
      </w:pPr>
      <w:r>
        <w:t xml:space="preserve">F.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53"/>
    <w:bookmarkStart w:id="54" w:name="X156422c1787bf688338169814664c43656e5d62"/>
    <w:p>
      <w:pPr>
        <w:pStyle w:val="Heading2"/>
      </w:pPr>
      <w:r>
        <w:t xml:space="preserve">G.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54"/>
    <w:bookmarkStart w:id="56" w:name="Xda91299bcc600c3bd96b944c2e49ea237833d75"/>
    <w:p>
      <w:pPr>
        <w:pStyle w:val="Heading2"/>
      </w:pPr>
      <w:r>
        <w:t xml:space="preserve">H.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55" w:name="ablation-of-sd-lfp-constraints"/>
    <w:p>
      <w:pPr>
        <w:pStyle w:val="Heading3"/>
      </w:pPr>
      <w:r>
        <w:t xml:space="preserve">Ablation of SD-LFP Constraints</w:t>
      </w:r>
    </w:p>
    <w:p>
      <w:pPr>
        <w:pStyle w:val="FirstParagraph"/>
      </w:pPr>
      <w:r>
        <w:t xml:space="preserve">Table I provides the reference audiometric profiles (A1–A7, Johnson &amp; Dillon, 2011). Table II demonstrates the mechanical impact of the SD-LFP constraint on the initial heuristic seeds.</w:t>
      </w:r>
    </w:p>
    <w:p>
      <w:pPr>
        <w:pStyle w:val="BodyText"/>
      </w:pPr>
      <w:r>
        <w:rPr>
          <w:b/>
          <w:bCs/>
        </w:rPr>
        <w:t xml:space="preserve">TABLE I.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II.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55"/>
    <w:bookmarkEnd w:id="56"/>
    <w:bookmarkStart w:id="57" w:name="X09d2707a9c76428f60fc254e9be7da1e435e94c"/>
    <w:p>
      <w:pPr>
        <w:pStyle w:val="Heading2"/>
      </w:pPr>
      <w:r>
        <w:t xml:space="preserve">I.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57"/>
    <w:bookmarkStart w:id="58" w:name="X8bbd9a30d4557f076100e290924587a4d4c2893"/>
    <w:p>
      <w:pPr>
        <w:pStyle w:val="Heading2"/>
      </w:pPr>
      <w:r>
        <w:t xml:space="preserve">J.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8"/>
    <w:bookmarkStart w:id="59" w:name="X0e657ffd28ca187b8eecbed7d08fc1e47f2413f"/>
    <w:p>
      <w:pPr>
        <w:pStyle w:val="Heading2"/>
      </w:pPr>
      <w:r>
        <w:t xml:space="preserve">K.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9"/>
    <w:bookmarkStart w:id="60" w:name="l.-stage-9-transducer-bandwidth-roll-off"/>
    <w:p>
      <w:pPr>
        <w:pStyle w:val="Heading2"/>
      </w:pPr>
      <w:r>
        <w:t xml:space="preserve">L.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60"/>
    <w:bookmarkStart w:id="61" w:name="X209f17b6701167cfa5bf03eeabc626f0bde9f02"/>
    <w:p>
      <w:pPr>
        <w:pStyle w:val="Heading2"/>
      </w:pPr>
      <w:r>
        <w:t xml:space="preserve">M.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02"/>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02"/>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02"/>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02"/>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02"/>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III. Effective Compression Ratios (Gain50 / Gain80) across A1-A7 Audiograms.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62.00</w:t>
            </w:r>
          </w:p>
        </w:tc>
        <w:tc>
          <w:tcPr/>
          <w:p>
            <w:pPr>
              <w:pStyle w:val="Compact"/>
              <w:jc w:val="center"/>
            </w:pPr>
            <w:r>
              <w:t xml:space="preserve">7.22</w:t>
            </w:r>
          </w:p>
        </w:tc>
        <w:tc>
          <w:tcPr/>
          <w:p>
            <w:pPr>
              <w:pStyle w:val="Compact"/>
              <w:jc w:val="center"/>
            </w:pPr>
            <w:r>
              <w:t xml:space="preserve">3.66</w:t>
            </w:r>
          </w:p>
        </w:tc>
        <w:tc>
          <w:tcPr/>
          <w:p>
            <w:pPr>
              <w:pStyle w:val="Compact"/>
              <w:jc w:val="center"/>
            </w:pPr>
            <w:r>
              <w:t xml:space="preserve">2.74</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1.00</w:t>
            </w:r>
          </w:p>
        </w:tc>
        <w:tc>
          <w:tcPr/>
          <w:p>
            <w:pPr>
              <w:pStyle w:val="Compact"/>
              <w:jc w:val="center"/>
            </w:pPr>
            <w:r>
              <w:t xml:space="preserve">2.02</w:t>
            </w:r>
          </w:p>
        </w:tc>
        <w:tc>
          <w:tcPr/>
          <w:p>
            <w:pPr>
              <w:pStyle w:val="Compact"/>
              <w:jc w:val="center"/>
            </w:pPr>
            <w:r>
              <w:t xml:space="preserve">2.84</w:t>
            </w:r>
          </w:p>
        </w:tc>
        <w:tc>
          <w:tcPr/>
          <w:p>
            <w:pPr>
              <w:pStyle w:val="Compact"/>
              <w:jc w:val="center"/>
            </w:pPr>
            <w:r>
              <w:t xml:space="preserve">2.60</w:t>
            </w:r>
          </w:p>
        </w:tc>
        <w:tc>
          <w:tcPr/>
          <w:p>
            <w:pPr>
              <w:pStyle w:val="Compact"/>
              <w:jc w:val="center"/>
            </w:pPr>
            <w:r>
              <w:t xml:space="preserve">8.45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5.84</w:t>
            </w:r>
          </w:p>
        </w:tc>
        <w:tc>
          <w:tcPr/>
          <w:p>
            <w:pPr>
              <w:pStyle w:val="Compact"/>
              <w:jc w:val="center"/>
            </w:pPr>
            <w:r>
              <w:t xml:space="preserve">47.33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5.59</w:t>
            </w:r>
          </w:p>
        </w:tc>
        <w:tc>
          <w:tcPr/>
          <w:p>
            <w:pPr>
              <w:pStyle w:val="Compact"/>
              <w:jc w:val="center"/>
            </w:pPr>
            <w:r>
              <w:t xml:space="preserve">2.71</w:t>
            </w:r>
          </w:p>
        </w:tc>
        <w:tc>
          <w:tcPr/>
          <w:p>
            <w:pPr>
              <w:pStyle w:val="Compact"/>
              <w:jc w:val="center"/>
            </w:pPr>
            <w:r>
              <w:t xml:space="preserve">6.41</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8.37</w:t>
            </w:r>
          </w:p>
        </w:tc>
        <w:tc>
          <w:tcPr/>
          <w:p>
            <w:pPr>
              <w:pStyle w:val="Compact"/>
              <w:jc w:val="center"/>
            </w:pPr>
            <w:r>
              <w:t xml:space="preserve">3.75</w:t>
            </w:r>
          </w:p>
        </w:tc>
        <w:tc>
          <w:tcPr/>
          <w:p>
            <w:pPr>
              <w:pStyle w:val="Compact"/>
              <w:jc w:val="center"/>
            </w:pPr>
            <w:r>
              <w:t xml:space="preserve">3.03</w:t>
            </w:r>
          </w:p>
        </w:tc>
        <w:tc>
          <w:tcPr/>
          <w:p>
            <w:pPr>
              <w:pStyle w:val="Compact"/>
              <w:jc w:val="center"/>
            </w:pPr>
            <w:r>
              <w:t xml:space="preserve">2.42</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2.31</w:t>
            </w:r>
          </w:p>
        </w:tc>
        <w:tc>
          <w:tcPr/>
          <w:p>
            <w:pPr>
              <w:pStyle w:val="Compact"/>
              <w:jc w:val="center"/>
            </w:pPr>
            <w:r>
              <w:t xml:space="preserve">2.94</w:t>
            </w:r>
          </w:p>
        </w:tc>
        <w:tc>
          <w:tcPr/>
          <w:p>
            <w:pPr>
              <w:pStyle w:val="Compact"/>
              <w:jc w:val="center"/>
            </w:pPr>
            <w:r>
              <w:t xml:space="preserve">2.94</w:t>
            </w:r>
          </w:p>
        </w:tc>
        <w:tc>
          <w:tcPr/>
          <w:p>
            <w:pPr>
              <w:pStyle w:val="Compact"/>
              <w:jc w:val="center"/>
            </w:pPr>
            <w:r>
              <w:t xml:space="preserve">-</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6.40</w:t>
            </w:r>
          </w:p>
        </w:tc>
        <w:tc>
          <w:tcPr/>
          <w:p>
            <w:pPr>
              <w:pStyle w:val="Compact"/>
              <w:jc w:val="center"/>
            </w:pPr>
            <w:r>
              <w:t xml:space="preserve">2.46</w:t>
            </w:r>
          </w:p>
        </w:tc>
        <w:tc>
          <w:tcPr/>
          <w:p>
            <w:pPr>
              <w:pStyle w:val="Compact"/>
              <w:jc w:val="center"/>
            </w:pPr>
            <w:r>
              <w:t xml:space="preserve">2.11</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2.96</w:t>
            </w:r>
          </w:p>
        </w:tc>
        <w:tc>
          <w:tcPr/>
          <w:p>
            <w:pPr>
              <w:pStyle w:val="Compact"/>
              <w:jc w:val="center"/>
            </w:pPr>
            <w:r>
              <w:t xml:space="preserve">1.64</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56.50</w:t>
            </w:r>
          </w:p>
        </w:tc>
        <w:tc>
          <w:tcPr/>
          <w:p>
            <w:pPr>
              <w:pStyle w:val="Compact"/>
              <w:jc w:val="center"/>
            </w:pPr>
            <w:r>
              <w:t xml:space="preserve">2.44</w:t>
            </w:r>
          </w:p>
        </w:tc>
        <w:tc>
          <w:tcPr/>
          <w:p>
            <w:pPr>
              <w:pStyle w:val="Compact"/>
              <w:jc w:val="center"/>
            </w:pPr>
            <w:r>
              <w:t xml:space="preserve">1.87</w:t>
            </w:r>
          </w:p>
        </w:tc>
        <w:tc>
          <w:tcPr/>
          <w:p>
            <w:pPr>
              <w:pStyle w:val="Compact"/>
              <w:jc w:val="center"/>
            </w:pPr>
            <w:r>
              <w:t xml:space="preserve">1.75</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2.17</w:t>
            </w:r>
          </w:p>
        </w:tc>
        <w:tc>
          <w:tcPr/>
          <w:p>
            <w:pPr>
              <w:pStyle w:val="Compact"/>
              <w:jc w:val="center"/>
            </w:pPr>
            <w:r>
              <w:t xml:space="preserve">2.10</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1.35</w:t>
            </w:r>
          </w:p>
        </w:tc>
        <w:tc>
          <w:tcPr/>
          <w:p>
            <w:pPr>
              <w:pStyle w:val="Compact"/>
              <w:jc w:val="center"/>
            </w:pPr>
            <w:r>
              <w:t xml:space="preserve">1.35</w:t>
            </w:r>
          </w:p>
        </w:tc>
        <w:tc>
          <w:tcPr/>
          <w:p>
            <w:pPr>
              <w:pStyle w:val="Compact"/>
              <w:jc w:val="center"/>
            </w:pPr>
            <w:r>
              <w:t xml:space="preserve">1.43</w:t>
            </w:r>
          </w:p>
        </w:tc>
        <w:tc>
          <w:tcPr/>
          <w:p>
            <w:pPr>
              <w:pStyle w:val="Compact"/>
              <w:jc w:val="center"/>
            </w:pPr>
            <w:r>
              <w:t xml:space="preserve">1.43</w:t>
            </w:r>
          </w:p>
        </w:tc>
        <w:tc>
          <w:tcPr/>
          <w:p>
            <w:pPr>
              <w:pStyle w:val="Compact"/>
              <w:jc w:val="center"/>
            </w:pPr>
            <w:r>
              <w:t xml:space="preserve">1.55</w:t>
            </w:r>
          </w:p>
        </w:tc>
        <w:tc>
          <w:tcPr/>
          <w:p>
            <w:pPr>
              <w:pStyle w:val="Compact"/>
              <w:jc w:val="center"/>
            </w:pPr>
            <w:r>
              <w:t xml:space="preserve">1.53</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1.54</w:t>
            </w:r>
          </w:p>
        </w:tc>
        <w:tc>
          <w:tcPr/>
          <w:p>
            <w:pPr>
              <w:pStyle w:val="Compact"/>
              <w:jc w:val="center"/>
            </w:pPr>
            <w:r>
              <w:t xml:space="preserve">1.38</w:t>
            </w:r>
          </w:p>
        </w:tc>
        <w:tc>
          <w:tcPr/>
          <w:p>
            <w:pPr>
              <w:pStyle w:val="Compact"/>
              <w:jc w:val="center"/>
            </w:pPr>
            <w:r>
              <w:t xml:space="preserve">1.30</w:t>
            </w:r>
          </w:p>
        </w:tc>
        <w:tc>
          <w:tcPr/>
          <w:p>
            <w:pPr>
              <w:pStyle w:val="Compact"/>
              <w:jc w:val="center"/>
            </w:pPr>
            <w:r>
              <w:t xml:space="preserve">1.29</w:t>
            </w:r>
          </w:p>
        </w:tc>
        <w:tc>
          <w:tcPr/>
          <w:p>
            <w:pPr>
              <w:pStyle w:val="Compact"/>
              <w:jc w:val="center"/>
            </w:pPr>
            <w:r>
              <w:t xml:space="preserve">1.26</w:t>
            </w:r>
          </w:p>
        </w:tc>
        <w:tc>
          <w:tcPr/>
          <w:p>
            <w:pPr>
              <w:pStyle w:val="Compact"/>
              <w:jc w:val="center"/>
            </w:pPr>
            <w:r>
              <w:t xml:space="preserve">1.34</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61"/>
    <w:bookmarkStart w:id="62" w:name="X51ffb152a045e093e4ddf69f1969b3c57724856"/>
    <w:p>
      <w:pPr>
        <w:pStyle w:val="Heading2"/>
      </w:pPr>
      <w:r>
        <w:t xml:space="preserve">N.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S1.</w:t>
      </w:r>
    </w:p>
    <w:p>
      <w:pPr>
        <w:pStyle w:val="BodyText"/>
      </w:pPr>
      <w:r>
        <w:rPr>
          <w:b/>
          <w:bCs/>
        </w:rPr>
        <w:t xml:space="preserve">TABLE S1.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62"/>
    <w:bookmarkStart w:id="67" w:name="X0bfd2833674122c464a48ada4e9d99274e5a5da"/>
    <w:p>
      <w:pPr>
        <w:pStyle w:val="Heading2"/>
      </w:pPr>
      <w:r>
        <w:t xml:space="preserve">O.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63"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63"/>
    <w:bookmarkStart w:id="64"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64"/>
    <w:bookmarkStart w:id="65" w:name="X935b7f85179958d53130ebaa6f54c123e2e6e5e"/>
    <w:p>
      <w:pPr>
        <w:pStyle w:val="Heading3"/>
      </w:pPr>
      <w:r>
        <w:t xml:space="preserve">Explicit Penalty Terms and Exact Weights (</w:t>
      </w:r>
      <m:oMath>
        <m:r>
          <m:t>λ</m:t>
        </m:r>
      </m:oMath>
      <w:r>
        <w:t xml:space="preserve">)</w:t>
      </w:r>
    </w:p>
    <w:p>
      <w:pPr>
        <w:numPr>
          <w:ilvl w:val="0"/>
          <w:numId w:val="1003"/>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03"/>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03"/>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04"/>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04"/>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04"/>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04"/>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04"/>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03"/>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03"/>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03"/>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03"/>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15.0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03"/>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65"/>
    <w:bookmarkStart w:id="66" w:name="X2b451cd6420aeb3d859351a37ea4a75fdfb106e"/>
    <w:p>
      <w:pPr>
        <w:pStyle w:val="Heading3"/>
      </w:pPr>
      <w:r>
        <w:t xml:space="preserve">Solver Controls and Convergence Tolerances</w:t>
      </w:r>
    </w:p>
    <w:p>
      <w:pPr>
        <w:pStyle w:val="Compact"/>
        <w:numPr>
          <w:ilvl w:val="0"/>
          <w:numId w:val="1005"/>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05"/>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05"/>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05"/>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05"/>
        </w:numPr>
      </w:pPr>
      <w:r>
        <w:rPr>
          <w:b/>
          <w:bCs/>
        </w:rPr>
        <w:t xml:space="preserve">Multi-Start Strategy</w:t>
      </w:r>
      <w:r>
        <w:t xml:space="preserve">: 3 restarts executed per input level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w:t>
      </w:r>
      <w:r>
        <w:t xml:space="preserve">to escape shallow local extrema and guarantee global convergence.</w:t>
      </w:r>
    </w:p>
    <w:p>
      <w:r>
        <w:pict>
          <v:rect style="width:0;height:1.5pt" o:hralign="center" o:hrstd="t" o:hr="t"/>
        </w:pict>
      </w:r>
    </w:p>
    <w:bookmarkEnd w:id="66"/>
    <w:bookmarkEnd w:id="67"/>
    <w:bookmarkStart w:id="68"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w:t>
      </w:r>
      <w:r>
        <w:t xml:space="preserve"> </w:t>
      </w:r>
      <w:hyperlink r:id="rId43">
        <w:r>
          <w:rPr>
            <w:rStyle w:val="Hyperlink"/>
          </w:rPr>
          <w:t xml:space="preserve">https://doi.org/10.1371/journal.pone.0319236</w:t>
        </w:r>
      </w:hyperlink>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w:t>
      </w:r>
      <w:r>
        <w:t xml:space="preserve"> </w:t>
      </w:r>
      <w:hyperlink r:id="rId44">
        <w:r>
          <w:rPr>
            <w:rStyle w:val="Hyperlink"/>
          </w:rPr>
          <w:t xml:space="preserve">https://doi.org/10.1080/14992027.2024.2426009</w:t>
        </w:r>
      </w:hyperlink>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w:t>
      </w:r>
      <w:r>
        <w:t xml:space="preserve"> </w:t>
      </w:r>
      <w:hyperlink r:id="rId45">
        <w:r>
          <w:rPr>
            <w:rStyle w:val="Hyperlink"/>
          </w:rPr>
          <w:t xml:space="preserve">https://doi.org/10.1080/14992027.2026.42342663</w:t>
        </w:r>
      </w:hyperlink>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w:t>
      </w:r>
      <w:r>
        <w:t xml:space="preserve"> </w:t>
      </w:r>
      <w:hyperlink r:id="rId46">
        <w:r>
          <w:rPr>
            <w:rStyle w:val="Hyperlink"/>
          </w:rPr>
          <w:t xml:space="preserve">https://doi.org/10.1121/10.0036461</w:t>
        </w:r>
      </w:hyperlink>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w:t>
      </w:r>
      <w:r>
        <w:t xml:space="preserve"> </w:t>
      </w:r>
      <w:hyperlink r:id="rId47">
        <w:r>
          <w:rPr>
            <w:rStyle w:val="Hyperlink"/>
          </w:rPr>
          <w:t xml:space="preserve">https://doi.org/10.1121/1.2108861</w:t>
        </w:r>
      </w:hyperlink>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44" Target="https://doi.org/10.1080/14992027.2024.2426009" TargetMode="External" /><Relationship Type="http://schemas.openxmlformats.org/officeDocument/2006/relationships/hyperlink" Id="rId45" Target="https://doi.org/10.1080/14992027.2026.42342663" TargetMode="External" /><Relationship Type="http://schemas.openxmlformats.org/officeDocument/2006/relationships/hyperlink" Id="rId47" Target="https://doi.org/10.1121/1.2108861" TargetMode="External" /><Relationship Type="http://schemas.openxmlformats.org/officeDocument/2006/relationships/hyperlink" Id="rId46" Target="https://doi.org/10.1121/10.0036461" TargetMode="External" /><Relationship Type="http://schemas.openxmlformats.org/officeDocument/2006/relationships/hyperlink" Id="rId43" Target="https://doi.org/10.1371/journal.pone.0319236" TargetMode="External" /><Relationship Type="http://schemas.openxmlformats.org/officeDocument/2006/relationships/hyperlink" Id="rId41" Target="https://doi.org/10.5281/zenodo.14963842" TargetMode="External" /><Relationship Type="http://schemas.openxmlformats.org/officeDocument/2006/relationships/hyperlink" Id="rId40" Target="https://github.com/r-gregmisc/SII" TargetMode="External" /><Relationship Type="http://schemas.openxmlformats.org/officeDocument/2006/relationships/hyperlink" Id="rId9" Target="mailto:mark.shaver@wichita.edu"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80/14992027.2024.2426009" TargetMode="External" /><Relationship Type="http://schemas.openxmlformats.org/officeDocument/2006/relationships/hyperlink" Id="rId45" Target="https://doi.org/10.1080/14992027.2026.42342663" TargetMode="External" /><Relationship Type="http://schemas.openxmlformats.org/officeDocument/2006/relationships/hyperlink" Id="rId47" Target="https://doi.org/10.1121/1.2108861" TargetMode="External" /><Relationship Type="http://schemas.openxmlformats.org/officeDocument/2006/relationships/hyperlink" Id="rId46" Target="https://doi.org/10.1121/10.0036461" TargetMode="External" /><Relationship Type="http://schemas.openxmlformats.org/officeDocument/2006/relationships/hyperlink" Id="rId43" Target="https://doi.org/10.1371/journal.pone.0319236" TargetMode="External" /><Relationship Type="http://schemas.openxmlformats.org/officeDocument/2006/relationships/hyperlink" Id="rId41" Target="https://doi.org/10.5281/zenodo.14963842" TargetMode="External" /><Relationship Type="http://schemas.openxmlformats.org/officeDocument/2006/relationships/hyperlink" Id="rId40" Target="https://github.com/r-gregmisc/SII" TargetMode="External" /><Relationship Type="http://schemas.openxmlformats.org/officeDocument/2006/relationships/hyperlink" Id="rId9" Target="mailto:mark.shaver@wichit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2026-09-05T16:43:14Z</dcterms:created>
  <dcterms:modified xsi:type="dcterms:W3CDTF">2026-09-05T16:43:14Z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