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 relying exclusively on static monaural loudness assumptions introduces substantial anti-conservative risks for the significant cohort of patients (30–40%) exhibiting excess bilateral summation.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 HASPI (Hearing Aid Speech Perception Index; Kates &amp; Arehart, 2022): Accurately simulates peripheral auditory processing, basilar membrane compression loss, auditory nerve firing rates, and envelope modulation integrity.</w:t>
      </w:r>
      <w:r>
        <w:t xml:space="preserve"> </w:t>
      </w:r>
      <w:r>
        <w:t xml:space="preserve">- HASQI (Hearing Aid Speech Quality Index; Kates &amp; Arehart, 2022):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rPr>
                <w:rStyle w:val="VerbatimChar"/>
              </w:rPr>
              <w:t xml:space="preserve">custom_occluded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open_dome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tulip_dome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double_dome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2026-09-06T21:27:07Z</dcterms:created>
  <dcterms:modified xsi:type="dcterms:W3CDTF">2026-09-06T21:27:07Z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