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w:t>
      </w:r>
      <m:oMath>
        <m:r>
          <m:rPr>
            <m:nor/>
            <m:sty m:val="p"/>
          </m:rPr>
          <m:t>SD</m:t>
        </m:r>
        <m:r>
          <m:rPr>
            <m:sty m:val="p"/>
          </m:rPr>
          <m:t>&lt;</m:t>
        </m:r>
        <m:r>
          <m:t>0.025</m:t>
        </m:r>
      </m:oMath>
      <w:r>
        <w:t xml:space="preserve"> </w:t>
      </w:r>
      <w:r>
        <w:t xml:space="preserve">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 </w:t>
      </w:r>
      <w:r>
        <w:t xml:space="preserve">and</w:t>
      </w:r>
      <w:r>
        <w:t xml:space="preserve"> </w:t>
      </w:r>
      <w:r>
        <w:rPr>
          <w:rStyle w:val="VerbatimChar"/>
        </w:rPr>
        <w:t xml:space="preserve">calculate_loudness()</w:t>
      </w:r>
      <w:r>
        <w:t xml:space="preserve">—were developed by the author as original contributions. In accordance with AIP Publishing guidelines, AI tool usage is explicitly disclosed: Google Gemini (DeepMind, Google LLC) was utilized as an interactive programming and copyediting assistant for refactoring C++ and R algorithms, generating data visualizations, and condensing manuscript prose into JASA standards. The author rigorously reviewed and verified all outputs, taking full responsibility for algorithm design, data integrity, and manuscript content. Specifically, all AI-refactored computational logic was systematically verified by executing exact numerical regression tests against pre-refactor outputs across the seven canonical audiometric profiles, ensuring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w:t>
      </w:r>
      <w:r>
        <w:t xml:space="preserve"> </w:t>
      </w:r>
      <w:r>
        <w:rPr>
          <w:b/>
          <w:bCs/>
        </w:rPr>
        <w:t xml:space="preserve">asymmetry in evidentiary support</w:t>
      </w:r>
      <w:r>
        <w:t xml:space="preserve">.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w:t>
      </w:r>
      <w:r>
        <w:t xml:space="preserve"> </w:t>
      </w:r>
      <w:r>
        <w:rPr>
          <w:b/>
          <w:bCs/>
        </w:rPr>
        <w:t xml:space="preserve">best-supported constant in the framework</w:t>
      </w:r>
      <w:r>
        <w:t xml:space="preserve">.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3"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manuscript_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global convergence stability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stability evaluation for the solver itself. Across 256 independent executions of the multi-start routine,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rigorous, large-sample numerical clustering confirms that the multi-start Nelder-Mead routine reliably converges on the same regional optimum. Consequently, for profiles like A2 where the heuristics</w:t>
      </w:r>
      <w:r>
        <w:t xml:space="preserve"> </w:t>
      </w:r>
      <w:r>
        <w:rPr>
          <w:i/>
          <w:iCs/>
        </w:rPr>
        <w:t xml:space="preserve">did</w:t>
      </w:r>
      <w:r>
        <w:t xml:space="preserve"> </w:t>
      </w:r>
      <w:r>
        <w:t xml:space="preserve">explain the variance, the wide target swings are systematically driven by heuristic rule interactions rather than solver stochasticity.</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opaque empirical corrections.</w:t>
      </w:r>
    </w:p>
    <w:p>
      <w:pPr>
        <w:pStyle w:val="BodyText"/>
      </w:pPr>
      <w:r>
        <w:t xml:space="preserve">The following comparison between Open-NL and NAL-NL2 is therefore not presented as a finding about Open-NL’s amplification superiority, but as a worked demonstration 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1"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w:t>
      </w:r>
      <w:r>
        <w:t xml:space="preserve"> </w:t>
      </w:r>
      <w:r>
        <w:rPr>
          <w:b/>
          <w:bCs/>
        </w:rPr>
        <w:t xml:space="preserve">NAL-NL2 shares the exact same binaural broadband loudness summation vulnerability as Open-NL</w:t>
      </w:r>
      <w:r>
        <w:t xml:space="preserve">.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w:t>
      </w:r>
      <w:r>
        <w:t xml:space="preserve"> </w:t>
      </w:r>
      <w:r>
        <w:rPr>
          <w:b/>
          <w:bCs/>
        </w:rPr>
        <w:t xml:space="preserve">relying exclusively on static monaural loudness assumptions introduces substantial anti-conservative risks for the significant cohort of patients (30–40%) exhibiting excess bilateral summation</w:t>
      </w:r>
      <w:r>
        <w:t xml:space="preserve">.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w:t>
      </w:r>
      <w:r>
        <w:t xml:space="preserve"> </w:t>
      </w:r>
      <w:r>
        <w:rPr>
          <w:b/>
          <w:bCs/>
        </w:rPr>
        <w:t xml:space="preserve">HASPI (Hearing Aid Speech Perception Index; Kates &amp; Arehart, 2022)</w:t>
      </w:r>
      <w:r>
        <w:t xml:space="preserve">: Accurately simulates peripheral auditory processing, basilar membrane compression loss, auditory nerve firing rates, and envelope modulation integrity.</w:t>
      </w:r>
      <w:r>
        <w:t xml:space="preserve"> </w:t>
      </w:r>
      <w:r>
        <w:t xml:space="preserve">-</w:t>
      </w:r>
      <w:r>
        <w:t xml:space="preserve"> </w:t>
      </w:r>
      <w:r>
        <w:rPr>
          <w:b/>
          <w:bCs/>
        </w:rPr>
        <w:t xml:space="preserve">HASQI (Hearing Aid Speech Quality Index; Kates &amp; Arehart, 2022)</w:t>
      </w:r>
      <w:r>
        <w:t xml:space="preserve">: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t xml:space="preserve">To rule out profile-specific overfitting and ensure the C++ translation remains robust across the entire physiological parameter space, a secondary large-scale validation was conducted against 50 randomly generated audiograms (with thresholds uniformly sampled between 0 and 100 dB HL, evaluated at random input levels between 50 and 90 dB SPL). Bland-Altman analysis of this randomized evaluation set yielded a near-zero mean bias (</w:t>
      </w:r>
      <m:oMath>
        <m:r>
          <m:rPr>
            <m:sty m:val="p"/>
          </m:rPr>
          <m:t>&lt;</m:t>
        </m:r>
        <m:r>
          <m:t>0.02</m:t>
        </m:r>
      </m:oMath>
      <w:r>
        <w:t xml:space="preserve"> </w:t>
      </w:r>
      <w:r>
        <w:t xml:space="preserve">sones) and 95% limits of agreement within</w:t>
      </w:r>
      <w:r>
        <w:t xml:space="preserve"> </w:t>
      </w:r>
      <m:oMath>
        <m:r>
          <m:rPr>
            <m:sty m:val="p"/>
          </m:rPr>
          <m:t>±</m:t>
        </m:r>
        <m:r>
          <m:t>0.15</m:t>
        </m:r>
      </m:oMath>
      <w:r>
        <w:t xml:space="preserve"> </w:t>
      </w:r>
      <w:r>
        <w:t xml:space="preserve">sones. This negligible translation error confirms high computational fidelity globally across arbitrary sensorineural profiles, ensuring that the target differences observed in Section III represent genuine algorithmic behavior rather than internal model variance. 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6" name="Picture"/>
            <a:graphic>
              <a:graphicData uri="http://schemas.openxmlformats.org/drawingml/2006/picture">
                <pic:pic>
                  <pic:nvPicPr>
                    <pic:cNvPr descr="manuscript_figures/OpenNL_vs_NALNL2_SII_Grouped.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title="" id="29" name="Picture"/>
            <a:graphic>
              <a:graphicData uri="http://schemas.openxmlformats.org/drawingml/2006/picture">
                <pic:pic>
                  <pic:nvPicPr>
                    <pic:cNvPr descr="manuscript_figures/OpenNL_vs_NALNL2_Gain_Final.png" id="30" name="Picture"/>
                    <pic:cNvPicPr>
                      <a:picLocks noChangeArrowheads="1" noChangeAspect="1"/>
                    </pic:cNvPicPr>
                  </pic:nvPicPr>
                  <pic:blipFill>
                    <a:blip r:embed="rId2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1"/>
    <w:bookmarkStart w:id="32"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2"/>
    <w:bookmarkEnd w:id="33"/>
    <w:bookmarkStart w:id="34"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4"/>
    <w:bookmarkStart w:id="35"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5"/>
    <w:bookmarkStart w:id="38" w:name="author-declarations"/>
    <w:p>
      <w:pPr>
        <w:pStyle w:val="Heading2"/>
      </w:pPr>
      <w:r>
        <w:t xml:space="preserve">AUTHOR DECLARATIONS</w:t>
      </w:r>
    </w:p>
    <w:bookmarkStart w:id="36" w:name="conflict-of-interest"/>
    <w:p>
      <w:pPr>
        <w:pStyle w:val="Heading3"/>
      </w:pPr>
      <w:r>
        <w:t xml:space="preserve">Conflict of Interest</w:t>
      </w:r>
    </w:p>
    <w:p>
      <w:pPr>
        <w:pStyle w:val="FirstParagraph"/>
      </w:pPr>
      <w:r>
        <w:t xml:space="preserve">The author declares no conflicts of interest.</w:t>
      </w:r>
    </w:p>
    <w:bookmarkEnd w:id="36"/>
    <w:bookmarkStart w:id="37"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37"/>
    <w:bookmarkEnd w:id="38"/>
    <w:bookmarkStart w:id="40"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39">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0"/>
    <w:bookmarkStart w:id="41"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1"/>
    <w:bookmarkStart w:id="61"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2"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2"/>
    <w:bookmarkStart w:id="43"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3"/>
    <w:bookmarkStart w:id="44"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4"/>
    <w:bookmarkStart w:id="45"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5"/>
    <w:bookmarkStart w:id="46"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6"/>
    <w:bookmarkStart w:id="48"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47"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47"/>
    <w:bookmarkEnd w:id="48"/>
    <w:bookmarkStart w:id="49"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49"/>
    <w:bookmarkStart w:id="50"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0"/>
    <w:bookmarkStart w:id="51"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1"/>
    <w:bookmarkStart w:id="52"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2"/>
    <w:bookmarkStart w:id="53"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3"/>
    <w:bookmarkStart w:id="54"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rPr>
                <w:rStyle w:val="VerbatimChar"/>
              </w:rPr>
              <w:t xml:space="preserve">custom_occluded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open_dome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tulip_dome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double_dome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4"/>
    <w:bookmarkStart w:id="59"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5"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5"/>
    <w:bookmarkStart w:id="56"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6"/>
    <w:bookmarkStart w:id="57"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rPr>
          <w:i/>
          <w:iCs/>
        </w:rPr>
        <w:t xml:space="preserve">Profile Adjustments:</w:t>
      </w:r>
    </w:p>
    <w:p>
      <w:pPr>
        <w:pStyle w:val="Compact"/>
        <w:numPr>
          <w:ilvl w:val="1"/>
          <w:numId w:val="1018"/>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18"/>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7"/>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7"/>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7"/>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7"/>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7"/>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57"/>
    <w:bookmarkStart w:id="58" w:name="X2b451cd6420aeb3d859351a37ea4a75fdfb106e"/>
    <w:p>
      <w:pPr>
        <w:pStyle w:val="Heading3"/>
      </w:pPr>
      <w:r>
        <w:t xml:space="preserve">Solver Controls and Convergence Tolerances</w:t>
      </w:r>
    </w:p>
    <w:p>
      <w:pPr>
        <w:pStyle w:val="Compact"/>
        <w:numPr>
          <w:ilvl w:val="0"/>
          <w:numId w:val="1019"/>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19"/>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19"/>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19"/>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19"/>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58"/>
    <w:bookmarkEnd w:id="59"/>
    <w:bookmarkStart w:id="60"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9"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2026-09-06T21:19:19Z</dcterms:created>
  <dcterms:modified xsi:type="dcterms:W3CDTF">2026-09-06T21:19:19Z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