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 HASPI (Hearing Aid Speech Perception Index; Kates &amp; Arehart, 2022): Accurately simulates peripheral auditory processing, basilar membrane compression loss, auditory nerve firing rates, and envelope modulation integrity.</w:t>
      </w:r>
      <w:r>
        <w:t xml:space="preserve"> </w:t>
      </w:r>
      <w:r>
        <w:t xml:space="preserve">- HASQI (Hearing Aid Speech Quality Index; Kates &amp; Arehart, 2022):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Severe-loss booster set to Aggressive mode for profiles A4 and A5)."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 (Severe-loss booster set to Aggressive mode for profiles A4 and A5).</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Custom 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Open 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Tulip 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Double 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t xml:space="preserve">where</w:t>
      </w:r>
      <w:r>
        <w:t xml:space="preserve"> </w:t>
      </w:r>
      <m:oMath>
        <m:sSub>
          <m:e>
            <m:r>
              <m:rPr>
                <m:nor/>
                <m:sty m:val="p"/>
              </m:rPr>
              <m:t>PTA</m:t>
            </m:r>
          </m:e>
          <m:sub>
            <m:r>
              <m:t>s</m:t>
            </m:r>
            <m:r>
              <m:t>n</m:t>
            </m:r>
          </m:sub>
        </m:sSub>
      </m:oMath>
      <w:r>
        <w:t xml:space="preserve"> </w:t>
      </w:r>
      <w:r>
        <w:t xml:space="preserve">is defined as the four-frequency pure-tone average of the sensorineural component at 500, 1000, 2000, and 4000 Hz.</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2026-09-06T21:54:06Z</dcterms:created>
  <dcterms:modified xsi:type="dcterms:W3CDTF">2026-09-06T21:54:06Z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