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5.png" ContentType="image/png"/>
  <Override PartName="/word/media/rId3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6"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run-to-run reproducibility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evaluation of solver consistency. Across 256 independent executions of the multi-start routine with fixed inputs,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tight clustering indicates that the procedure converges reproducibly to equivalent objective solutions rather than being highly sensitive to initialization. However, it must be explicitly disclosed that agreement on the final objective does not strictly prove identifiability of the underlying gain parameters. Because physiological optimization constraints (such as loudness ceilings) often create flat topological plateaus near the optimal basin, divergent parameter configurations can theoretically produce functionally equivalent objective scores. Thus, while the multi-start routine effectively neutralizes objective-level stochasticity—confirming that the wide target swings in profile A2 are driven systematically by heuristic rule interactions—future implementations analyzing parameter identifiability should transition to modern global stochastic optimization algorithms:</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4"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drawing>
          <wp:inline>
            <wp:extent cx="5334000" cy="3810000"/>
            <wp:effectExtent b="0" l="0" r="0" t="0"/>
            <wp:docPr descr="Bland-Altman Agreement Analysis" title="" id="26" name="Picture"/>
            <a:graphic>
              <a:graphicData uri="http://schemas.openxmlformats.org/drawingml/2006/picture">
                <pic:pic>
                  <pic:nvPicPr>
                    <pic:cNvPr descr="manuscript_figures/Figure5_BlandAltman.png" id="27" name="Picture"/>
                    <pic:cNvPicPr>
                      <a:picLocks noChangeArrowheads="1" noChangeAspect="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rPr>
          <w:i/>
          <w:iCs/>
        </w:rPr>
        <w:t xml:space="preserve">Figure 5. Bland-Altman plot demonstrating near-exact computational agreement between the native Open-NL C++ engine and the external Auditory Modeling Toolbox (AMT) across 45 canonical evaluation points (Profiles A1–A5).</w:t>
      </w:r>
    </w:p>
    <w:p>
      <w:pPr>
        <w:pStyle w:val="BodyText"/>
      </w:pPr>
      <w:r>
        <w:t xml:space="preserve">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9" name="Picture"/>
            <a:graphic>
              <a:graphicData uri="http://schemas.openxmlformats.org/drawingml/2006/picture">
                <pic:pic>
                  <pic:nvPicPr>
                    <pic:cNvPr descr="manuscript_figures/OpenNL_vs_NALNL2_SII_Grouped.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Severe-loss booster set to Aggressive mode for profiles A4 and A5)." title="" id="32" name="Picture"/>
            <a:graphic>
              <a:graphicData uri="http://schemas.openxmlformats.org/drawingml/2006/picture">
                <pic:pic>
                  <pic:nvPicPr>
                    <pic:cNvPr descr="manuscript_figures/OpenNL_vs_NALNL2_Gain_Final.png" id="33" name="Picture"/>
                    <pic:cNvPicPr>
                      <a:picLocks noChangeArrowheads="1" noChangeAspect="1"/>
                    </pic:cNvPicPr>
                  </pic:nvPicPr>
                  <pic:blipFill>
                    <a:blip r:embed="rId3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 (Severe-loss booster set to Aggressive mode for profiles A4 and A5).</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4"/>
    <w:bookmarkStart w:id="35"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5"/>
    <w:bookmarkEnd w:id="36"/>
    <w:bookmarkStart w:id="37"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7"/>
    <w:bookmarkStart w:id="38"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8"/>
    <w:bookmarkStart w:id="41" w:name="author-declarations"/>
    <w:p>
      <w:pPr>
        <w:pStyle w:val="Heading2"/>
      </w:pPr>
      <w:r>
        <w:t xml:space="preserve">AUTHOR DECLARATIONS</w:t>
      </w:r>
    </w:p>
    <w:bookmarkStart w:id="39" w:name="conflict-of-interest"/>
    <w:p>
      <w:pPr>
        <w:pStyle w:val="Heading3"/>
      </w:pPr>
      <w:r>
        <w:t xml:space="preserve">Conflict of Interest</w:t>
      </w:r>
    </w:p>
    <w:p>
      <w:pPr>
        <w:pStyle w:val="FirstParagraph"/>
      </w:pPr>
      <w:r>
        <w:t xml:space="preserve">The author declares no conflicts of interest.</w:t>
      </w:r>
    </w:p>
    <w:bookmarkEnd w:id="39"/>
    <w:bookmarkStart w:id="40"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40"/>
    <w:bookmarkEnd w:id="41"/>
    <w:bookmarkStart w:id="43"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42">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3"/>
    <w:bookmarkStart w:id="44"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4"/>
    <w:bookmarkStart w:id="64"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5"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5"/>
    <w:bookmarkStart w:id="46"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6"/>
    <w:bookmarkStart w:id="47"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7"/>
    <w:bookmarkStart w:id="48"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8"/>
    <w:bookmarkStart w:id="49"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9"/>
    <w:bookmarkStart w:id="51"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50"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50"/>
    <w:bookmarkEnd w:id="51"/>
    <w:bookmarkStart w:id="52"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52"/>
    <w:bookmarkStart w:id="53"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3"/>
    <w:bookmarkStart w:id="54"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4"/>
    <w:bookmarkStart w:id="55"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5"/>
    <w:bookmarkStart w:id="56"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6"/>
    <w:bookmarkStart w:id="57"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Custom 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Open 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Tulip 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Double 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7"/>
    <w:bookmarkStart w:id="62"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8"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8"/>
    <w:bookmarkStart w:id="59"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9"/>
    <w:bookmarkStart w:id="60"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t xml:space="preserve">where</w:t>
      </w:r>
      <w:r>
        <w:t xml:space="preserve"> </w:t>
      </w:r>
      <m:oMath>
        <m:sSub>
          <m:e>
            <m:r>
              <m:rPr>
                <m:nor/>
                <m:sty m:val="p"/>
              </m:rPr>
              <m:t>PTA</m:t>
            </m:r>
          </m:e>
          <m:sub>
            <m:r>
              <m:t>s</m:t>
            </m:r>
            <m:r>
              <m:t>n</m:t>
            </m:r>
          </m:sub>
        </m:sSub>
      </m:oMath>
      <w:r>
        <w:t xml:space="preserve"> </w:t>
      </w:r>
      <w:r>
        <w:t xml:space="preserve">is defined as the four-frequency pure-tone average of the sensorineural component at 500, 1000, 2000, and 4000 Hz.</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60"/>
    <w:bookmarkStart w:id="61"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61"/>
    <w:bookmarkEnd w:id="62"/>
    <w:bookmarkStart w:id="63"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hyperlink" Id="rId42"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2026-09-06T22:53:01Z</dcterms:created>
  <dcterms:modified xsi:type="dcterms:W3CDTF">2026-09-06T22:53:01Z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