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empirical</w:t>
      </w:r>
      <w:r>
        <w:t xml:space="preserve"> </w:t>
      </w:r>
      <w:r>
        <w:t xml:space="preserve">“fudge factors.”</w:t>
      </w:r>
    </w:p>
    <w:p>
      <w:pPr>
        <w:pStyle w:val="BodyText"/>
      </w:pPr>
      <w:r>
        <w:t xml:space="preserve">The following comparison between Open-NL and NAL-NL2 is therefore not presented as a finding about Open-NL’s amplification superiority, but as a</w:t>
      </w:r>
      <w:r>
        <w:t xml:space="preserve"> </w:t>
      </w:r>
      <w:r>
        <w:rPr>
          <w:b/>
          <w:bCs/>
        </w:rPr>
        <w:t xml:space="preserve">worked demonstration</w:t>
      </w:r>
      <w:r>
        <w:t xml:space="preserve"> </w:t>
      </w:r>
      <w:r>
        <w:t xml:space="preserve">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2026-09-06T18:44:20Z</dcterms:created>
  <dcterms:modified xsi:type="dcterms:W3CDTF">2026-09-06T18:44:20Z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