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3"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global convergence stability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stability evaluation for the solver itself. Across 256 independent executions of the multi-start routine,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rigorous, large-sample numerical clustering confirms that the multi-start Nelder-Mead routine reliably converges on the same regional optimum. Consequently, for profiles like A2 where the heuristics</w:t>
      </w:r>
      <w:r>
        <w:t xml:space="preserve"> </w:t>
      </w:r>
      <w:r>
        <w:rPr>
          <w:i/>
          <w:iCs/>
        </w:rPr>
        <w:t xml:space="preserve">did</w:t>
      </w:r>
      <w:r>
        <w:t xml:space="preserve"> </w:t>
      </w:r>
      <w:r>
        <w:t xml:space="preserve">explain the variance, the wide target swings are systematically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opaque empirical corrections.</w:t>
      </w:r>
    </w:p>
    <w:p>
      <w:pPr>
        <w:pStyle w:val="BodyText"/>
      </w:pPr>
      <w:r>
        <w:t xml:space="preserve">The following comparison between Open-NL and NAL-NL2 is therefore not presented as a finding about Open-NL’s amplification superiority, but as a worked demonstration 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1"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 NAL-NL2 shares the exact same binaural broadband loudness summation vulnerability as Open-NL.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 relying exclusively on static monaural loudness assumptions introduces substantial anti-conservative risks for the significant cohort of patients (30–40%) exhibiting excess bilateral summation.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 HASPI (Hearing Aid Speech Perception Index; Kates &amp; Arehart, 2022): Accurately simulates peripheral auditory processing, basilar membrane compression loss, auditory nerve firing rates, and envelope modulation integrity.</w:t>
      </w:r>
      <w:r>
        <w:t xml:space="preserve"> </w:t>
      </w:r>
      <w:r>
        <w:t xml:space="preserve">- HASQI (Hearing Aid Speech Quality Index; Kates &amp; Arehart, 2022):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t xml:space="preserve">To rule out profile-specific overfitting and ensure the C++ translation remains robust across the entire physiological parameter space, a secondary large-scale validation was conducted against 50 randomly generated audiograms (with thresholds uniformly sampled between 0 and 100 dB HL, evaluated at random input levels between 50 and 90 dB SPL). Bland-Altman analysis of this randomized evaluation set yielded a near-zero mean bias (</w:t>
      </w:r>
      <m:oMath>
        <m:r>
          <m:rPr>
            <m:sty m:val="p"/>
          </m:rPr>
          <m:t>&lt;</m:t>
        </m:r>
        <m:r>
          <m:t>0.02</m:t>
        </m:r>
      </m:oMath>
      <w:r>
        <w:t xml:space="preserve"> </w:t>
      </w:r>
      <w:r>
        <w:t xml:space="preserve">sones) and 95% limits of agreement within</w:t>
      </w:r>
      <w:r>
        <w:t xml:space="preserve"> </w:t>
      </w:r>
      <m:oMath>
        <m:r>
          <m:rPr>
            <m:sty m:val="p"/>
          </m:rPr>
          <m:t>±</m:t>
        </m:r>
        <m:r>
          <m:t>0.15</m:t>
        </m:r>
      </m:oMath>
      <w:r>
        <w:t xml:space="preserve"> </w:t>
      </w:r>
      <w:r>
        <w:t xml:space="preserve">sones. This negligible translation error confirms high computational fidelity globally across arbitrary sensorineural profiles, ensuring that the target differences observed in Section III represent genuine algorithmic behavior rather than internal model variance. 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6" name="Picture"/>
            <a:graphic>
              <a:graphicData uri="http://schemas.openxmlformats.org/drawingml/2006/picture">
                <pic:pic>
                  <pic:nvPicPr>
                    <pic:cNvPr descr="manuscript_figures/OpenNL_vs_NALNL2_SII_Grouped.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Severe-loss booster set to Aggressive mode for profiles A4 and A5)." title="" id="29" name="Picture"/>
            <a:graphic>
              <a:graphicData uri="http://schemas.openxmlformats.org/drawingml/2006/picture">
                <pic:pic>
                  <pic:nvPicPr>
                    <pic:cNvPr descr="manuscript_figures/OpenNL_vs_NALNL2_Gain_Final.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 (Severe-loss booster set to Aggressive mode for profiles A4 and A5).</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1"/>
    <w:bookmarkStart w:id="32"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2"/>
    <w:bookmarkEnd w:id="33"/>
    <w:bookmarkStart w:id="34"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4"/>
    <w:bookmarkStart w:id="35"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5"/>
    <w:bookmarkStart w:id="38" w:name="author-declarations"/>
    <w:p>
      <w:pPr>
        <w:pStyle w:val="Heading2"/>
      </w:pPr>
      <w:r>
        <w:t xml:space="preserve">AUTHOR DECLARATIONS</w:t>
      </w:r>
    </w:p>
    <w:bookmarkStart w:id="36" w:name="conflict-of-interest"/>
    <w:p>
      <w:pPr>
        <w:pStyle w:val="Heading3"/>
      </w:pPr>
      <w:r>
        <w:t xml:space="preserve">Conflict of Interest</w:t>
      </w:r>
    </w:p>
    <w:p>
      <w:pPr>
        <w:pStyle w:val="FirstParagraph"/>
      </w:pPr>
      <w:r>
        <w:t xml:space="preserve">The author declares no conflicts of interest.</w:t>
      </w:r>
    </w:p>
    <w:bookmarkEnd w:id="36"/>
    <w:bookmarkStart w:id="37"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37"/>
    <w:bookmarkEnd w:id="38"/>
    <w:bookmarkStart w:id="40"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39">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0"/>
    <w:bookmarkStart w:id="41"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1"/>
    <w:bookmarkStart w:id="61"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2"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2"/>
    <w:bookmarkStart w:id="43"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3"/>
    <w:bookmarkStart w:id="44"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4"/>
    <w:bookmarkStart w:id="45"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5"/>
    <w:bookmarkStart w:id="46"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6"/>
    <w:bookmarkStart w:id="48"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47"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47"/>
    <w:bookmarkEnd w:id="48"/>
    <w:bookmarkStart w:id="49"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49"/>
    <w:bookmarkStart w:id="50"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0"/>
    <w:bookmarkStart w:id="51"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1"/>
    <w:bookmarkStart w:id="52"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2"/>
    <w:bookmarkStart w:id="53"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3"/>
    <w:bookmarkStart w:id="54"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rPr>
                <w:rStyle w:val="VerbatimChar"/>
              </w:rPr>
              <w:t xml:space="preserve">custom_occluded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open_dome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tulip_dome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double_dome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4"/>
    <w:bookmarkStart w:id="59"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5"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5"/>
    <w:bookmarkStart w:id="56"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6"/>
    <w:bookmarkStart w:id="57"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57"/>
    <w:bookmarkStart w:id="58"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58"/>
    <w:bookmarkEnd w:id="59"/>
    <w:bookmarkStart w:id="60"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9"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2026-09-06T21:37:17Z</dcterms:created>
  <dcterms:modified xsi:type="dcterms:W3CDTF">2026-09-06T21:37:17Z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