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w:t>
      </w:r>
    </w:p>
    <w:p>
      <w:pPr>
        <w:pStyle w:val="BodyText"/>
      </w:pPr>
      <w:r>
        <w:rPr>
          <w:i/>
          <w:iCs/>
        </w:rPr>
        <w:t xml:space="preserve">Declaration of Generative AI and AI-assisted technologies in the research process:</w:t>
      </w:r>
      <w:r>
        <w:t xml:space="preserve"> </w:t>
      </w:r>
      <w:r>
        <w:t xml:space="preserve">In accordance with AIP Publishing guidelines, the author explicitly discloses the use of Gemini 3.1 Pro (DeepMind, Google LLC) during the preparation of this work as an interactive programming and copyediting assistant. The AI was utilized strictly to refactor C++ and R algorithms, generate data visualizations, and condense manuscript prose to adhere to JASA formatting standards. After using this tool, the author rigorously reviewed and edited all outputs, taking full accountability for the underlying algorithm design, theoretical hypotheses, and final manuscript content. Specifically, to guarantee computational integrity, all AI-assisted algorithmic refactoring was systematically verified by the author via exact numerical regression testing against pre-refactor outputs across the seven canonical audiometric profiles, confirming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 asymmetry in evidentiary support.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 best-supported constant in the framework.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6"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run-to-run reproducibility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evaluation of solver consistency. Across 256 independent executions of the multi-start routine with fixed inputs,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tight clustering indicates that the procedure converges reproducibly to equivalent objective solutions rather than being highly sensitive to initialization. However, it must be explicitly disclosed that agreement on the final objective does not strictly prove identifiability of the underlying gain parameters. Because physiological optimization constraints (such as loudness ceilings) often create flat topological plateaus near the optimal basin, divergent parameter configurations can theoretically produce functionally equivalent objective scores. Thus, while the multi-start routine effectively neutralizes objective-level stochasticity—confirming that the wide target swings in profile A2 are driven systematically by heuristic rule interactions—future implementations analyzing parameter identifiability should transition to modern global stochastic optimization algorithms:</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4"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drawing>
          <wp:inline>
            <wp:extent cx="5334000" cy="3810000"/>
            <wp:effectExtent b="0" l="0" r="0" t="0"/>
            <wp:docPr descr="Bland-Altman Agreement Analysis" title="" id="26" name="Picture"/>
            <a:graphic>
              <a:graphicData uri="http://schemas.openxmlformats.org/drawingml/2006/picture">
                <pic:pic>
                  <pic:nvPicPr>
                    <pic:cNvPr descr="figures/Figure5_BlandAltman.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rPr>
          <w:i/>
          <w:iCs/>
        </w:rPr>
        <w:t xml:space="preserve">Figure 5. Bland-Altman plot demonstrating near-exact computational agreement between the native Open-NL C++ engine and the external Auditory Modeling Toolbox (AMT) across 45 canonical evaluation points (Profiles A1–A5).</w:t>
      </w:r>
    </w:p>
    <w:p>
      <w:pPr>
        <w:pStyle w:val="BodyText"/>
      </w:pPr>
      <w:r>
        <w:t xml:space="preserve">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9" name="Picture"/>
            <a:graphic>
              <a:graphicData uri="http://schemas.openxmlformats.org/drawingml/2006/picture">
                <pic:pic>
                  <pic:nvPicPr>
                    <pic:cNvPr descr="figures/OpenNL_vs_NALNL2_SII_Grouped.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32" name="Picture"/>
            <a:graphic>
              <a:graphicData uri="http://schemas.openxmlformats.org/drawingml/2006/picture">
                <pic:pic>
                  <pic:nvPicPr>
                    <pic:cNvPr descr="figures/OpenNL_vs_NALNL2_Gain_Final.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4"/>
    <w:bookmarkStart w:id="35"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5"/>
    <w:bookmarkEnd w:id="36"/>
    <w:bookmarkStart w:id="37"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7"/>
    <w:bookmarkStart w:id="38"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8"/>
    <w:bookmarkStart w:id="41" w:name="author-declarations"/>
    <w:p>
      <w:pPr>
        <w:pStyle w:val="Heading2"/>
      </w:pPr>
      <w:r>
        <w:t xml:space="preserve">AUTHOR DECLARATIONS</w:t>
      </w:r>
    </w:p>
    <w:bookmarkStart w:id="39" w:name="conflict-of-interest"/>
    <w:p>
      <w:pPr>
        <w:pStyle w:val="Heading3"/>
      </w:pPr>
      <w:r>
        <w:t xml:space="preserve">Conflict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40"/>
    <w:bookmarkEnd w:id="41"/>
    <w:bookmarkStart w:id="43"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42">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3"/>
    <w:bookmarkStart w:id="44"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4"/>
    <w:bookmarkStart w:id="64"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5"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5"/>
    <w:bookmarkStart w:id="46"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6"/>
    <w:bookmarkStart w:id="47"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7"/>
    <w:bookmarkStart w:id="48"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8"/>
    <w:bookmarkStart w:id="49"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9"/>
    <w:bookmarkStart w:id="51"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50"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50"/>
    <w:bookmarkEnd w:id="51"/>
    <w:bookmarkStart w:id="52"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52"/>
    <w:bookmarkStart w:id="53"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3"/>
    <w:bookmarkStart w:id="54"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4"/>
    <w:bookmarkStart w:id="55"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5"/>
    <w:bookmarkStart w:id="56"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6"/>
    <w:bookmarkStart w:id="57"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7"/>
    <w:bookmarkStart w:id="62"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8"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8"/>
    <w:bookmarkStart w:id="59"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9"/>
    <w:bookmarkStart w:id="60"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60"/>
    <w:bookmarkStart w:id="61"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61"/>
    <w:bookmarkEnd w:id="62"/>
    <w:bookmarkStart w:id="63"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42"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2026-09-07T18:57:13Z</dcterms:created>
  <dcterms:modified xsi:type="dcterms:W3CDTF">2026-09-07T18:57:13Z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