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w:t>
      </w:r>
      <w:r>
        <w:t xml:space="preserve"> </w:t>
      </w:r>
      <w:r>
        <w:rPr>
          <w:rStyle w:val="VerbatimChar"/>
        </w:rPr>
        <w:t xml:space="preserve">calculate_loudness()</w:t>
      </w:r>
      <w:r>
        <w:t xml:space="preserve">, and</w:t>
      </w:r>
      <w:r>
        <w:t xml:space="preserve"> </w:t>
      </w:r>
      <w:r>
        <w:rPr>
          <w:rStyle w:val="VerbatimChar"/>
        </w:rPr>
        <w:t xml:space="preserve">launch_app()</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empirical</w:t>
      </w:r>
      <w:r>
        <w:t xml:space="preserve"> </w:t>
      </w:r>
      <w:r>
        <w:t xml:space="preserve">“fudge factors.”</w:t>
      </w:r>
    </w:p>
    <w:p>
      <w:pPr>
        <w:pStyle w:val="BodyText"/>
      </w:pPr>
      <w:r>
        <w:t xml:space="preserve">The following comparison between Open-NL and NAL-NL2 is therefore not presented as a finding about Open-NL’s amplification superiority, but as a</w:t>
      </w:r>
      <w:r>
        <w:t xml:space="preserve"> </w:t>
      </w:r>
      <w:r>
        <w:rPr>
          <w:b/>
          <w:bCs/>
        </w:rPr>
        <w:t xml:space="preserve">worked demonstration</w:t>
      </w:r>
      <w:r>
        <w:t xml:space="preserve"> </w:t>
      </w:r>
      <w:r>
        <w:t xml:space="preserve">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w:t>
      </w:r>
      <w:r>
        <w:t xml:space="preserve"> </w:t>
      </w:r>
      <w:r>
        <w:rPr>
          <w:b/>
          <w:bCs/>
        </w:rPr>
        <w:t xml:space="preserve">NAL-NL2 shares the exact same binaural broadband loudness summation vulnerability as Open-NL</w:t>
      </w:r>
      <w:r>
        <w:t xml:space="preserve">.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w:t>
      </w:r>
      <w:r>
        <w:t xml:space="preserve"> </w:t>
      </w:r>
      <w:r>
        <w:rPr>
          <w:b/>
          <w:bCs/>
        </w:rPr>
        <w:t xml:space="preserve">relying exclusively on static monaural loudness assumptions introduces substantial anti-conservative risks for the significant cohort of patients (30–40%) exhibiting excess bilateral summation</w:t>
      </w:r>
      <w:r>
        <w:t xml:space="preserve">.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w:t>
      </w:r>
      <w:r>
        <w:t xml:space="preserve"> </w:t>
      </w:r>
      <w:r>
        <w:rPr>
          <w:b/>
          <w:bCs/>
        </w:rPr>
        <w:t xml:space="preserve">HASPI (Hearing Aid Speech Perception Index; Kates &amp; Arehart, 2022)</w:t>
      </w:r>
      <w:r>
        <w:t xml:space="preserve">: Accurately simulates peripheral auditory processing, basilar membrane compression loss, auditory nerve firing rates, and envelope modulation integrity.</w:t>
      </w:r>
      <w:r>
        <w:t xml:space="preserve"> </w:t>
      </w:r>
      <w:r>
        <w:t xml:space="preserve">-</w:t>
      </w:r>
      <w:r>
        <w:t xml:space="preserve"> </w:t>
      </w:r>
      <w:r>
        <w:rPr>
          <w:b/>
          <w:bCs/>
        </w:rPr>
        <w:t xml:space="preserve">HASQI (Hearing Aid Speech Quality Index; Kates &amp; Arehart, 2022)</w:t>
      </w:r>
      <w:r>
        <w:t xml:space="preserve">: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2026-09-06T18:42:37Z</dcterms:created>
  <dcterms:modified xsi:type="dcterms:W3CDTF">2026-09-06T18:42:37Z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