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  <w:widowControl/>
        <w:spacing w:before="2300"/>
        <w:jc w:val="center"/>
      </w:pPr>
      <w:r>
        <w:t>AI ENGINEERING LEARNING PROJECT</w:t>
      </w:r>
    </w:p>
    <w:p>
      <w:pPr>
        <w:pStyle w:val="Title"/>
        <w:widowControl/>
        <w:jc w:val="center"/>
      </w:pPr>
      <w:r>
        <w:t>API CONTRACT</w:t>
        <w:br/>
        <w:t>COPILOT</w:t>
      </w:r>
    </w:p>
    <w:p>
      <w:pPr>
        <w:pStyle w:val="Subtitle"/>
        <w:widowControl/>
        <w:jc w:val="center"/>
      </w:pPr>
      <w:r>
        <w:t>Product Requirements Document — MVP</w:t>
      </w:r>
    </w:p>
    <w:p>
      <w:pPr>
        <w:widowControl/>
        <w:jc w:val="center"/>
      </w:pPr>
      <w:r>
        <w:rPr>
          <w:color w:val="2F75B5"/>
          <w:sz w:val="26"/>
        </w:rPr>
        <w:t>━━━━━━━━━━━━━━━━━━━━━━━━━━━━━━━━━━</w:t>
      </w:r>
    </w:p>
    <w:p>
      <w:pPr>
        <w:widowControl/>
        <w:spacing w:before="240"/>
        <w:jc w:val="center"/>
      </w:pPr>
      <w:r>
        <w:rPr>
          <w:b/>
          <w:color w:val="1F2937"/>
          <w:sz w:val="26"/>
        </w:rPr>
        <w:t>AI-powered API change impact analysis and migration planning</w:t>
      </w:r>
    </w:p>
    <w:p>
      <w:pPr>
        <w:widowControl/>
        <w:spacing w:before="560"/>
        <w:jc w:val="center"/>
      </w:pPr>
      <w:r>
        <w:rPr>
          <w:color w:val="6B7280"/>
          <w:sz w:val="20"/>
        </w:rPr>
        <w:t>Version 1.0  •  September 2026</w:t>
      </w:r>
    </w:p>
    <w:p>
      <w:pPr>
        <w:widowControl/>
        <w:spacing w:before="9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9C7D8"/>
          <w:left w:val="single" w:sz="5" w:color="B9C7D8"/>
          <w:bottom w:val="single" w:sz="5" w:color="B9C7D8"/>
          <w:right w:val="single" w:sz="5" w:color="B9C7D8"/>
          <w:insideH w:val="single" w:sz="5" w:color="B9C7D8"/>
          <w:insideV w:val="single" w:sz="5" w:color="B9C7D8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130" w:type="dxa"/>
              <w:start w:w="150" w:type="dxa"/>
              <w:bottom w:w="130" w:type="dxa"/>
              <w:end w:w="150" w:type="dxa"/>
            </w:tcMar>
            <w:shd w:fill="EAF2F8"/>
          </w:tcPr>
          <w:p>
            <w:r>
              <w:rPr>
                <w:b/>
                <w:color w:val="17365D"/>
                <w:sz w:val="20"/>
              </w:rPr>
              <w:t>Primary user</w:t>
            </w:r>
          </w:p>
        </w:tc>
        <w:tc>
          <w:tcPr>
            <w:tcW w:type="dxa" w:w="4997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r>
              <w:rPr>
                <w:b w:val="0"/>
                <w:color w:val="1F2937"/>
                <w:sz w:val="20"/>
              </w:rPr>
              <w:t>Backend and integration engineers</w:t>
            </w:r>
          </w:p>
        </w:tc>
      </w:tr>
      <w:tr>
        <w:tc>
          <w:tcPr>
            <w:tcW w:type="dxa" w:w="4997"/>
            <w:tcMar>
              <w:top w:w="130" w:type="dxa"/>
              <w:start w:w="150" w:type="dxa"/>
              <w:bottom w:w="130" w:type="dxa"/>
              <w:end w:w="150" w:type="dxa"/>
            </w:tcMar>
            <w:shd w:fill="EAF2F8"/>
          </w:tcPr>
          <w:p>
            <w:r>
              <w:rPr>
                <w:b/>
                <w:color w:val="17365D"/>
                <w:sz w:val="20"/>
              </w:rPr>
              <w:t>Core value</w:t>
            </w:r>
          </w:p>
        </w:tc>
        <w:tc>
          <w:tcPr>
            <w:tcW w:type="dxa" w:w="4997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r>
              <w:rPr>
                <w:b w:val="0"/>
                <w:color w:val="1F2937"/>
                <w:sz w:val="20"/>
              </w:rPr>
              <w:t>Understand what an API change breaks, where, and how to migrate</w:t>
            </w:r>
          </w:p>
        </w:tc>
      </w:tr>
      <w:tr>
        <w:tc>
          <w:tcPr>
            <w:tcW w:type="dxa" w:w="4997"/>
            <w:tcMar>
              <w:top w:w="130" w:type="dxa"/>
              <w:start w:w="150" w:type="dxa"/>
              <w:bottom w:w="130" w:type="dxa"/>
              <w:end w:w="150" w:type="dxa"/>
            </w:tcMar>
            <w:shd w:fill="EAF2F8"/>
          </w:tcPr>
          <w:p>
            <w:r>
              <w:rPr>
                <w:b/>
                <w:color w:val="17365D"/>
                <w:sz w:val="20"/>
              </w:rPr>
              <w:t>MVP focus</w:t>
            </w:r>
          </w:p>
        </w:tc>
        <w:tc>
          <w:tcPr>
            <w:tcW w:type="dxa" w:w="4997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r>
              <w:rPr>
                <w:b w:val="0"/>
                <w:color w:val="1F2937"/>
                <w:sz w:val="20"/>
              </w:rPr>
              <w:t>One complete learning workflow, not an enterprise API-management platform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widowControl/>
      </w:pPr>
      <w:r>
        <w:t>1. Product Overview</w:t>
      </w:r>
    </w:p>
    <w:p>
      <w:pPr>
        <w:widowControl/>
      </w:pPr>
      <w:r>
        <w:t>API Contract Copilot helps engineering teams understand how changes in an API contract affect an existing integration. It combines deterministic contract comparison, code search, retrieval-augmented generation (RAG), and LLM reasoning into one guided workflow.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CD2E8"/>
          <w:left w:val="single" w:sz="4" w:color="BCD2E8"/>
          <w:bottom w:val="single" w:sz="4" w:color="BCD2E8"/>
          <w:right w:val="single" w:sz="4" w:color="BCD2E8"/>
          <w:insideH w:val="single" w:sz="4" w:color="BCD2E8"/>
          <w:insideV w:val="single" w:sz="4" w:color="BCD2E8"/>
        </w:tblBorders>
      </w:tblPr>
      <w:tblGrid>
        <w:gridCol w:w="9994"/>
      </w:tblGrid>
      <w:tr>
        <w:tc>
          <w:tcPr>
            <w:tcW w:type="dxa" w:w="9994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17365D"/>
              </w:rPr>
              <w:t>Product principle</w:t>
            </w:r>
          </w:p>
          <w:p>
            <w:pPr>
              <w:pStyle w:val="Callout"/>
              <w:spacing w:after="0"/>
            </w:pPr>
            <w:r>
              <w:t>Use deterministic tools for facts that can be computed reliably. Use RAG for contextual knowledge. Use the LLM for interpretation, explanation, and planning.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2. Problem Statement</w:t>
      </w:r>
    </w:p>
    <w:p>
      <w:pPr>
        <w:widowControl/>
      </w:pPr>
      <w:r>
        <w:t>When an external or internal API changes, engineers typically move between specifications, changelogs, migration guides, code search, and issue tracking. The hard part is not only detecting that a contract changed, but understanding which parts of the application may be affected and what work is required to migrate safely.</w:t>
      </w:r>
    </w:p>
    <w:p>
      <w:pPr>
        <w:pStyle w:val="ListBullet"/>
        <w:widowControl/>
        <w:spacing w:after="60"/>
      </w:pPr>
      <w:r>
        <w:t>Contract diffs identify technical changes but usually do not explain application-specific impact.</w:t>
      </w:r>
    </w:p>
    <w:p>
      <w:pPr>
        <w:pStyle w:val="ListBullet"/>
        <w:widowControl/>
        <w:spacing w:after="60"/>
      </w:pPr>
      <w:r>
        <w:t>API documentation and migration notes are often separate from the code that consumes the API.</w:t>
      </w:r>
    </w:p>
    <w:p>
      <w:pPr>
        <w:pStyle w:val="ListBullet"/>
        <w:widowControl/>
        <w:spacing w:after="60"/>
      </w:pPr>
      <w:r>
        <w:t>Engineers repeat the same context gathering each time an API version changes.</w:t>
      </w:r>
    </w:p>
    <w:p>
      <w:pPr>
        <w:pStyle w:val="ListBullet"/>
        <w:widowControl/>
        <w:spacing w:after="60"/>
      </w:pPr>
      <w:r>
        <w:t>Follow-up work is manually converted into migration steps and tasks.</w:t>
      </w:r>
    </w:p>
    <w:p>
      <w:pPr>
        <w:pStyle w:val="Heading1"/>
        <w:widowControl/>
      </w:pPr>
      <w:r>
        <w:t>3. Goals &amp; Non-Goals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1D5DB"/>
          <w:left w:val="single" w:sz="6" w:color="D1D5DB"/>
          <w:bottom w:val="single" w:sz="6" w:color="D1D5DB"/>
          <w:right w:val="single" w:sz="6" w:color="D1D5DB"/>
          <w:insideH w:val="single" w:sz="6" w:color="D1D5DB"/>
          <w:insideV w:val="single" w:sz="6" w:color="D1D5DB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676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Definition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4F7FA"/>
          </w:tcPr>
          <w:p>
            <w:pPr>
              <w:spacing w:after="0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9"/>
              </w:rPr>
              <w:t>Detect breaking OpenAPI changes and present them as structured facts.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4F7FA"/>
          </w:tcPr>
          <w:p>
            <w:pPr>
              <w:spacing w:after="0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9"/>
              </w:rPr>
              <w:t>Find potentially affected code and retrieve relevant migration knowledge.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4F7FA"/>
          </w:tcPr>
          <w:p>
            <w:pPr>
              <w:spacing w:after="0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9"/>
              </w:rPr>
              <w:t>Generate a source-backed impact report and practical migration plan.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4F7FA"/>
          </w:tcPr>
          <w:p>
            <w:pPr>
              <w:spacing w:after="0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9"/>
              </w:rPr>
              <w:t>Demonstrate RAG, agents, tools, MCP, planning, approval, tracing, and dynamic UI in one coherent workflow.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4F7FA"/>
          </w:tcPr>
          <w:p>
            <w:pPr>
              <w:spacing w:after="0"/>
            </w:pPr>
            <w:r>
              <w:rPr>
                <w:b/>
                <w:sz w:val="19"/>
              </w:rPr>
              <w:t>Non-goal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9"/>
              </w:rPr>
              <w:t>Replace a full API management, observability, or CI/CD platform.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4F7FA"/>
          </w:tcPr>
          <w:p>
            <w:pPr>
              <w:spacing w:after="0"/>
            </w:pPr>
            <w:r>
              <w:rPr>
                <w:b/>
                <w:sz w:val="19"/>
              </w:rPr>
              <w:t>Non-goal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9"/>
              </w:rPr>
              <w:t>Automatically modify or deploy production code in the MVP.</w:t>
            </w:r>
          </w:p>
        </w:tc>
      </w:tr>
    </w:tbl>
    <w:p>
      <w:pPr>
        <w:pStyle w:val="Heading1"/>
        <w:widowControl/>
      </w:pPr>
      <w:r>
        <w:t>4. Target Users &amp; User Stories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1D5DB"/>
          <w:left w:val="single" w:sz="6" w:color="D1D5DB"/>
          <w:bottom w:val="single" w:sz="6" w:color="D1D5DB"/>
          <w:right w:val="single" w:sz="6" w:color="D1D5DB"/>
          <w:insideH w:val="single" w:sz="6" w:color="D1D5DB"/>
          <w:insideV w:val="single" w:sz="6" w:color="D1D5DB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User</w:t>
            </w:r>
          </w:p>
        </w:tc>
        <w:tc>
          <w:tcPr>
            <w:tcW w:type="dxa" w:w="676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Need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4F7FA"/>
          </w:tcPr>
          <w:p>
            <w:pPr>
              <w:spacing w:after="0"/>
            </w:pPr>
            <w:r>
              <w:rPr>
                <w:b/>
                <w:sz w:val="19"/>
              </w:rPr>
              <w:t>Backend / integration engineer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9"/>
              </w:rPr>
              <w:t>Compare API versions and quickly see breaking changes.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4F7FA"/>
          </w:tcPr>
          <w:p>
            <w:pPr>
              <w:spacing w:after="0"/>
            </w:pPr>
            <w:r>
              <w:rPr>
                <w:b/>
                <w:sz w:val="19"/>
              </w:rPr>
              <w:t>Backend / integration engineer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9"/>
              </w:rPr>
              <w:t>See where a changed endpoint, field, or schema is used and what may be affected.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4F7FA"/>
          </w:tcPr>
          <w:p>
            <w:pPr>
              <w:spacing w:after="0"/>
            </w:pPr>
            <w:r>
              <w:rPr>
                <w:b/>
                <w:sz w:val="19"/>
              </w:rPr>
              <w:t>Backend / integration engineer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9"/>
              </w:rPr>
              <w:t>Get relevant migration knowledge with sources and a practical migration plan.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4F7FA"/>
          </w:tcPr>
          <w:p>
            <w:pPr>
              <w:spacing w:after="0"/>
            </w:pPr>
            <w:r>
              <w:rPr>
                <w:b/>
                <w:sz w:val="19"/>
              </w:rPr>
              <w:t>Technical lead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9"/>
              </w:rPr>
              <w:t>Review impact and keep control of follow-up actions through approval.</w:t>
            </w:r>
          </w:p>
        </w:tc>
      </w:tr>
    </w:tbl>
    <w:p>
      <w:pPr>
        <w:pStyle w:val="Heading1"/>
        <w:widowControl/>
      </w:pPr>
      <w:r>
        <w:t>5. Core User Flow</w:t>
      </w:r>
    </w:p>
    <w:p>
      <w:pPr>
        <w:pStyle w:val="ListNumber"/>
        <w:widowControl/>
        <w:spacing w:after="60"/>
      </w:pPr>
      <w:r>
        <w:t>Create a project and add two OpenAPI contract versions.</w:t>
      </w:r>
    </w:p>
    <w:p>
      <w:pPr>
        <w:pStyle w:val="ListNumber"/>
        <w:widowControl/>
        <w:spacing w:after="60"/>
      </w:pPr>
      <w:r>
        <w:t>Compare versions and show breaking and non-breaking changes.</w:t>
      </w:r>
    </w:p>
    <w:p>
      <w:pPr>
        <w:pStyle w:val="ListNumber"/>
        <w:widowControl/>
        <w:spacing w:after="60"/>
      </w:pPr>
      <w:r>
        <w:t>Select a change or ask the assistant to analyze relevant changes.</w:t>
      </w:r>
    </w:p>
    <w:p>
      <w:pPr>
        <w:pStyle w:val="ListNumber"/>
        <w:widowControl/>
        <w:spacing w:after="60"/>
      </w:pPr>
      <w:r>
        <w:t>Search connected code and retrieve relevant API or migration knowledge.</w:t>
      </w:r>
    </w:p>
    <w:p>
      <w:pPr>
        <w:pStyle w:val="ListNumber"/>
        <w:widowControl/>
        <w:spacing w:after="60"/>
      </w:pPr>
      <w:r>
        <w:t>Generate an impact report, migration plan, and test checklist.</w:t>
      </w:r>
    </w:p>
    <w:p>
      <w:pPr>
        <w:pStyle w:val="ListNumber"/>
        <w:widowControl/>
        <w:spacing w:after="60"/>
      </w:pPr>
      <w:r>
        <w:t>Require approval before creating a follow-up migration task.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CD2E8"/>
          <w:left w:val="single" w:sz="4" w:color="BCD2E8"/>
          <w:bottom w:val="single" w:sz="4" w:color="BCD2E8"/>
          <w:right w:val="single" w:sz="4" w:color="BCD2E8"/>
          <w:insideH w:val="single" w:sz="4" w:color="BCD2E8"/>
          <w:insideV w:val="single" w:sz="4" w:color="BCD2E8"/>
        </w:tblBorders>
      </w:tblPr>
      <w:tblGrid>
        <w:gridCol w:w="9994"/>
      </w:tblGrid>
      <w:tr>
        <w:tc>
          <w:tcPr>
            <w:tcW w:type="dxa" w:w="9994"/>
            <w:shd w:fill="EEF6EE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17365D"/>
              </w:rPr>
              <w:t>First vertical slice</w:t>
            </w:r>
          </w:p>
          <w:p>
            <w:pPr>
              <w:pStyle w:val="Callout"/>
              <w:spacing w:after="0"/>
            </w:pPr>
            <w:r>
              <w:t>Upload OpenAPI v1/v2 → Compare contracts → Select breaking change → Retrieve knowledge → Search affected code → Generate impact report.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6. MVP Functional Scope</w:t>
      </w:r>
    </w:p>
    <w:p>
      <w:pPr>
        <w:pStyle w:val="Heading2"/>
        <w:widowControl/>
      </w:pPr>
      <w:r>
        <w:t>Project management</w:t>
      </w:r>
    </w:p>
    <w:p>
      <w:pPr>
        <w:widowControl/>
      </w:pPr>
      <w:r>
        <w:t>Create a project, associate contracts, documentation, and a demo codebase, and view previous analysis sessions.</w:t>
      </w:r>
    </w:p>
    <w:p>
      <w:pPr>
        <w:pStyle w:val="Heading2"/>
        <w:widowControl/>
      </w:pPr>
      <w:r>
        <w:t>Contract comparison</w:t>
      </w:r>
    </w:p>
    <w:p>
      <w:pPr>
        <w:widowControl/>
      </w:pPr>
      <w:r>
        <w:t>Upload or select two OpenAPI 3.x contracts; detect and display structured breaking and non-breaking changes using deterministic comparison.</w:t>
      </w:r>
    </w:p>
    <w:p>
      <w:pPr>
        <w:pStyle w:val="Heading2"/>
        <w:widowControl/>
      </w:pPr>
      <w:r>
        <w:t>Impact analysis</w:t>
      </w:r>
    </w:p>
    <w:p>
      <w:pPr>
        <w:widowControl/>
      </w:pPr>
      <w:r>
        <w:t>Search the connected codebase, retrieve relevant documentation and migration context, produce an impact summary, and list potentially affected files.</w:t>
      </w:r>
    </w:p>
    <w:p>
      <w:pPr>
        <w:pStyle w:val="Heading2"/>
        <w:widowControl/>
      </w:pPr>
      <w:r>
        <w:t>RAG knowledge</w:t>
      </w:r>
    </w:p>
    <w:p>
      <w:pPr>
        <w:widowControl/>
      </w:pPr>
      <w:r>
        <w:t>Ingest API documentation, changelogs, migration guides, internal integration notes, and architecture notes. Retrieve context with metadata and provide source references.</w:t>
      </w:r>
    </w:p>
    <w:p>
      <w:pPr>
        <w:pStyle w:val="Heading2"/>
        <w:widowControl/>
      </w:pPr>
      <w:r>
        <w:t>Migration planning</w:t>
      </w:r>
    </w:p>
    <w:p>
      <w:pPr>
        <w:widowControl/>
      </w:pPr>
      <w:r>
        <w:t>Generate migration steps and a test checklist. Ask clarification questions when important context is missing.</w:t>
      </w:r>
    </w:p>
    <w:p>
      <w:pPr>
        <w:pStyle w:val="Heading2"/>
        <w:widowControl/>
      </w:pPr>
      <w:r>
        <w:t>Sessions &amp; history</w:t>
      </w:r>
    </w:p>
    <w:p>
      <w:pPr>
        <w:widowControl/>
      </w:pPr>
      <w:r>
        <w:t>Store conversations, prior analyses, and workflow state so an analysis can be resumed later.</w:t>
      </w:r>
    </w:p>
    <w:p>
      <w:pPr>
        <w:pStyle w:val="Heading2"/>
        <w:widowControl/>
      </w:pPr>
      <w:r>
        <w:t>Human approval</w:t>
      </w:r>
    </w:p>
    <w:p>
      <w:pPr>
        <w:widowControl/>
      </w:pPr>
      <w:r>
        <w:t>Require explicit approval before creating a migration task or any other write action.</w:t>
      </w:r>
    </w:p>
    <w:p>
      <w:pPr>
        <w:pStyle w:val="Heading2"/>
        <w:widowControl/>
      </w:pPr>
      <w:r>
        <w:t>Dynamic UI</w:t>
      </w:r>
    </w:p>
    <w:p>
      <w:pPr>
        <w:widowControl/>
      </w:pPr>
      <w:r>
        <w:t>Return typed UI events for changes, affected files, sources, plans, tool activity, and approvals rather than only plain chat text.</w:t>
      </w:r>
    </w:p>
    <w:p>
      <w:pPr>
        <w:pStyle w:val="Heading1"/>
        <w:widowControl/>
      </w:pPr>
      <w:r>
        <w:t>7. AI &amp; Agent Requirements</w:t>
      </w:r>
    </w:p>
    <w:p>
      <w:pPr>
        <w:pStyle w:val="Heading2"/>
        <w:widowControl/>
      </w:pPr>
      <w:r>
        <w:t>Central Orchestrator</w:t>
      </w:r>
    </w:p>
    <w:p>
      <w:pPr>
        <w:widowControl/>
      </w:pPr>
      <w:r>
        <w:t>A single orchestrator owns workflow state and controls intent detection, planning, agent selection, tool execution, clarification, and approval. Agents do not call each other directly.</w:t>
      </w:r>
    </w:p>
    <w:p>
      <w:pPr>
        <w:pStyle w:val="Heading2"/>
        <w:widowControl/>
      </w:pPr>
      <w:r>
        <w:t>Specialist Agents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1D5DB"/>
          <w:left w:val="single" w:sz="6" w:color="D1D5DB"/>
          <w:bottom w:val="single" w:sz="6" w:color="D1D5DB"/>
          <w:right w:val="single" w:sz="6" w:color="D1D5DB"/>
          <w:insideH w:val="single" w:sz="6" w:color="D1D5DB"/>
          <w:insideV w:val="single" w:sz="6" w:color="D1D5DB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676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4F7FA"/>
          </w:tcPr>
          <w:p>
            <w:pPr>
              <w:spacing w:after="0"/>
            </w:pPr>
            <w:r>
              <w:rPr>
                <w:b/>
                <w:sz w:val="19"/>
              </w:rPr>
              <w:t>Contract Analysis Agent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9"/>
              </w:rPr>
              <w:t>Combines structured contract changes, code-search results, and retrieved knowledge into an impact report with affected files and source-backed recommendations.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4F7FA"/>
          </w:tcPr>
          <w:p>
            <w:pPr>
              <w:spacing w:after="0"/>
            </w:pPr>
            <w:r>
              <w:rPr>
                <w:b/>
                <w:sz w:val="19"/>
              </w:rPr>
              <w:t>Migration Agent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9"/>
              </w:rPr>
              <w:t>Creates migration steps, a test checklist, identifies missing information, and proposes follow-up work.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4F7FA"/>
          </w:tcPr>
          <w:p>
            <w:pPr>
              <w:spacing w:after="0"/>
            </w:pPr>
            <w:r>
              <w:rPr>
                <w:b/>
                <w:sz w:val="19"/>
              </w:rPr>
              <w:t>Planner (lightweight)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9"/>
              </w:rPr>
              <w:t>Creates a short plan for broad requests and asks clarification questions only when information required to continue is missing.</w:t>
            </w:r>
          </w:p>
        </w:tc>
      </w:tr>
    </w:tbl>
    <w:p>
      <w:pPr>
        <w:pStyle w:val="Heading2"/>
        <w:widowControl/>
      </w:pPr>
      <w:r>
        <w:t>Custom Tools</w:t>
      </w:r>
    </w:p>
    <w:p>
      <w:pPr>
        <w:pStyle w:val="ListBullet"/>
        <w:widowControl/>
        <w:spacing w:after="60"/>
      </w:pPr>
      <w:r>
        <w:t>compare_contracts — deterministic comparison of two OpenAPI contracts.</w:t>
      </w:r>
    </w:p>
    <w:p>
      <w:pPr>
        <w:pStyle w:val="ListBullet"/>
        <w:widowControl/>
        <w:spacing w:after="60"/>
      </w:pPr>
      <w:r>
        <w:t>search_code — exact or repository-backed search for affected usages.</w:t>
      </w:r>
    </w:p>
    <w:p>
      <w:pPr>
        <w:pStyle w:val="ListBullet"/>
        <w:widowControl/>
        <w:spacing w:after="60"/>
      </w:pPr>
      <w:r>
        <w:t>search_knowledge — RAG retrieval across API and migration knowledge.</w:t>
      </w:r>
    </w:p>
    <w:p>
      <w:pPr>
        <w:pStyle w:val="ListBullet"/>
        <w:widowControl/>
        <w:spacing w:after="60"/>
      </w:pPr>
      <w:r>
        <w:t>Optional: run_contract_tests — validate selected contract scenarios.</w:t>
      </w:r>
    </w:p>
    <w:p>
      <w:pPr>
        <w:pStyle w:val="Heading2"/>
        <w:widowControl/>
      </w:pPr>
      <w:r>
        <w:t>MCP Requirements</w:t>
      </w:r>
    </w:p>
    <w:p>
      <w:pPr>
        <w:widowControl/>
      </w:pPr>
      <w:r>
        <w:t>The Copilot exposes at least five useful operations through its own MCP server and connects to two small demo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1D5DB"/>
          <w:left w:val="single" w:sz="6" w:color="D1D5DB"/>
          <w:bottom w:val="single" w:sz="6" w:color="D1D5DB"/>
          <w:right w:val="single" w:sz="6" w:color="D1D5DB"/>
          <w:insideH w:val="single" w:sz="6" w:color="D1D5DB"/>
          <w:insideV w:val="single" w:sz="6" w:color="D1D5DB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Integration</w:t>
            </w:r>
          </w:p>
        </w:tc>
        <w:tc>
          <w:tcPr>
            <w:tcW w:type="dxa" w:w="676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Minimum operations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4F7FA"/>
          </w:tcPr>
          <w:p>
            <w:pPr>
              <w:spacing w:after="0"/>
            </w:pPr>
            <w:r>
              <w:rPr>
                <w:b/>
                <w:sz w:val="19"/>
              </w:rPr>
              <w:t>Copilot MCP server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9"/>
              </w:rPr>
              <w:t>get_contract, list_contract_versions, compare_contracts, search_api_docs, get_change_details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4F7FA"/>
          </w:tcPr>
          <w:p>
            <w:pPr>
              <w:spacing w:after="0"/>
            </w:pPr>
            <w:r>
              <w:rPr>
                <w:b/>
                <w:sz w:val="19"/>
              </w:rPr>
              <w:t>Consumer demo project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9"/>
              </w:rPr>
              <w:t>search_code, get_file, list_dependencies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4F7FA"/>
          </w:tcPr>
          <w:p>
            <w:pPr>
              <w:spacing w:after="0"/>
            </w:pPr>
            <w:r>
              <w:rPr>
                <w:b/>
                <w:sz w:val="19"/>
              </w:rPr>
              <w:t>Provider demo project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9"/>
              </w:rPr>
              <w:t>get_openapi_spec, get_api_version, get_changelog</w:t>
            </w:r>
          </w:p>
        </w:tc>
      </w:tr>
    </w:tbl>
    <w:p>
      <w:pPr>
        <w:pStyle w:val="Heading2"/>
        <w:widowControl/>
      </w:pPr>
      <w:r>
        <w:t>Human-in-the-Loop</w:t>
      </w:r>
    </w:p>
    <w:p>
      <w:pPr>
        <w:widowControl/>
      </w:pPr>
      <w:r>
        <w:t>The MVP includes one write action: create migration task. The system must show the proposed task, explain the action, wait for explicit approval or rejection, and resume the persisted workflow after the decision.</w:t>
      </w:r>
    </w:p>
    <w:p>
      <w:pPr>
        <w:pStyle w:val="Heading1"/>
        <w:widowControl/>
      </w:pPr>
      <w:r>
        <w:t>8. Technology &amp; Implementation Direction</w:t>
      </w:r>
    </w:p>
    <w:p>
      <w:pPr>
        <w:widowControl/>
      </w:pPr>
      <w:r>
        <w:t>The technology choices are intentionally simple and selected to maximize hands-on AI engineering learning while keeping the project realistic to finish.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FD8E3"/>
          <w:left w:val="single" w:sz="5" w:color="CFD8E3"/>
          <w:bottom w:val="single" w:sz="5" w:color="CFD8E3"/>
          <w:right w:val="single" w:sz="5" w:color="CFD8E3"/>
          <w:insideH w:val="single" w:sz="5" w:color="CFD8E3"/>
          <w:insideV w:val="single" w:sz="5" w:color="CFD8E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45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Technology / Approach</w:t>
            </w:r>
          </w:p>
        </w:tc>
        <w:tc>
          <w:tcPr>
            <w:tcW w:type="dxa" w:w="439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Why for this MVP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4F7FA"/>
          </w:tcPr>
          <w:p>
            <w:r>
              <w:rPr>
                <w:b/>
                <w:sz w:val="17"/>
              </w:rPr>
              <w:t>Frontend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sz w:val="17"/>
              </w:rPr>
              <w:t>React + TypeScript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sz w:val="17"/>
              </w:rPr>
              <w:t>Keep the UI familiar while focusing learning effort on the AI backend.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4F7FA"/>
          </w:tcPr>
          <w:p>
            <w:r>
              <w:rPr>
                <w:b/>
                <w:sz w:val="17"/>
              </w:rPr>
              <w:t>Backend API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sz w:val="17"/>
              </w:rPr>
              <w:t>Python + FastAPI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sz w:val="17"/>
              </w:rPr>
              <w:t>Learn production-style async Python in an AI-oriented project.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4F7FA"/>
          </w:tcPr>
          <w:p>
            <w:r>
              <w:rPr>
                <w:b/>
                <w:sz w:val="17"/>
              </w:rPr>
              <w:t>Validation / schemas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sz w:val="17"/>
              </w:rPr>
              <w:t>Pydantic v2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sz w:val="17"/>
              </w:rPr>
              <w:t>Typed request, tool, agent, and structured-output models.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4F7FA"/>
          </w:tcPr>
          <w:p>
            <w:r>
              <w:rPr>
                <w:b/>
                <w:sz w:val="17"/>
              </w:rPr>
              <w:t>Persistence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sz w:val="17"/>
              </w:rPr>
              <w:t>PostgreSQL + SQLAlchemy 2 + Alembic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sz w:val="17"/>
              </w:rPr>
              <w:t>Application data, sessions, workflows, and migrations.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4F7FA"/>
          </w:tcPr>
          <w:p>
            <w:r>
              <w:rPr>
                <w:b/>
                <w:sz w:val="17"/>
              </w:rPr>
              <w:t>RAG retrieval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sz w:val="17"/>
              </w:rPr>
              <w:t>PostgreSQL FTS + pgvector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sz w:val="17"/>
              </w:rPr>
              <w:t>Hybrid keyword + semantic retrieval without a separate vector database.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4F7FA"/>
          </w:tcPr>
          <w:p>
            <w:r>
              <w:rPr>
                <w:b/>
                <w:sz w:val="17"/>
              </w:rPr>
              <w:t>LLM integration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sz w:val="17"/>
              </w:rPr>
              <w:t>OpenAI or Claude behind a provider interface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sz w:val="17"/>
              </w:rPr>
              <w:t>Avoid coupling the architecture to one model vendor.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4F7FA"/>
          </w:tcPr>
          <w:p>
            <w:r>
              <w:rPr>
                <w:b/>
                <w:sz w:val="17"/>
              </w:rPr>
              <w:t>Contract comparison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sz w:val="17"/>
              </w:rPr>
              <w:t>oasdiff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sz w:val="17"/>
              </w:rPr>
              <w:t>Deterministic OpenAPI change detection rather than asking the LLM to infer contract facts.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4F7FA"/>
          </w:tcPr>
          <w:p>
            <w:r>
              <w:rPr>
                <w:b/>
                <w:sz w:val="17"/>
              </w:rPr>
              <w:t>Code search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sz w:val="17"/>
              </w:rPr>
              <w:t>ripgrep initially; MCP search for demo integration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sz w:val="17"/>
              </w:rPr>
              <w:t>Simple exact search first; deeper analysis is deferred.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4F7FA"/>
          </w:tcPr>
          <w:p>
            <w:r>
              <w:rPr>
                <w:b/>
                <w:sz w:val="17"/>
              </w:rPr>
              <w:t>MCP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sz w:val="17"/>
              </w:rPr>
              <w:t>Python MCP SDK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sz w:val="17"/>
              </w:rPr>
              <w:t>Expose Copilot capabilities and connect the two demo projects.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4F7FA"/>
          </w:tcPr>
          <w:p>
            <w:r>
              <w:rPr>
                <w:b/>
                <w:sz w:val="17"/>
              </w:rPr>
              <w:t>Observability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sz w:val="17"/>
              </w:rPr>
              <w:t>OpenTelemetry + Jaeger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sz w:val="17"/>
              </w:rPr>
              <w:t>Trace LLM, RAG, tools, agents, MCP, and approvals.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4F7FA"/>
          </w:tcPr>
          <w:p>
            <w:r>
              <w:rPr>
                <w:b/>
                <w:sz w:val="17"/>
              </w:rPr>
              <w:t>Testing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sz w:val="17"/>
              </w:rPr>
              <w:t>pytest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sz w:val="17"/>
              </w:rPr>
              <w:t>Unit and integration tests for Python components.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4F7FA"/>
          </w:tcPr>
          <w:p>
            <w:r>
              <w:rPr>
                <w:b/>
                <w:sz w:val="17"/>
              </w:rPr>
              <w:t>Local environment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sz w:val="17"/>
              </w:rPr>
              <w:t>Docker Compose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sz w:val="17"/>
              </w:rPr>
              <w:t>Reproducible local setup.</w:t>
            </w:r>
          </w:p>
        </w:tc>
      </w:tr>
    </w:tbl>
    <w:p>
      <w:pPr>
        <w:pStyle w:val="Heading2"/>
        <w:widowControl/>
      </w:pPr>
      <w:r>
        <w:t>Intentionally Not Required for MVP</w:t>
      </w:r>
    </w:p>
    <w:p>
      <w:pPr>
        <w:widowControl/>
      </w:pPr>
      <w:r>
        <w:t>LangChain, LangGraph, Celery, Kafka, Kubernetes, a separate vector database, multiple backend microservices, and advanced AST dependency analysis are not required initially. They should only be introduced if the working MVP creates a concrete need.</w:t>
      </w:r>
    </w:p>
    <w:p>
      <w:pPr>
        <w:pStyle w:val="Heading1"/>
        <w:widowControl/>
      </w:pPr>
      <w:r>
        <w:t>9. Quality, Safety &amp; Observability</w:t>
      </w:r>
    </w:p>
    <w:p>
      <w:pPr>
        <w:pStyle w:val="ListBullet"/>
        <w:widowControl/>
        <w:spacing w:after="60"/>
      </w:pPr>
      <w:r>
        <w:t>Every analysis run has a trace ID and is traceable across orchestration, LLM calls, retrieval, tools, agents, MCP calls, and approvals.</w:t>
      </w:r>
    </w:p>
    <w:p>
      <w:pPr>
        <w:pStyle w:val="ListBullet"/>
        <w:widowControl/>
        <w:spacing w:after="60"/>
      </w:pPr>
      <w:r>
        <w:t>Unavailable sources and failed tools are surfaced clearly; the system must not fabricate missing results.</w:t>
      </w:r>
    </w:p>
    <w:p>
      <w:pPr>
        <w:pStyle w:val="ListBullet"/>
        <w:widowControl/>
        <w:spacing w:after="60"/>
      </w:pPr>
      <w:r>
        <w:t>Impact reports include source references when retrieved knowledge is used.</w:t>
      </w:r>
    </w:p>
    <w:p>
      <w:pPr>
        <w:pStyle w:val="ListBullet"/>
        <w:widowControl/>
        <w:spacing w:after="60"/>
      </w:pPr>
      <w:r>
        <w:t>Write actions never execute without explicit approval, and workflow state remains persisted while waiting.</w:t>
      </w:r>
    </w:p>
    <w:p>
      <w:pPr>
        <w:pStyle w:val="Heading1"/>
        <w:widowControl/>
      </w:pPr>
      <w:r>
        <w:t>10. Success Metrics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1D5DB"/>
          <w:left w:val="single" w:sz="6" w:color="D1D5DB"/>
          <w:bottom w:val="single" w:sz="6" w:color="D1D5DB"/>
          <w:right w:val="single" w:sz="6" w:color="D1D5DB"/>
          <w:insideH w:val="single" w:sz="6" w:color="D1D5DB"/>
          <w:insideV w:val="single" w:sz="6" w:color="D1D5DB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676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Target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4F7FA"/>
          </w:tcPr>
          <w:p>
            <w:pPr>
              <w:spacing w:after="0"/>
            </w:pPr>
            <w:r>
              <w:rPr>
                <w:b/>
                <w:sz w:val="19"/>
              </w:rPr>
              <w:t>Contract accuracy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9"/>
              </w:rPr>
              <w:t>Known breaking changes in the evaluation scenarios are detected correctly by deterministic tooling.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4F7FA"/>
          </w:tcPr>
          <w:p>
            <w:pPr>
              <w:spacing w:after="0"/>
            </w:pPr>
            <w:r>
              <w:rPr>
                <w:b/>
                <w:sz w:val="19"/>
              </w:rPr>
              <w:t>RAG quality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9"/>
              </w:rPr>
              <w:t>Relevant knowledge appears in the top five retrieval results for at least 80% of evaluation questions.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4F7FA"/>
          </w:tcPr>
          <w:p>
            <w:pPr>
              <w:spacing w:after="0"/>
            </w:pPr>
            <w:r>
              <w:rPr>
                <w:b/>
                <w:sz w:val="19"/>
              </w:rPr>
              <w:t>Approval safety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9"/>
              </w:rPr>
              <w:t>100% of write actions require explicit approval.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4F7FA"/>
          </w:tcPr>
          <w:p>
            <w:pPr>
              <w:spacing w:after="0"/>
            </w:pPr>
            <w:r>
              <w:rPr>
                <w:b/>
                <w:sz w:val="19"/>
              </w:rPr>
              <w:t>Traceability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9"/>
              </w:rPr>
              <w:t>100% of agent and tool executions have a trace identifier.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4F7FA"/>
          </w:tcPr>
          <w:p>
            <w:pPr>
              <w:spacing w:after="0"/>
            </w:pPr>
            <w:r>
              <w:rPr>
                <w:b/>
                <w:sz w:val="19"/>
              </w:rPr>
              <w:t>Demo latency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9"/>
              </w:rPr>
              <w:t>A complete demo analysis finishes in under 10 seconds under normal demo conditions.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4F7FA"/>
          </w:tcPr>
          <w:p>
            <w:pPr>
              <w:spacing w:after="0"/>
            </w:pPr>
            <w:r>
              <w:rPr>
                <w:b/>
                <w:sz w:val="19"/>
              </w:rPr>
              <w:t>Resilience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9"/>
              </w:rPr>
              <w:t>Failed tools or unavailable sources are handled without crashing the workflow.</w:t>
            </w:r>
          </w:p>
        </w:tc>
      </w:tr>
    </w:tbl>
    <w:p>
      <w:pPr>
        <w:pStyle w:val="Heading1"/>
        <w:widowControl/>
      </w:pPr>
      <w:r>
        <w:t>11. Assumptions &amp; Constraints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1D5DB"/>
          <w:left w:val="single" w:sz="6" w:color="D1D5DB"/>
          <w:bottom w:val="single" w:sz="6" w:color="D1D5DB"/>
          <w:right w:val="single" w:sz="6" w:color="D1D5DB"/>
          <w:insideH w:val="single" w:sz="6" w:color="D1D5DB"/>
          <w:insideV w:val="single" w:sz="6" w:color="D1D5DB"/>
        </w:tblBorders>
      </w:tblPr>
      <w:tblGrid>
        <w:gridCol w:w="4997"/>
        <w:gridCol w:w="4997"/>
      </w:tblGrid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4F7FA"/>
          </w:tcPr>
          <w:p>
            <w:pPr>
              <w:spacing w:after="0"/>
            </w:pPr>
            <w:r>
              <w:rPr>
                <w:b/>
                <w:sz w:val="19"/>
              </w:rPr>
              <w:t>Assumptions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9"/>
              </w:rPr>
              <w:t>OpenAPI 3.x contracts; small demo repositories; mostly text-based documentation; synthetic and public sample data are acceptable; consumer and provider demo projects are controlled by the team.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4F7FA"/>
          </w:tcPr>
          <w:p>
            <w:pPr>
              <w:spacing w:after="0"/>
            </w:pPr>
            <w:r>
              <w:rPr>
                <w:b/>
                <w:sz w:val="19"/>
              </w:rPr>
              <w:t>Constraints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9"/>
              </w:rPr>
              <w:t>Single-user learning MVP; no production credentials or production changes; no enterprise-scale indexing; no multi-tenant authorization.</w:t>
            </w:r>
          </w:p>
        </w:tc>
      </w:tr>
    </w:tbl>
    <w:p>
      <w:pPr>
        <w:pStyle w:val="Heading1"/>
        <w:widowControl/>
      </w:pPr>
      <w:r>
        <w:t>12. Out of Scope</w:t>
      </w:r>
    </w:p>
    <w:p>
      <w:pPr>
        <w:pStyle w:val="ListBullet"/>
        <w:widowControl/>
        <w:spacing w:after="60"/>
      </w:pPr>
      <w:r>
        <w:t>Runtime production traffic analysis or autonomous remediation.</w:t>
      </w:r>
    </w:p>
    <w:p>
      <w:pPr>
        <w:pStyle w:val="ListBullet"/>
        <w:widowControl/>
        <w:spacing w:after="60"/>
      </w:pPr>
      <w:r>
        <w:t>Automatic source-code modification, pull-request creation, or production deployment actions.</w:t>
      </w:r>
    </w:p>
    <w:p>
      <w:pPr>
        <w:pStyle w:val="ListBullet"/>
        <w:widowControl/>
        <w:spacing w:after="60"/>
      </w:pPr>
      <w:r>
        <w:t>Enterprise authentication, billing, multi-tenant organizations, and large-scale distributed indexing.</w:t>
      </w:r>
    </w:p>
    <w:p>
      <w:pPr>
        <w:pStyle w:val="ListBullet"/>
        <w:widowControl/>
        <w:spacing w:after="60"/>
      </w:pPr>
      <w:r>
        <w:t>Advanced dependency graphs, model fine-tuning, and full API governance.</w:t>
      </w:r>
    </w:p>
    <w:p>
      <w:pPr>
        <w:pStyle w:val="Heading1"/>
        <w:widowControl/>
      </w:pPr>
      <w:r>
        <w:t>13. Release Criteria</w:t>
      </w:r>
    </w:p>
    <w:p>
      <w:pPr>
        <w:pStyle w:val="ListBullet"/>
        <w:widowControl/>
        <w:spacing w:after="60"/>
      </w:pPr>
      <w:r>
        <w:t>Two contract versions can be added, compared, and breaking changes displayed.</w:t>
      </w:r>
    </w:p>
    <w:p>
      <w:pPr>
        <w:pStyle w:val="ListBullet"/>
        <w:widowControl/>
        <w:spacing w:after="60"/>
      </w:pPr>
      <w:r>
        <w:t>A selected change can be analyzed against related code and relevant knowledge.</w:t>
      </w:r>
    </w:p>
    <w:p>
      <w:pPr>
        <w:pStyle w:val="ListBullet"/>
        <w:widowControl/>
        <w:spacing w:after="60"/>
      </w:pPr>
      <w:r>
        <w:t>An impact report, migration plan, and clarification flow work end to end.</w:t>
      </w:r>
    </w:p>
    <w:p>
      <w:pPr>
        <w:pStyle w:val="ListBullet"/>
        <w:widowControl/>
        <w:spacing w:after="60"/>
      </w:pPr>
      <w:r>
        <w:t>Migration-task approval/rejection and session persistence work.</w:t>
      </w:r>
    </w:p>
    <w:p>
      <w:pPr>
        <w:pStyle w:val="ListBullet"/>
        <w:widowControl/>
        <w:spacing w:after="60"/>
      </w:pPr>
      <w:r>
        <w:t>AI, retrieval, tools, agents, MCP, and approval steps are traceable.</w:t>
      </w:r>
    </w:p>
    <w:p>
      <w:pPr>
        <w:pStyle w:val="ListBullet"/>
        <w:widowControl/>
        <w:spacing w:after="60"/>
      </w:pPr>
      <w:r>
        <w:t>The MCP server exposes at least five operations and both demo projects can be queried.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CD2E8"/>
          <w:left w:val="single" w:sz="4" w:color="BCD2E8"/>
          <w:bottom w:val="single" w:sz="4" w:color="BCD2E8"/>
          <w:right w:val="single" w:sz="4" w:color="BCD2E8"/>
          <w:insideH w:val="single" w:sz="4" w:color="BCD2E8"/>
          <w:insideV w:val="single" w:sz="4" w:color="BCD2E8"/>
        </w:tblBorders>
      </w:tblPr>
      <w:tblGrid>
        <w:gridCol w:w="9994"/>
      </w:tblGrid>
      <w:tr>
        <w:tc>
          <w:tcPr>
            <w:tcW w:type="dxa" w:w="9994"/>
            <w:shd w:fill="FFF4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17365D"/>
              </w:rPr>
              <w:t>Implementation order</w:t>
            </w:r>
          </w:p>
          <w:p>
            <w:pPr>
              <w:pStyle w:val="Callout"/>
              <w:spacing w:after="0"/>
            </w:pPr>
            <w:r>
              <w:t>First make the vertical slice work end to end. Then add migration planning → planning/Q&amp;A → approval → MCP integrations → deeper tracing → evaluation.</w:t>
            </w:r>
          </w:p>
        </w:tc>
      </w:tr>
    </w:tbl>
    <w:p>
      <w:pPr>
        <w:widowControl/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36" w:left="1123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API Contract Copilot — PRD with Technology Direction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7"/>
      </w:rPr>
      <w:t>API Contract Copilot  |  Product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ptos" w:hAnsi="Aptos"/>
      <w:b w:val="0"/>
      <w:i/>
      <w:iCs/>
      <w:color w:val="6B728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80"/>
    </w:pPr>
    <w:rPr>
      <w:rFonts w:ascii="Aptos" w:hAnsi="Aptos"/>
      <w:b w:val="0"/>
      <w:color w:val="6B7280"/>
      <w:sz w:val="18"/>
    </w:rPr>
  </w:style>
  <w:style w:type="paragraph" w:customStyle="1" w:styleId="Callout">
    <w:name w:val="Callout"/>
    <w:pPr>
      <w:spacing w:after="80"/>
    </w:pPr>
    <w:rPr>
      <w:rFonts w:ascii="Aptos" w:hAnsi="Aptos"/>
      <w:b w:val="0"/>
      <w:color w:val="1F2937"/>
      <w:sz w:val="21"/>
    </w:rPr>
  </w:style>
  <w:style w:type="paragraph" w:customStyle="1" w:styleId="Kicker">
    <w:name w:val="Kicker"/>
    <w:pPr>
      <w:spacing w:after="80"/>
    </w:pPr>
    <w:rPr>
      <w:rFonts w:ascii="Aptos" w:hAnsi="Aptos"/>
      <w:b/>
      <w:color w:val="2F75B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Contract Copilot — Product Requirements Document</dc:title>
  <dc:subject>MVP product requirements with technology direction</dc:subject>
  <dc:creator>Roman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