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Header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CONFIDENTIAL - PROPRIETARY</w:t>
      </w:r>
    </w:p>
    <w:p>
      <w:pPr>
        <w:pStyle w:val="Header"/>
        <w:spacing w:line="240" w:lineRule="auto"/>
        <w:jc w:val="right"/>
        <w:rPr>
          <w:rFonts w:ascii="Times New Roman" w:hAnsi="Times New Roman"/>
          <w:i w:val="0"/>
          <w:sz w:val="20"/>
        </w:rPr>
      </w:pPr>
      <w:r>
        <w:rPr>
          <w:i w:val="0"/>
          <w:sz w:val="20"/>
        </w:rPr>
        <w:drawing xmlns:wp="http://schemas.openxmlformats.org/drawingml/2006/wordprocessingDrawing"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9129947</wp:posOffset>
            </wp:positionV>
            <wp:extent cx="6057900" cy="0"/>
            <wp:effectExtent l="19050" t="14605" r="19050" b="13970"/>
            <wp:wrapNone/>
            <wp:docPr id="2" name="Lin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>
                    <a:cxnSpLocks noChangeShapeType="1"/>
                  </wps:cNvCnPr>
                  <wps:spPr bwMode="auto">
                    <a:xfrm>
                      <a:off x="0" y="0"/>
                      <a:ext cx="6057900" cy="0"/>
                    </a:xfrm>
                    <a:prstGeom prst="line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Times New Roman" w:hAnsi="Times New Roman"/>
          <w:i w:val="0"/>
          <w:noProof w:val="0"/>
          <w:sz w:val="20"/>
        </w:rPr>
        <w:fldChar w:fldCharType="begin"/>
      </w:r>
      <w:r>
        <w:rPr>
          <w:rFonts w:ascii="Times New Roman" w:hAnsi="Times New Roman"/>
          <w:i w:val="0"/>
          <w:sz w:val="20"/>
        </w:rPr>
        <w:instrText xml:space="preserve"> PAGE   \* MERGEFORMAT </w:instrText>
      </w:r>
      <w:r>
        <w:rPr>
          <w:rFonts w:ascii="Times New Roman" w:hAnsi="Times New Roman"/>
          <w:i w:val="0"/>
          <w:noProof w:val="0"/>
          <w:sz w:val="20"/>
        </w:rPr>
        <w:fldChar w:fldCharType="separate"/>
      </w:r>
      <w:r>
        <w:rPr>
          <w:rFonts w:ascii="Times New Roman" w:hAnsi="Times New Roman"/>
          <w:i w:val="0"/>
          <w:sz w:val="20"/>
        </w:rPr>
        <w:t>i</w:t>
      </w:r>
      <w:r>
        <w:rPr>
          <w:rFonts w:ascii="Times New Roman" w:hAnsi="Times New Roman"/>
          <w:i w:val="0"/>
          <w:sz w:val="20"/>
        </w:rPr>
        <w:fldChar w:fldCharType="end"/>
      </w:r>
    </w:p>
    <w:p>
      <w:pPr>
        <w:pStyle w:val="Header"/>
        <w:spacing w:line="240" w:lineRule="auto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NetworkTech Solutions Inc.</w:t>
      </w:r>
    </w:p>
    <w:p>
      <w:pPr>
        <w:pStyle w:val="Title"/>
        <w:jc w:val="right"/>
      </w:pPr>
      <w:r>
        <w:t>PRODUCT SPECIFICATION DOCUMENT</w:t>
      </w:r>
    </w:p>
    <w:p>
      <w:pPr>
        <w:spacing w:after="0"/>
        <w:jc w:val="right"/>
        <w:rPr>
          <w:b/>
          <w:sz w:val="28"/>
        </w:rPr>
      </w:pPr>
      <w:r>
        <w:rPr>
          <w:noProof/>
        </w:rPr>
        <mc:AlternateContent xmlns:mc="http://schemas.openxmlformats.org/markup-compatibility/2006">
          <mc:Choice Requires="wps">
            <w:drawing>
              <wp:inline xmlns:wp="http://schemas.openxmlformats.org/drawingml/2006/wordprocessingDrawing" xmlns:wp14="http://schemas.microsoft.com/office/word/2010/wordprocessingDrawing" xmlns:a="http://schemas.openxmlformats.org/drawingml/2006/main" xmlns:wps="http://schemas.microsoft.com/office/word/2010/wordprocessingShape" xmlns:a14="http://schemas.microsoft.com/office/drawing/2010/main" distT="0" distB="0" distL="0" distR="0">
                <wp:extent cx="5943600" cy="0"/>
                <wp:effectExtent l="19050" t="19050" r="0" b="19050"/>
                <wp:docPr id="9" name="Straight Connector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xmlns:v="urn:schemas-microsoft-com:vml" xmlns:w10="urn:schemas-microsoft-com:office:word" xmlns:o="urn:schemas-microsoft-com:office:office" id="Straight Connector 7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VCIMIwIAAEEEAAAOAAAAZHJzL2Uyb0RvYy54bWysU02P2yAQvVfqf0DcE9uJN5tYcVaVnbSH bRsp2x9AANuoGBCwcaKq/70D+eju9lJV9QEPzPB482Zm+XDsJTpw64RWJc7GKUZcUc2Eakv87Wkz mmPkPFGMSK14iU/c4YfV+3fLwRR8ojstGbcIQJQrBlPizntTJImjHe+JG2vDFTgbbXviYWvbhFky AHovk0mazpJBW2asptw5OK3PTryK+E3Dqf/aNI57JEsM3HxcbVz3YU1WS1K0lphO0AsN8g8seiIU PHqDqokn6NmKP6B6Qa12uvFjqvtEN42gPOYA2WTpm2x2HTE85gLiOHOTyf0/WPrlsLVIsBIvMFKk hxLtvCWi7TyqtFIgoLboPug0GFdAeKW2NmRKj2pnHjX97pDSVUdUyyPfp5MBkCzcSF5dCRtn4LX9 8FkziCHPXkfRjo3tUSOF+RQuBnAQBh1jlU63KvGjRxQO7xb5dJZCMenVl5AiQISLxjr/keseBaPE UqggICnI4dH5QOl3SDhWeiOkjE0gFRpKPJ1nAB1cTkvBgjdubLuvpEUHEvoofjHBN2FWPysW0TpO 2PrieyLk2YbXpQp4kAvwuVjnRvmxSBfr+Xqej/LJbD3K07oefdhU+Wi2ye7v6mldVXX2M1DL8qIT jHEV2F2bNsv/riku43Nut1vb3nRIXqNHwYDs9R9Jx7KGSp57Yq/ZaWuv5YY+jcGXmQqD8HIP9svJ X/0CAAD//wMAUEsDBBQABgAIAAAAIQDTSSwq1wAAAAIBAAAPAAAAZHJzL2Rvd25yZXYueG1sTI/d asMwDEbvB30Ho8LuVqfdKG4Wp4zBrgb7afsAaqwlobEcYrfJ3n7qbrYbweETn46K7eQ7daEhtoEt LBcZKOIquJZrC4f9y50BFROywy4wWfimCNtydlNg7sLIn3TZpVpJCcccLTQp9bnWsWrIY1yEnliy rzB4TIJDrd2Ao5T7Tq+ybK09tiwXGuzpuaHqtDt7Cw/mfflmPuqEB7Myr5uTcf0Yrb2dT0+PoBJN 6W8ZrvqiDqU4HcOZXVSdBXkk/U7JNvdrweMVdVno/+rlDwAAAP//AwBQSwECLQAUAAYACAAAACEA toM4kv4AAADhAQAAEwAAAAAAAAAAAAAAAAAAAAAAW0NvbnRlbnRfVHlwZXNdLnhtbFBLAQItABQA BgAIAAAAIQA4/SH/1gAAAJQBAAALAAAAAAAAAAAAAAAAAC8BAABfcmVscy8ucmVsc1BLAQItABQA BgAIAAAAIQCKVCIMIwIAAEEEAAAOAAAAAAAAAAAAAAAAAC4CAABkcnMvZTJvRG9jLnhtbFBLAQIt ABQABgAIAAAAIQDTSSwq1wAAAAIBAAAPAAAAAAAAAAAAAAAAAH0EAABkcnMvZG93bnJldi54bWxQ SwUGAAAAAAQABADzAAAAgQUAAAAA " strokeweight="3pt">
                <w10:anchorlock/>
              </v:line>
            </w:pict>
          </mc:Fallback>
        </mc:AlternateContent>
      </w:r>
    </w:p>
    <w:p>
      <w:pPr>
        <w:pStyle w:val="Title"/>
        <w:spacing w:after="120"/>
        <w:jc w:val="right"/>
        <w:rPr>
          <w:rStyle w:val="IntenseReference"/>
          <w:rFonts w:eastAsia="Times New Roman" w:cs="Arial"/>
          <w:color w:val="auto"/>
          <w:szCs w:val="32"/>
        </w:rPr>
      </w:pPr>
    </w:p>
    <w:sdt>
      <w:sdtPr>
        <w:rPr>
          <w:rStyle w:val="IntenseReference"/>
          <w:rFonts w:eastAsia="Times New Roman" w:cs="Arial"/>
          <w:color w:val="auto"/>
          <w:szCs w:val="32"/>
        </w:rPr>
        <w:alias w:val="Title"/>
        <w:tag w:val=""/>
        <w:id w:val="-297138771"/>
        <w:placeholder>
          <w:docPart w:val="537847692CB049EA87ABF6807BF3688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IntenseReference"/>
        </w:rPr>
      </w:sdtEndPr>
      <w:sdtContent>
        <w:p>
          <w:pPr>
            <w:pStyle w:val="Title"/>
            <w:spacing w:after="120"/>
            <w:jc w:val="right"/>
            <w:rPr>
              <w:szCs w:val="32"/>
            </w:rPr>
          </w:pPr>
          <w:r>
            <w:rPr>
              <w:rStyle w:val="IntenseReference"/>
              <w:rFonts w:eastAsia="Times New Roman" w:cs="Arial"/>
              <w:color w:val="auto"/>
              <w:szCs w:val="32"/>
            </w:rPr>
            <w:t>ROUTER-100 Enterprise Network Router - Complete Technical Specification</w:t>
          </w:r>
        </w:p>
      </w:sdtContent>
    </w:sdt>
    <w:p/>
    <w:sdt>
      <w:sdtPr>
        <w:rPr>
          <w:b/>
          <w:sz w:val="32"/>
        </w:rPr>
        <w:alias w:val="Subject"/>
        <w:tag w:val=""/>
        <w:id w:val="55058839"/>
        <w:placeholder>
          <w:docPart w:val="6E96B37F9B99488BB4739C3E499808EF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>
          <w:pPr>
            <w:spacing w:line="240" w:lineRule="auto"/>
            <w:jc w:val="right"/>
            <w:rPr>
              <w:b/>
              <w:sz w:val="32"/>
            </w:rPr>
          </w:pPr>
          <w:r>
            <w:rPr>
              <w:b/>
              <w:sz w:val="32"/>
            </w:rPr>
            <w:t>DOC-R100-001, Rev C</w:t>
          </w:r>
        </w:p>
      </w:sdtContent>
    </w:sdt>
    <w:p>
      <w:pPr>
        <w:rPr>
          <w:b/>
        </w:rPr>
      </w:pPr>
      <w:r>
        <w:rPr>
          <w:b/>
        </w:rPr>
        <w:t>Test Details</w:t>
      </w:r>
    </w:p>
    <w:p>
      <w:pPr>
        <w:spacing w:after="80"/>
        <w:ind w:left="720"/>
        <w:rPr>
          <w:noProof/>
        </w:rPr>
      </w:pPr>
      <w:r>
        <w:rPr>
          <w:noProof/>
        </w:rPr>
        <w:t>Tester: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sdt>
        <w:sdtPr>
          <w:rPr>
            <w:noProof/>
          </w:rPr>
          <w:id w:val="-153914177"/>
          <w:placeholder>
            <w:docPart w:val="A5E5B0328DA949938BE241AEF9E83162"/>
          </w:placeholder>
          <w:showingPlcHdr/>
        </w:sdtPr>
        <w:sdtEndPr/>
        <w:sdtContent>
          <w:r>
            <w:rPr>
              <w:noProof/>
            </w:rPr>
            <w:t>Jennifer Martinez</w:t>
          </w:r>
        </w:sdtContent>
      </w:sdt>
    </w:p>
    <w:p>
      <w:pPr>
        <w:spacing w:after="80"/>
        <w:ind w:left="720"/>
        <w:rPr>
          <w:noProof/>
        </w:rPr>
      </w:pPr>
      <w:r>
        <w:rPr>
          <w:noProof/>
        </w:rPr>
        <w:t>Test Date: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sdt>
        <w:sdtPr>
          <w:rPr>
            <w:rStyle w:val="Style2"/>
          </w:rPr>
          <w:id w:val="1250228158"/>
          <w:placeholder>
            <w:docPart w:val="817088BB09144C008315B4AF458F88E0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2024/09/24</w:t>
          </w:r>
        </w:sdtContent>
      </w:sdt>
    </w:p>
    <w:p>
      <w:pPr>
        <w:spacing w:after="80"/>
        <w:ind w:left="720"/>
        <w:rPr>
          <w:noProof/>
        </w:rPr>
      </w:pPr>
      <w:r>
        <w:rPr>
          <w:noProof/>
        </w:rPr>
        <w:t>Serial Number: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sdt>
        <w:sdtPr>
          <w:rPr>
            <w:rStyle w:val="Style2"/>
          </w:rPr>
          <w:id w:val="2036920104"/>
          <w:placeholder>
            <w:docPart w:val="008744A490EB40668C3DDE4C14AA5FAF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RTR-100-P001</w:t>
          </w:r>
        </w:sdtContent>
      </w:sdt>
    </w:p>
    <w:p>
      <w:pPr>
        <w:spacing w:after="80"/>
        <w:ind w:left="720"/>
        <w:rPr>
          <w:rStyle w:val="Style2"/>
        </w:rPr>
      </w:pPr>
      <w:r>
        <w:rPr>
          <w:noProof/>
        </w:rPr>
        <w:t>Test Result (PASS/FAIL):</w:t>
      </w:r>
      <w:r>
        <w:rPr>
          <w:noProof/>
        </w:rPr>
        <w:tab/>
      </w:r>
      <w:r>
        <w:rPr>
          <w:noProof/>
        </w:rPr>
        <w:tab/>
      </w:r>
      <w:sdt>
        <w:sdtPr>
          <w:rPr>
            <w:rStyle w:val="Style2"/>
          </w:rPr>
          <w:id w:val="-2125759377"/>
          <w:placeholder>
            <w:docPart w:val="B7DE44B6901441DBAD1F54BFA98DA870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PASS</w:t>
          </w:r>
        </w:sdtContent>
      </w:sdt>
    </w:p>
    <w:p>
      <w:pPr>
        <w:spacing w:after="80"/>
        <w:ind w:left="720"/>
        <w:rPr>
          <w:rFonts w:cs="Arial"/>
          <w:noProof/>
        </w:rPr>
      </w:pPr>
      <w:r>
        <w:rPr>
          <w:noProof/>
        </w:rPr>
        <w:t>Additional Test Info:</w:t>
      </w:r>
      <w:r>
        <w:rPr>
          <w:noProof/>
        </w:rPr>
        <w:tab/>
      </w:r>
      <w:r>
        <w:rPr>
          <w:noProof/>
        </w:rPr>
        <w:t xml:space="preserve"/>
      </w:r>
      <w:r>
        <w:rPr>
          <w:rFonts w:cs="Arial"/>
          <w:noProof/>
        </w:rPr>
        <w:tab/>
      </w:r>
      <w:sdt>
        <w:sdtPr>
          <w:rPr>
            <w:rStyle w:val="Style2"/>
          </w:rPr>
          <w:id w:val="1762254827"/>
          <w:placeholder>
            <w:docPart w:val="09A66A3968914121B9522734D8A1BF44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All functional and performance tests passed. Product ready for production release.</w:t>
          </w:r>
        </w:sdtContent>
      </w:sdt>
      <w:bookmarkStart w:id="0" w:name="_GoBack"/>
      <w:bookmarkEnd w:id="0"/>
    </w:p>
    <w:p>
      <w:pPr>
        <w:spacing w:after="0" w:line="240" w:lineRule="auto"/>
      </w:pPr>
      <w:bookmarkStart w:id="0" w:name="_GoBack"/>
      <w:bookmarkEnd w:id="0"/>
    </w:p>
    <w:p>
      <w:pPr>
        <w:rPr>
          <w:b/>
        </w:rPr>
      </w:pPr>
      <w:r>
        <w:rPr>
          <w:b/>
        </w:rPr>
        <w:t>Prepared by</w:t>
      </w:r>
    </w:p>
    <w:sdt>
      <w:sdtPr>
        <w:alias w:val="Author"/>
        <w:tag w:val=""/>
        <w:id w:val="1846977684"/>
        <w:placeholder>
          <w:docPart w:val="221F9AE4157A4BC18D8BB6988A26B75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>
          <w:pPr>
            <w:spacing w:after="0" w:line="240" w:lineRule="auto"/>
            <w:jc w:val="right"/>
          </w:pPr>
          <w:r>
            <w:t>Jennifer Martinez, PhD</w:t>
          </w:r>
        </w:p>
      </w:sdtContent>
    </w:sdt>
    <w:p>
      <w:pPr>
        <w:spacing w:after="0" w:line="240" w:lineRule="auto"/>
        <w:jc w:val="right"/>
      </w:pPr>
    </w:p>
    <w:p>
      <w:pPr>
        <w:spacing w:after="0" w:line="240" w:lineRule="auto"/>
        <w:jc w:val="right"/>
      </w:pPr>
      <w:r>
        <w:t>NetworkTech Solutions Inc.</w:t>
      </w:r>
    </w:p>
    <w:p>
      <w:pPr>
        <w:spacing w:after="0" w:line="240" w:lineRule="auto"/>
        <w:jc w:val="right"/>
      </w:pPr>
      <w:r>
        <w:t>2500 Technology Drive</w:t>
      </w:r>
    </w:p>
    <w:p>
      <w:pPr>
        <w:spacing w:after="0" w:line="240" w:lineRule="auto"/>
        <w:jc w:val="right"/>
      </w:pPr>
      <w:r>
        <w:t>Suite 400</w:t>
      </w:r>
    </w:p>
    <w:p>
      <w:pPr>
        <w:spacing w:after="0" w:line="240" w:lineRule="auto"/>
        <w:jc w:val="right"/>
      </w:pPr>
      <w:r>
        <w:t>San Jose, CA 95110</w:t>
      </w:r>
    </w:p>
    <w:p>
      <w:pPr>
        <w:spacing w:after="0" w:line="240" w:lineRule="auto"/>
        <w:jc w:val="right"/>
      </w:pPr>
      <w:r>
        <w:t>Phone: (408) 555-9800</w:t>
      </w:r>
    </w:p>
    <w:p>
      <w:pPr>
        <w:spacing w:after="0" w:line="240" w:lineRule="auto"/>
        <w:jc w:val="right"/>
      </w:pPr>
      <w:r>
        <w:t>Fax: (408) 555-9801</w:t>
      </w:r>
    </w:p>
    <w:p>
      <w:pPr>
        <w:spacing w:after="0" w:line="240" w:lineRule="auto"/>
        <w:jc w:val="right"/>
      </w:pPr>
      <w:hyperlink r:id="rId8" w:history="1">
        <w:r>
          <w:rPr>
            <w:rStyle w:val="Hyperlink"/>
          </w:rPr>
          <w:t>https://www.networktech-solutions.com</w:t>
        </w:r>
      </w:hyperlink>
    </w:p>
    <w:p>
      <w:pPr>
        <w:pStyle w:val="Footer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This document contains confidential and proprietary information of NetworkTech Solutions Inc. Distribution restricted to authorized personnel only.</w:t>
      </w:r>
    </w:p>
    <w:p>
      <w:pPr>
        <w:pStyle w:val="Footer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CONFIDENTIAL</w:t>
      </w:r>
    </w:p>
    <w:p>
      <w:pPr>
        <w:pStyle w:val="Title"/>
        <w:spacing w:before="120" w:after="120" w:line="360" w:lineRule="auto"/>
        <w:rPr>
          <w:u w:val="single"/>
        </w:rPr>
      </w:pPr>
      <w:r>
        <w:rPr>
          <w:rFonts w:eastAsia="Times New Roman" w:cs="Times New Roman"/>
          <w:b w:val="0"/>
          <w:color w:val="FF0000"/>
          <w:sz w:val="24"/>
          <w:szCs w:val="20"/>
        </w:rPr>
        <w:br w:type="page"/>
      </w:r>
      <w:r>
        <w:rPr>
          <w:u w:val="single"/>
        </w:rPr>
        <w:lastRenderedPageBreak/>
        <w:t>Revision Summary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296"/>
        <w:gridCol w:w="1728"/>
        <w:gridCol w:w="4752"/>
        <w:gridCol w:w="1584"/>
      </w:tblGrid>
      <w:tr>
        <w:tc>
          <w:tcPr>
            <w:tcW w:w="1296" w:type="dxa"/>
          </w:tcPr>
          <w:p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Revision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752" w:type="dxa"/>
          </w:tcPr>
          <w:p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Changes</w:t>
            </w:r>
          </w:p>
        </w:tc>
        <w:tc>
          <w:tcPr>
            <w:tcW w:w="1584" w:type="dxa"/>
          </w:tcPr>
          <w:p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Authority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  <w:tc>
          <w:tcPr>
            <w:tcW w:w="1728" w:type="dxa"/>
            <w:vAlign w:val="center"/>
          </w:tcPr>
          <w:p>
            <w:pPr>
              <w:spacing w:line="240" w:lineRule="auto"/>
              <w:jc w:val="left"/>
              <w:rPr>
                <w:sz w:val="20"/>
              </w:rPr>
            </w:pPr>
            <w:r>
              <w:rPr>
                <w:sz w:val="20"/>
              </w:rPr>
              <w:t>2024/09/24</w:t>
            </w:r>
          </w:p>
        </w:tc>
        <w:tc>
          <w:tcPr>
            <w:tcW w:w="4752" w:type="dxa"/>
            <w:vAlign w:val="center"/>
          </w:tcPr>
          <w:p>
            <w:pPr>
              <w:spacing w:line="240" w:lineRule="auto"/>
              <w:jc w:val="left"/>
              <w:rPr>
                <w:sz w:val="20"/>
              </w:rPr>
            </w:pPr>
            <w:r>
              <w:rPr>
                <w:sz w:val="20"/>
              </w:rPr>
              <w:t>Updated performance specifications, added security features section, revised installation procedures</w:t>
            </w:r>
          </w:p>
        </w:tc>
        <w:tc>
          <w:tcPr>
            <w:tcW w:w="1584" w:type="dxa"/>
            <w:vAlign w:val="center"/>
          </w:tcPr>
          <w:p>
            <w:pPr>
              <w:spacing w:line="240" w:lineRule="auto"/>
              <w:jc w:val="left"/>
              <w:rPr>
                <w:sz w:val="20"/>
              </w:rPr>
            </w:pPr>
            <w:r>
              <w:rPr>
                <w:sz w:val="20"/>
              </w:rPr>
              <w:t>Jennifer Martinez</w:t>
            </w:r>
          </w:p>
        </w:tc>
      </w:tr>
    </w:tbl>
    <w:p>
      <w:pPr>
        <w:pStyle w:val="Heading2"/>
        <w:rPr>
          <w:snapToGrid w:val="0"/>
        </w:rPr>
      </w:pPr>
      <w:r>
        <w:rPr>
          <w:snapToGrid w:val="0"/>
        </w:rPr>
        <w:t>IMPORTANT SAFETY AND HANDLING INSTRUCTIONS</w:t>
      </w:r>
    </w:p>
    <w:p>
      <w:pPr>
        <w:rPr>
          <w:snapToGrid w:val="0"/>
        </w:rPr>
      </w:pPr>
      <w:r>
        <w:rPr>
          <w:snapToGrid w:val="0"/>
        </w:rPr>
        <w:t>This document contains technical specifications for the ROUTER-100 Enterprise Network Router. All personnel must be properly trained before handling this equipment.</w:t>
      </w:r>
    </w:p>
    <w:p>
      <w:pPr>
        <w:rPr>
          <w:b/>
          <w:color w:val="FF0000"/>
        </w:rPr>
      </w:pPr>
      <w:r>
        <w:rPr>
          <w:b/>
          <w:color w:val="FF0000"/>
        </w:rPr>
        <w:t xml:space="preserve">WARNING: </w:t>
      </w:r>
      <w:r>
        <w:rPr>
          <w:b/>
          <w:color w:val="FF0000"/>
        </w:rPr>
        <w:t>WARNING: This device operates at high voltages and frequencies. Improper handling may result in equipment damage or personal injury.</w:t>
      </w:r>
    </w:p>
    <w:p>
      <w:r>
        <w:t>Always use proper ESD protection when handling circuit boards. Wear safety glasses and follow all facility safety protocols.</w:t>
      </w:r>
    </w:p>
    <w:p>
      <w:pPr>
        <w:rPr>
          <w:b/>
          <w:color w:val="FF0000"/>
        </w:rPr>
      </w:pPr>
      <w:r>
        <w:rPr>
          <w:b/>
          <w:color w:val="FF0000"/>
        </w:rPr>
        <w:t>WARNING: </w:t>
      </w:r>
      <w:r>
        <w:rPr>
          <w:b/>
          <w:color w:val="FF0000"/>
        </w:rPr>
        <w:t>CAUTION: Network configurations must be verified before deployment. Incorrect settings may compromise network security.</w:t>
      </w:r>
    </w:p>
    <w:p>
      <w:r>
        <w:t>Installation and configuration procedures must be performed by certified network technicians only. All changes must be logged and approved by the network operations center.</w:t>
      </w:r>
    </w:p>
    <w:p>
      <w:r>
        <w:t>NOTE: Performance testing must be completed and documented before placing any unit into production service.</w:t>
      </w:r>
    </w:p>
    <w:p>
      <w:pPr>
        <w:spacing w:after="0" w:line="240" w:lineRule="auto"/>
        <w:jc w:val="center"/>
      </w:pPr>
      <w:r>
        <w:rPr>
          <w:rFonts w:cs="Arial"/>
          <w:b/>
          <w:sz w:val="20"/>
        </w:rPr>
        <w:t xml:space="preserve">Technical Data Rights Statement: </w:t>
      </w:r>
      <w:r>
        <w:rPr>
          <w:rFonts w:cs="Arial"/>
          <w:sz w:val="20"/>
        </w:rPr>
        <w:t>The technical data contained in this document is subject to U.S. export control laws and regulations under ITAR and EAR.</w:t>
      </w:r>
    </w:p>
    <w:p>
      <w:pPr>
        <w:spacing w:after="0" w:line="240" w:lineRule="auto"/>
        <w:jc w:val="center"/>
      </w:pPr>
      <w:r>
        <w:rPr>
          <w:rFonts w:cs="Arial"/>
          <w:b/>
          <w:sz w:val="20"/>
        </w:rPr>
        <w:t xml:space="preserve">Export Control/Limitations: </w:t>
      </w:r>
      <w:r>
        <w:rPr>
          <w:rFonts w:cs="Arial"/>
          <w:sz w:val="20"/>
        </w:rPr>
        <w:t>Export of this information may require an export license from the U.S. Department of Commerce or State Department.</w:t>
      </w:r>
    </w:p>
    <w:p>
      <w:pPr>
        <w:spacing w:after="0" w:line="240" w:lineRule="auto"/>
        <w:jc w:val="center"/>
      </w:pPr>
      <w:r>
        <w:rPr>
          <w:rFonts w:cs="Arial"/>
          <w:b/>
          <w:sz w:val="20"/>
        </w:rPr>
        <w:t xml:space="preserve">Handling and Destroying Documents: </w:t>
      </w:r>
      <w:r>
        <w:rPr>
          <w:rFonts w:cs="Arial"/>
          <w:sz w:val="20"/>
        </w:rPr>
        <w:t>This document contains proprietary information and must be handled according to NetworkTech corporate security protocols.</w:t>
      </w:r>
    </w:p>
    <w:p>
      <w:pPr>
        <w:spacing w:after="0" w:line="240" w:lineRule="auto"/>
        <w:jc w:val="center"/>
      </w:pPr>
      <w:r>
        <w:rPr>
          <w:rFonts w:cs="Arial"/>
          <w:b/>
          <w:sz w:val="20"/>
        </w:rPr>
        <w:t xml:space="preserve">Disclaimer Statement: </w:t>
      </w:r>
      <w:r>
        <w:rPr>
          <w:rFonts w:cs="Arial"/>
          <w:sz w:val="20"/>
        </w:rPr>
        <w:t>This specification is provided 'as is' without warranty. NetworkTech Solutions Inc. assumes no responsibility for implementation errors or performance variations.</w:t>
      </w:r>
    </w:p>
    <w:p>
      <w:pPr>
        <w:pStyle w:val="Title"/>
        <w:spacing w:before="120" w:after="120" w:line="360" w:lineRule="auto"/>
        <w:rPr>
          <w:u w:val="single"/>
        </w:rPr>
      </w:pPr>
      <w:r>
        <w:rPr>
          <w:u w:val="single"/>
        </w:rPr>
        <w:lastRenderedPageBreak/>
        <w:t>Table of Contents</w:t>
      </w:r>
    </w:p>
    <w:p>
      <w:pPr>
        <w:pStyle w:val="TOC1"/>
        <w:tabs>
          <w:tab w:val="left" w:pos="54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107926582" w:history="1">
        <w:r>
          <w:rPr>
            <w:rStyle w:val="Hyperlink"/>
            <w:noProof/>
            <w:snapToGrid w:val="0"/>
          </w:rPr>
          <w:t>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>
          <w:rPr>
            <w:rStyle w:val="Hyperlink"/>
            <w:noProof/>
            <w:snapToGrid w:val="0"/>
          </w:rPr>
          <w:t>Product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_Toc107926582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90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07926583" w:history="1">
        <w:r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>
          <w:rPr>
            <w:rStyle w:val="Hyperlink"/>
          </w:rPr>
          <w:t>Technical Specifications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_Toc107926583 \h </w:instrText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left" w:pos="54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7926587" w:history="1">
        <w:r>
          <w:rPr>
            <w:rStyle w:val="Hyperlink"/>
            <w:noProof/>
            <w:snapToGrid w:val="0"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>
          <w:rPr>
            <w:rStyle w:val="Hyperlink"/>
            <w:noProof/>
            <w:snapToGrid w:val="0"/>
          </w:rPr>
          <w:t>Installation and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_Toc107926587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r>
        <w:rPr>
          <w:b/>
        </w:rPr>
        <w:fldChar w:fldCharType="end"/>
      </w:r>
    </w:p>
    <w:p>
      <w:pPr>
        <w:pStyle w:val="Title"/>
        <w:spacing w:before="120" w:after="120" w:line="360" w:lineRule="auto"/>
        <w:rPr>
          <w:u w:val="single"/>
        </w:rPr>
      </w:pPr>
      <w:r>
        <w:rPr>
          <w:u w:val="single"/>
        </w:rPr>
        <w:t>List of Tables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Table </w:t>
      </w:r>
      <w:r>
        <w:rPr>
          <w:b w:val="0"/>
        </w:rPr>
        <w:t>1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ROUTER-100 Performance Specifications</w:t>
      </w:r>
      <w:r>
        <w:rPr>
          <w:b w:val="0"/>
          <w:webHidden/>
        </w:rPr>
        <w:tab/>
      </w:r>
      <w:r>
        <w:rPr>
          <w:b w:val="0"/>
          <w:webHidden/>
        </w:rPr>
        <w:t>11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Table </w:t>
      </w:r>
      <w:r>
        <w:rPr>
          <w:b w:val="0"/>
        </w:rPr>
        <w:t>2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Reference Standards and Documents</w:t>
      </w:r>
      <w:r>
        <w:rPr>
          <w:b w:val="0"/>
          <w:webHidden/>
        </w:rPr>
        <w:tab/>
      </w:r>
      <w:r>
        <w:rPr>
          <w:b w:val="0"/>
          <w:webHidden/>
        </w:rPr>
        <w:t>12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Table </w:t>
      </w:r>
      <w:r>
        <w:rPr>
          <w:b w:val="0"/>
        </w:rPr>
        <w:t>3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Port Configuration Summary</w:t>
      </w:r>
      <w:r>
        <w:rPr>
          <w:b w:val="0"/>
          <w:webHidden/>
        </w:rPr>
        <w:tab/>
      </w:r>
      <w:r>
        <w:rPr>
          <w:b w:val="0"/>
          <w:webHidden/>
        </w:rPr>
        <w:t>15</w:t>
      </w:r>
    </w:p>
    <w:p>
      <w:pPr>
        <w:pStyle w:val="Title"/>
        <w:spacing w:before="120" w:after="120" w:line="360" w:lineRule="auto"/>
        <w:rPr>
          <w:u w:val="single"/>
        </w:rPr>
      </w:pPr>
      <w:r>
        <w:rPr>
          <w:u w:val="single"/>
        </w:rPr>
        <w:t>List of Figures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Figure </w:t>
      </w:r>
      <w:r>
        <w:rPr>
          <w:b w:val="0"/>
        </w:rPr>
        <w:t>1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ROUTER-100 System Architecture</w:t>
      </w:r>
      <w:r>
        <w:rPr>
          <w:b w:val="0"/>
          <w:webHidden/>
        </w:rPr>
        <w:tab/>
      </w:r>
      <w:r>
        <w:rPr>
          <w:b w:val="0"/>
          <w:webHidden/>
        </w:rPr>
        <w:t>9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Figure </w:t>
      </w:r>
      <w:r>
        <w:rPr>
          <w:b w:val="0"/>
        </w:rPr>
        <w:t>2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Front Panel Layout and Connectors</w:t>
      </w:r>
      <w:r>
        <w:rPr>
          <w:b w:val="0"/>
          <w:webHidden/>
        </w:rPr>
        <w:tab/>
      </w:r>
      <w:r>
        <w:rPr>
          <w:b w:val="0"/>
          <w:webHidden/>
        </w:rPr>
        <w:t>13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Figure </w:t>
      </w:r>
      <w:r>
        <w:rPr>
          <w:b w:val="0"/>
        </w:rPr>
        <w:t>3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Network Topology Diagram</w:t>
      </w:r>
      <w:r>
        <w:rPr>
          <w:b w:val="0"/>
          <w:webHidden/>
        </w:rPr>
        <w:tab/>
      </w:r>
      <w:r>
        <w:rPr>
          <w:b w:val="0"/>
          <w:webHidden/>
        </w:rPr>
        <w:t>16</w:t>
      </w:r>
    </w:p>
    <w:p>
      <w:pPr>
        <w:pStyle w:val="Title"/>
        <w:spacing w:before="120" w:after="120" w:line="360" w:lineRule="auto"/>
        <w:rPr>
          <w:u w:val="single"/>
        </w:rPr>
      </w:pPr>
      <w:r>
        <w:rPr>
          <w:rFonts w:eastAsia="Times New Roman" w:cs="Times New Roman"/>
          <w:b w:val="0"/>
          <w:color w:val="FF0000"/>
          <w:sz w:val="24"/>
          <w:szCs w:val="20"/>
        </w:rPr>
        <w:br w:type="page"/>
      </w:r>
      <w:r>
        <w:rPr>
          <w:u w:val="single"/>
        </w:rPr>
        <w:lastRenderedPageBreak/>
        <w:t>Acronyms and Abbreviations</w:t>
      </w:r>
    </w:p>
    <w:tbl>
      <w:tblPr>
        <w:tblStyle w:val="TableGridLight"/>
        <w:tblW w:w="0" w:type="auto"/>
        <w:tblLook w:val="0600" w:firstRow="0" w:lastRow="0" w:firstColumn="0" w:lastColumn="0" w:noHBand="1" w:noVBand="1"/>
      </w:tblPr>
      <w:tblGrid>
        <w:gridCol w:w="1440"/>
        <w:gridCol w:w="7920"/>
      </w:tblGrid>
      <w:tr>
        <w:trPr>
          <w:trHeight w:val="43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BGP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Border Gateway Protocol - Internet routing protocol</w:t>
            </w:r>
          </w:p>
        </w:tc>
      </w:tr>
      <w:tr>
        <w:trPr>
          <w:trHeight w:val="43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OSPF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Open Shortest Path First - Link-state routing protocol</w:t>
            </w:r>
          </w:p>
        </w:tc>
      </w:tr>
      <w:tr>
        <w:trPr>
          <w:trHeight w:val="43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VLAN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Virtual Local Area Network - Network segmentation technology</w:t>
            </w:r>
          </w:p>
        </w:tc>
      </w:tr>
      <w:tr>
        <w:trPr>
          <w:trHeight w:val="43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QoS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Quality of Service - Network traffic prioritization</w:t>
            </w:r>
          </w:p>
        </w:tc>
      </w:tr>
      <w:tr>
        <w:trPr>
          <w:trHeight w:val="43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SNMP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Simple Network Management Protocol - Network monitoring standard</w:t>
            </w:r>
          </w:p>
        </w:tc>
      </w:tr>
    </w:tbl>
    <w:p>
      <w:pPr>
        <w:pStyle w:val="Heading1"/>
        <w:rPr>
          <w:snapToGrid w:val="0"/>
        </w:rPr>
      </w:pPr>
      <w:r>
        <w:rPr>
          <w:snapToGrid w:val="0"/>
        </w:rPr>
        <w:lastRenderedPageBreak/>
        <w:t>1. Product Overview</w:t>
      </w:r>
    </w:p>
    <w:p>
      <w:pPr>
        <w:spacing w:line="276" w:lineRule="auto"/>
      </w:pPr>
      <w:r>
        <w:t>The ROUTER-100 is a high-performance enterprise network router designed for mission-critical applications requiring maximum throughput, reliability, and security. This next-generation routing platform supports advanced features including dynamic routing protocols, traffic engineering, and comprehensive security policies. The system is built on a modular architecture that provides exceptional scalability and field-upgradability.</w:t>
      </w:r>
    </w:p>
    <w:p>
      <w:pPr>
        <w:keepNext/>
        <w:spacing w:after="0" w:line="240" w:lineRule="auto"/>
        <w:jc w:val="center"/>
      </w:pPr>
      <w:r>
        <w:rPr>
          <w:noProof/>
        </w:rPr>
        <w:drawing xmlns:wp="http://schemas.openxmlformats.org/drawingml/2006/wordprocessingDrawing">
          <wp:inline distT="0" distB="0" distL="0" distR="0">
            <wp:extent cx="6208881" cy="4976386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Figure1_Router100_Architecture.png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052" cy="4986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: Figure 1: ROUTER-100 System Architecture showing main processing unit, interface modules, and management subsystem</w:t>
      </w:r>
    </w:p>
    <w:p>
      <w:pPr>
        <w:pStyle w:val="Heading2"/>
        <w:tabs>
          <w:tab w:val="num" w:pos="1008"/>
        </w:tabs>
        <w:suppressAutoHyphens w:val="0"/>
        <w:spacing w:before="240" w:after="60" w:line="360" w:lineRule="auto"/>
        <w:jc w:val="both"/>
      </w:pPr>
      <w:r>
        <w:t>2.1 Technical Specifications</w:t>
      </w:r>
    </w:p>
    <w:p>
      <w:r>
        <w:t>The ROUTER-100 delivers industry-leading performance with forwarding rates up to 100 Gbps and support for up to 2 million routing table entries. The system features redundant power supplies, hot-swappable interface modules, and comprehensive fault tolerance mechanisms to ensure maximum network uptime.</w:t>
      </w:r>
    </w:p>
    <w:p>
      <w:pPr>
        <w:pStyle w:val="Caption"/>
        <w:spacing w:after="0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: Table 2: Reference Standards and Documents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576"/>
        <w:gridCol w:w="3919"/>
        <w:gridCol w:w="2250"/>
        <w:gridCol w:w="2610"/>
      </w:tblGrid>
      <w:tr>
        <w:trPr>
          <w:tblHeader/>
          <w:jc w:val="center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cs="Arial"/>
                <w:b/>
                <w:bCs/>
                <w:color w:val="000000"/>
                <w:sz w:val="20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2"/>
              </w:rPr>
              <w:t>#</w:t>
            </w:r>
          </w:p>
        </w:tc>
        <w:tc>
          <w:tcPr>
            <w:tcW w:w="3919" w:type="dxa"/>
            <w:shd w:val="clear" w:color="auto" w:fill="BFBFBF" w:themeFill="background1" w:themeFillShade="BF"/>
          </w:tcPr>
          <w:p>
            <w:pPr>
              <w:spacing w:after="0" w:line="240" w:lineRule="auto"/>
              <w:jc w:val="left"/>
              <w:rPr>
                <w:rFonts w:cs="Arial"/>
                <w:b/>
                <w:bCs/>
                <w:color w:val="000000"/>
                <w:sz w:val="20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2"/>
              </w:rPr>
              <w:t>Document Title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>
            <w:pPr>
              <w:spacing w:after="0" w:line="240" w:lineRule="auto"/>
              <w:jc w:val="left"/>
              <w:rPr>
                <w:rFonts w:cs="Arial"/>
                <w:b/>
                <w:bCs/>
                <w:color w:val="000000"/>
                <w:sz w:val="20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2"/>
              </w:rPr>
              <w:t>Document Number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>
            <w:pPr>
              <w:spacing w:after="0" w:line="240" w:lineRule="auto"/>
              <w:jc w:val="left"/>
              <w:rPr>
                <w:rFonts w:cs="Arial"/>
                <w:b/>
                <w:bCs/>
                <w:color w:val="000000"/>
                <w:sz w:val="20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2"/>
              </w:rPr>
              <w:t>Origin</w:t>
            </w:r>
          </w:p>
        </w:tc>
      </w:tr>
      <w:tr>
        <w:trPr>
          <w:trHeight w:val="432"/>
          <w:jc w:val="center"/>
        </w:trPr>
        <w:tc>
          <w:tcPr>
            <w:tcW w:w="57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919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RFC 4271 - Border Gateway Protocol 4</w:t>
            </w:r>
          </w:p>
        </w:tc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RFC-4271</w:t>
            </w:r>
          </w:p>
        </w:tc>
        <w:tc>
          <w:tcPr>
            <w:tcW w:w="261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IETF</w:t>
            </w:r>
          </w:p>
        </w:tc>
      </w:tr>
      <w:tr>
        <w:trPr>
          <w:trHeight w:val="432"/>
          <w:jc w:val="center"/>
        </w:trPr>
        <w:tc>
          <w:tcPr>
            <w:tcW w:w="57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919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RFC 2328 - OSPF Version 2</w:t>
            </w:r>
          </w:p>
        </w:tc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RFC-2328</w:t>
            </w:r>
          </w:p>
        </w:tc>
        <w:tc>
          <w:tcPr>
            <w:tcW w:w="261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IETF</w:t>
            </w:r>
          </w:p>
        </w:tc>
      </w:tr>
      <w:tr>
        <w:trPr>
          <w:trHeight w:val="432"/>
          <w:jc w:val="center"/>
        </w:trPr>
        <w:tc>
          <w:tcPr>
            <w:tcW w:w="57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919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IEEE 802.1Q VLAN Standard</w:t>
            </w:r>
          </w:p>
        </w:tc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IEEE-802.1Q</w:t>
            </w:r>
          </w:p>
        </w:tc>
        <w:tc>
          <w:tcPr>
            <w:tcW w:w="261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IEEE</w:t>
            </w:r>
          </w:p>
        </w:tc>
      </w:tr>
      <w:tr>
        <w:trPr>
          <w:trHeight w:val="432"/>
          <w:jc w:val="center"/>
        </w:trPr>
        <w:tc>
          <w:tcPr>
            <w:tcW w:w="57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919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ROUTER-100 Hardware Design Specification</w:t>
            </w:r>
          </w:p>
        </w:tc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HDS-R100-001</w:t>
            </w:r>
          </w:p>
        </w:tc>
        <w:tc>
          <w:tcPr>
            <w:tcW w:w="261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NetworkTech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