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Heading1"/>
        <w:rPr>
          <w:snapToGrid w:val="0"/>
        </w:rPr>
      </w:pPr>
      <w:r>
        <w:rPr>
          <w:snapToGrid w:val="0"/>
        </w:rPr>
        <w:lastRenderedPageBreak/>
        <w:t>General Information</w:t>
      </w:r>
    </w:p>
    <w:p>
      <w:pPr>
        <w:spacing w:line="276" w:lineRule="auto"/>
      </w:pPr>
      <w:r>
        <w:t>This procedure should be used to perform safe to mate (STM) testing of the CFC-400 Supervisor Board, PCA-1153-01/02.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