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Heading2"/>
        <w:tabs>
          <w:tab w:val="num" w:pos="1008"/>
        </w:tabs>
        <w:suppressAutoHyphens w:val="0"/>
        <w:spacing w:before="240" w:after="60" w:line="360" w:lineRule="auto"/>
        <w:jc w:val="both"/>
      </w:pPr>
      <w:r>
        <w:t>2.1 Technical Specifications</w:t>
      </w:r>
    </w:p>
    <w:p>
      <w:r>
        <w:t>This subsection contains detailed technical specifications for the component. All measurements are provided in standard units with appropriate tolerances specified for manufacturing requirements.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