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0</w:t>
      </w:r>
      <w:r>
        <w:t xml:space="preserve"> </w:t>
      </w:r>
      <w:r>
        <w:t xml:space="preserve">Report</w:t>
      </w:r>
    </w:p>
    <w:p>
      <w:pPr>
        <w:pStyle w:val="Author"/>
      </w:pPr>
      <w:r>
        <w:t xml:space="preserve">Rachel</w:t>
      </w:r>
      <w:r>
        <w:t xml:space="preserve"> </w:t>
      </w:r>
      <w:r>
        <w:t xml:space="preserve">Weber</w:t>
      </w:r>
    </w:p>
    <w:p>
      <w:pPr>
        <w:pStyle w:val="Date"/>
      </w:pPr>
      <w:r>
        <w:t xml:space="preserve">August</w:t>
      </w:r>
      <w:r>
        <w:t xml:space="preserve"> </w:t>
      </w:r>
      <w:r>
        <w:t xml:space="preserve">28,</w:t>
      </w:r>
      <w:r>
        <w:t xml:space="preserve"> </w:t>
      </w:r>
      <w:r>
        <w:t xml:space="preserve">2018</w:t>
      </w:r>
    </w:p>
    <w:p>
      <w:pPr>
        <w:pStyle w:val="Heading2"/>
      </w:pPr>
      <w:bookmarkStart w:id="21" w:name="introduction"/>
      <w:bookmarkEnd w:id="21"/>
      <w:r>
        <w:t xml:space="preserve">Introduction</w:t>
      </w:r>
    </w:p>
    <w:p>
      <w:pPr>
        <w:pStyle w:val="FirstParagraph"/>
      </w:pPr>
      <w:r>
        <w:t xml:space="preserve">The data contain 130 people, 101 of whom have no missing data. The question addressed in this report asks if one of the gel treatments used to improve gum health had a greater impact on patients after 1 year of use than others. Patients were given a placebo gel, no gel at all, or one of 3 levels of a gel containing medication. The study was randomized and 26 people were assigned to each treatment group. Table 1 shows the demographic distribution of the study population.</w:t>
      </w:r>
    </w:p>
    <w:p>
      <w:pPr>
        <w:pStyle w:val="TableCaption"/>
      </w:pPr>
      <w:r>
        <w:t xml:space="preserve">Table 1: Demographic Information</w:t>
      </w:r>
    </w:p>
    <w:tbl>
      <w:tblPr>
        <w:tblStyle w:val="TableNormal"/>
        <w:tblW w:type="pct" w:w="2291.666666666667"/>
        <w:tblLook/>
        <w:tblCaption w:val="Table 1: Demographic Information"/>
      </w:tblPr>
      <w:tblGrid>
        <w:gridCol w:w="2090"/>
        <w:gridCol w:w="1540"/>
      </w:tblGrid>
      <w:tr>
        <w:tc>
          <w:p>
            <w:pPr>
              <w:pStyle w:val="Compact"/>
            </w:pPr>
          </w:p>
        </w:tc>
        <w:tc>
          <w:p>
            <w:pPr>
              <w:pStyle w:val="Compact"/>
              <w:jc w:val="center"/>
            </w:pPr>
            <w:r>
              <w:t xml:space="preserve">N = 130</w:t>
            </w:r>
          </w:p>
        </w:tc>
      </w:tr>
      <w:tr>
        <w:tc>
          <w:p>
            <w:pPr>
              <w:pStyle w:val="Compact"/>
            </w:pPr>
          </w:p>
        </w:tc>
        <w:tc>
          <w:p>
            <w:pPr>
              <w:pStyle w:val="Compact"/>
              <w:jc w:val="center"/>
            </w:pPr>
            <w:r>
              <w:t xml:space="preserve">N(%)</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center"/>
            </w:pPr>
            <w:r>
              <w:t xml:space="preserve">54(42)</w:t>
            </w:r>
          </w:p>
        </w:tc>
      </w:tr>
      <w:tr>
        <w:tc>
          <w:p>
            <w:pPr>
              <w:pStyle w:val="Compact"/>
              <w:jc w:val="left"/>
            </w:pPr>
            <w:r>
              <w:t xml:space="preserve">Female</w:t>
            </w:r>
          </w:p>
        </w:tc>
        <w:tc>
          <w:p>
            <w:pPr>
              <w:pStyle w:val="Compact"/>
              <w:jc w:val="center"/>
            </w:pPr>
            <w:r>
              <w:t xml:space="preserve">76(58)</w:t>
            </w:r>
          </w:p>
        </w:tc>
      </w:tr>
      <w:tr>
        <w:tc>
          <w:p>
            <w:pPr>
              <w:pStyle w:val="Compact"/>
              <w:jc w:val="left"/>
            </w:pPr>
            <w:r>
              <w:t xml:space="preserve">Smoking Status</w:t>
            </w:r>
          </w:p>
        </w:tc>
        <w:tc>
          <w:p>
            <w:pPr>
              <w:pStyle w:val="Compact"/>
            </w:pPr>
          </w:p>
        </w:tc>
      </w:tr>
      <w:tr>
        <w:tc>
          <w:p>
            <w:pPr>
              <w:pStyle w:val="Compact"/>
              <w:jc w:val="left"/>
            </w:pPr>
            <w:r>
              <w:t xml:space="preserve">Nonsmoker</w:t>
            </w:r>
          </w:p>
        </w:tc>
        <w:tc>
          <w:p>
            <w:pPr>
              <w:pStyle w:val="Compact"/>
              <w:jc w:val="center"/>
            </w:pPr>
            <w:r>
              <w:t xml:space="preserve">81(62)</w:t>
            </w:r>
          </w:p>
        </w:tc>
      </w:tr>
      <w:tr>
        <w:tc>
          <w:p>
            <w:pPr>
              <w:pStyle w:val="Compact"/>
              <w:jc w:val="left"/>
            </w:pPr>
            <w:r>
              <w:t xml:space="preserve">Smoker</w:t>
            </w:r>
          </w:p>
        </w:tc>
        <w:tc>
          <w:p>
            <w:pPr>
              <w:pStyle w:val="Compact"/>
              <w:jc w:val="center"/>
            </w:pPr>
            <w:r>
              <w:t xml:space="preserve">48(37)</w:t>
            </w:r>
          </w:p>
        </w:tc>
      </w:tr>
      <w:tr>
        <w:tc>
          <w:p>
            <w:pPr>
              <w:pStyle w:val="Compact"/>
              <w:jc w:val="left"/>
            </w:pPr>
            <w:r>
              <w:t xml:space="preserve">Missing</w:t>
            </w:r>
          </w:p>
        </w:tc>
        <w:tc>
          <w:p>
            <w:pPr>
              <w:pStyle w:val="Compact"/>
              <w:jc w:val="center"/>
            </w:pPr>
            <w:r>
              <w:t xml:space="preserve">1(1)</w:t>
            </w:r>
          </w:p>
        </w:tc>
      </w:tr>
      <w:tr>
        <w:tc>
          <w:p>
            <w:pPr>
              <w:pStyle w:val="Compact"/>
              <w:jc w:val="left"/>
            </w:pPr>
            <w:r>
              <w:t xml:space="preserve">Race</w:t>
            </w:r>
          </w:p>
        </w:tc>
        <w:tc>
          <w:p>
            <w:pPr>
              <w:pStyle w:val="Compact"/>
            </w:pPr>
          </w:p>
        </w:tc>
      </w:tr>
      <w:tr>
        <w:tc>
          <w:p>
            <w:pPr>
              <w:pStyle w:val="Compact"/>
              <w:jc w:val="left"/>
            </w:pPr>
            <w:r>
              <w:t xml:space="preserve">Native American</w:t>
            </w:r>
          </w:p>
        </w:tc>
        <w:tc>
          <w:p>
            <w:pPr>
              <w:pStyle w:val="Compact"/>
              <w:jc w:val="center"/>
            </w:pPr>
            <w:r>
              <w:t xml:space="preserve">4(3)</w:t>
            </w:r>
          </w:p>
        </w:tc>
      </w:tr>
      <w:tr>
        <w:tc>
          <w:p>
            <w:pPr>
              <w:pStyle w:val="Compact"/>
              <w:jc w:val="left"/>
            </w:pPr>
            <w:r>
              <w:t xml:space="preserve">African American</w:t>
            </w:r>
          </w:p>
        </w:tc>
        <w:tc>
          <w:p>
            <w:pPr>
              <w:pStyle w:val="Compact"/>
              <w:jc w:val="center"/>
            </w:pPr>
            <w:r>
              <w:t xml:space="preserve">9(7)</w:t>
            </w:r>
          </w:p>
        </w:tc>
      </w:tr>
      <w:tr>
        <w:tc>
          <w:p>
            <w:pPr>
              <w:pStyle w:val="Compact"/>
              <w:jc w:val="left"/>
            </w:pPr>
            <w:r>
              <w:t xml:space="preserve">Asian</w:t>
            </w:r>
          </w:p>
        </w:tc>
        <w:tc>
          <w:p>
            <w:pPr>
              <w:pStyle w:val="Compact"/>
              <w:jc w:val="center"/>
            </w:pPr>
            <w:r>
              <w:t xml:space="preserve">3(2)</w:t>
            </w:r>
          </w:p>
        </w:tc>
      </w:tr>
      <w:tr>
        <w:tc>
          <w:p>
            <w:pPr>
              <w:pStyle w:val="Compact"/>
              <w:jc w:val="left"/>
            </w:pPr>
            <w:r>
              <w:t xml:space="preserve">White</w:t>
            </w:r>
          </w:p>
        </w:tc>
        <w:tc>
          <w:p>
            <w:pPr>
              <w:pStyle w:val="Compact"/>
              <w:jc w:val="center"/>
            </w:pPr>
            <w:r>
              <w:t xml:space="preserve">114(88)</w:t>
            </w:r>
          </w:p>
        </w:tc>
      </w:tr>
      <w:tr>
        <w:tc>
          <w:p>
            <w:pPr>
              <w:pStyle w:val="Compact"/>
            </w:pPr>
          </w:p>
        </w:tc>
        <w:tc>
          <w:p>
            <w:pPr>
              <w:pStyle w:val="Compact"/>
              <w:jc w:val="center"/>
            </w:pPr>
            <w:r>
              <w:t xml:space="preserve">Mean(SD)</w:t>
            </w:r>
          </w:p>
        </w:tc>
      </w:tr>
      <w:tr>
        <w:tc>
          <w:p>
            <w:pPr>
              <w:pStyle w:val="Compact"/>
              <w:jc w:val="left"/>
            </w:pPr>
            <w:r>
              <w:t xml:space="preserve">Age</w:t>
            </w:r>
          </w:p>
        </w:tc>
        <w:tc>
          <w:p>
            <w:pPr>
              <w:pStyle w:val="Compact"/>
              <w:jc w:val="center"/>
            </w:pPr>
            <w:r>
              <w:t xml:space="preserve">49.94(10.03)</w:t>
            </w:r>
          </w:p>
        </w:tc>
      </w:tr>
      <w:tr>
        <w:tc>
          <w:p>
            <w:pPr>
              <w:pStyle w:val="Compact"/>
              <w:jc w:val="left"/>
            </w:pPr>
            <w:r>
              <w:t xml:space="preserve">Missing</w:t>
            </w:r>
          </w:p>
        </w:tc>
        <w:tc>
          <w:p>
            <w:pPr>
              <w:pStyle w:val="Compact"/>
              <w:jc w:val="center"/>
            </w:pPr>
            <w:r>
              <w:t xml:space="preserve">1(1)</w:t>
            </w:r>
          </w:p>
        </w:tc>
      </w:tr>
    </w:tbl>
    <w:p>
      <w:pPr>
        <w:pStyle w:val="BodyText"/>
      </w:pPr>
      <w:r>
        <w:t xml:space="preserve">A good portion of participants were current smokers and since smoking is known to affect oral health, adjusting for smoking status when assessing treatment effects will be important. Though 130 were randomized, 101 will be used for analysis owing to their complete measurement status. The remaining 29 people without all measures will not be utilized.</w:t>
      </w:r>
    </w:p>
    <w:p>
      <w:pPr>
        <w:pStyle w:val="Heading2"/>
      </w:pPr>
      <w:bookmarkStart w:id="22" w:name="methods"/>
      <w:bookmarkEnd w:id="22"/>
      <w:r>
        <w:t xml:space="preserve">Methods</w:t>
      </w:r>
    </w:p>
    <w:p>
      <w:pPr>
        <w:pStyle w:val="FirstParagraph"/>
      </w:pPr>
      <w:r>
        <w:t xml:space="preserve">Before formal analysis began, some exploratory work was done to find trends in the data. Figure 1 below shows the relationship between patient values measured at baseline, and those measured at 1 year. There is a moderate linear relationship between the variables, seen by the large</w:t>
      </w:r>
    </w:p>
    <w:p>
      <w:pPr>
        <w:pStyle w:val="BodyText"/>
      </w:pPr>
      <m:oMathPara>
        <m:oMathParaPr>
          <m:jc m:val="center"/>
        </m:oMathParaPr>
        <m:oMath>
          <m:sSup>
            <m:e>
              <m:r>
                <m:t>R</m:t>
              </m:r>
            </m:e>
            <m:sup>
              <m:r>
                <m:t>2</m:t>
              </m:r>
            </m:sup>
          </m:sSup>
        </m:oMath>
      </m:oMathPara>
    </w:p>
    <w:p>
      <w:pPr>
        <w:pStyle w:val="FirstParagraph"/>
      </w:pPr>
      <w:r>
        <w:t xml:space="preserve">values, which indicates that including baseline values in a predictive model will be important in this studyfor the sake of improving predictive power.</w:t>
      </w:r>
    </w:p>
    <w:p>
      <w:pPr>
        <w:pStyle w:val="SourceCode"/>
      </w:pPr>
      <w:r>
        <w:rPr>
          <w:rStyle w:val="VerbatimChar"/>
        </w:rPr>
        <w:t xml:space="preserve">## Warning: Removed 27 rows containing non-finite values (stat_smooth).</w:t>
      </w:r>
    </w:p>
    <w:p>
      <w:pPr>
        <w:pStyle w:val="SourceCode"/>
      </w:pPr>
      <w:r>
        <w:rPr>
          <w:rStyle w:val="VerbatimChar"/>
        </w:rPr>
        <w:t xml:space="preserve">## Warning: Removed 27 rows containing missing values (geom_point).</w:t>
      </w:r>
    </w:p>
    <w:p>
      <w:pPr>
        <w:pStyle w:val="SourceCode"/>
      </w:pPr>
      <w:r>
        <w:rPr>
          <w:rStyle w:val="VerbatimChar"/>
        </w:rPr>
        <w:t xml:space="preserve">## Warning: Removed 28 rows containing non-finite values (stat_smooth).</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101 people with both before and after measurements were used for model assessment. 10 patients in treatment group 5 did not complete the study. This number accounts for 34.5% of the people who dropped out, a higher proportion than expected by chance.</w:t>
      </w:r>
      <w:r>
        <w:t xml:space="preserve"> </w:t>
      </w:r>
      <w:r>
        <w:t xml:space="preserve">Change in depth and attachment between baseline and 1 year was calculated to create the outcomes for modeling. 1 year values were subtracted from baseline values so positive difference scores are indicative of improvement in gum health.</w:t>
      </w:r>
    </w:p>
    <w:p>
      <w:pPr>
        <w:pStyle w:val="Heading2"/>
      </w:pPr>
      <w:bookmarkStart w:id="24" w:name="results"/>
      <w:bookmarkEnd w:id="24"/>
      <w:r>
        <w:t xml:space="preserve">Results</w:t>
      </w:r>
    </w:p>
    <w:p>
      <w:pPr>
        <w:pStyle w:val="FirstParagraph"/>
      </w:pPr>
      <w:r>
        <w:t xml:space="preserve">Since hydrating the gums can improve attachment and depth, 2 controls were used. One where patients received no gel for 1 year, and one were they used a gel that contained no active medication. T-tests comparing changes in gum depth and attachment between the two groups were run and the results are shown below.</w:t>
      </w:r>
    </w:p>
    <w:tbl>
      <w:tblPr>
        <w:tblStyle w:val="TableNormal"/>
        <w:tblW w:type="pct" w:w="4375.0"/>
        <w:tblLook w:firstRow="1"/>
      </w:tblPr>
      <w:tblGrid>
        <w:gridCol w:w="2200"/>
        <w:gridCol w:w="1870"/>
        <w:gridCol w:w="1870"/>
        <w:gridCol w:w="99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Placebo (N=22)</w:t>
            </w:r>
          </w:p>
        </w:tc>
        <w:tc>
          <w:tcPr>
            <w:tcBorders>
              <w:bottom w:val="single"/>
            </w:tcBorders>
            <w:vAlign w:val="bottom"/>
          </w:tcPr>
          <w:p>
            <w:pPr>
              <w:pStyle w:val="Compact"/>
              <w:jc w:val="center"/>
            </w:pPr>
            <w:r>
              <w:t xml:space="preserve">Control (N=23)</w:t>
            </w:r>
          </w:p>
        </w:tc>
        <w:tc>
          <w:tcPr>
            <w:tcBorders>
              <w:bottom w:val="single"/>
            </w:tcBorders>
            <w:vAlign w:val="bottom"/>
          </w:tcPr>
          <w:p>
            <w:pPr>
              <w:pStyle w:val="Compact"/>
              <w:jc w:val="center"/>
            </w:pPr>
            <w:r>
              <w:t xml:space="preserve">P-value</w:t>
            </w:r>
          </w:p>
        </w:tc>
      </w:tr>
      <w:tr>
        <w:tc>
          <w:p>
            <w:pPr>
              <w:pStyle w:val="Compact"/>
            </w:pPr>
          </w:p>
        </w:tc>
        <w:tc>
          <w:p>
            <w:pPr>
              <w:pStyle w:val="Compact"/>
              <w:jc w:val="center"/>
            </w:pPr>
            <w:r>
              <w:t xml:space="preserve">mean(sd)</w:t>
            </w:r>
          </w:p>
        </w:tc>
        <w:tc>
          <w:p>
            <w:pPr>
              <w:pStyle w:val="Compact"/>
              <w:jc w:val="center"/>
            </w:pPr>
            <w:r>
              <w:t xml:space="preserve">mean(sd)</w:t>
            </w:r>
          </w:p>
        </w:tc>
        <w:tc>
          <w:p>
            <w:pPr>
              <w:pStyle w:val="Compact"/>
              <w:jc w:val="center"/>
            </w:pPr>
            <w:r>
              <w:t xml:space="preserve">NA</w:t>
            </w:r>
          </w:p>
        </w:tc>
      </w:tr>
      <w:tr>
        <w:tc>
          <w:p>
            <w:pPr>
              <w:pStyle w:val="Compact"/>
              <w:jc w:val="center"/>
            </w:pPr>
            <w:r>
              <w:t xml:space="preserve">Attachment Change</w:t>
            </w:r>
          </w:p>
        </w:tc>
        <w:tc>
          <w:p>
            <w:pPr>
              <w:pStyle w:val="Compact"/>
              <w:jc w:val="center"/>
            </w:pPr>
            <w:r>
              <w:t xml:space="preserve">0.09(0.24)</w:t>
            </w:r>
          </w:p>
        </w:tc>
        <w:tc>
          <w:p>
            <w:pPr>
              <w:pStyle w:val="Compact"/>
              <w:jc w:val="center"/>
            </w:pPr>
            <w:r>
              <w:t xml:space="preserve">0.22(0.28)</w:t>
            </w:r>
          </w:p>
        </w:tc>
        <w:tc>
          <w:p>
            <w:pPr>
              <w:pStyle w:val="Compact"/>
              <w:jc w:val="center"/>
            </w:pPr>
            <w:r>
              <w:t xml:space="preserve">0.0884</w:t>
            </w:r>
          </w:p>
        </w:tc>
      </w:tr>
      <w:tr>
        <w:tc>
          <w:p>
            <w:pPr>
              <w:pStyle w:val="Compact"/>
              <w:jc w:val="center"/>
            </w:pPr>
            <w:r>
              <w:t xml:space="preserve">Depth Change</w:t>
            </w:r>
          </w:p>
        </w:tc>
        <w:tc>
          <w:p>
            <w:pPr>
              <w:pStyle w:val="Compact"/>
              <w:jc w:val="center"/>
            </w:pPr>
            <w:r>
              <w:t xml:space="preserve">0.35(0.28)</w:t>
            </w:r>
          </w:p>
        </w:tc>
        <w:tc>
          <w:p>
            <w:pPr>
              <w:pStyle w:val="Compact"/>
              <w:jc w:val="center"/>
            </w:pPr>
            <w:r>
              <w:t xml:space="preserve">0.22(0.28)</w:t>
            </w:r>
          </w:p>
        </w:tc>
        <w:tc>
          <w:p>
            <w:pPr>
              <w:pStyle w:val="Compact"/>
              <w:jc w:val="center"/>
            </w:pPr>
            <w:r>
              <w:t xml:space="preserve">0.8793</w:t>
            </w:r>
          </w:p>
        </w:tc>
      </w:tr>
    </w:tbl>
    <w:p>
      <w:pPr>
        <w:pStyle w:val="BodyText"/>
      </w:pPr>
      <w:r>
        <w:t xml:space="preserve">Neither p-value is significant. This indicates that there was no effect of the gel alone in improvement of a patient’s gum tissue over that seen in controls.</w:t>
      </w:r>
    </w:p>
    <w:p>
      <w:pPr>
        <w:pStyle w:val="BodyText"/>
      </w:pPr>
      <w:r>
        <w:t xml:space="preserve">An anova test assessing treatment effect on change in attachment indicated that overall treatment was significant (p-value: .117). After adjustment for baseline attachment and other demographic variables, treatment had no effect on gum attachment after 1 year.</w:t>
      </w:r>
    </w:p>
    <w:p>
      <w:pPr>
        <w:pStyle w:val="TableCaption"/>
      </w:pPr>
      <w:r>
        <w:t xml:space="preserve">Anova Table (Type II tests)</w:t>
      </w:r>
    </w:p>
    <w:tbl>
      <w:tblPr>
        <w:tblStyle w:val="TableNormal"/>
        <w:tblW w:type="pct" w:w="3680.555555555555"/>
        <w:tblLook w:firstRow="1"/>
        <w:tblCaption w:val="Anova Table (Type II tests)"/>
      </w:tblPr>
      <w:tblGrid>
        <w:gridCol w:w="1870"/>
        <w:gridCol w:w="1100"/>
        <w:gridCol w:w="550"/>
        <w:gridCol w:w="110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trtgroup</w:t>
            </w:r>
          </w:p>
        </w:tc>
        <w:tc>
          <w:p>
            <w:pPr>
              <w:pStyle w:val="Compact"/>
              <w:jc w:val="center"/>
            </w:pPr>
            <w:r>
              <w:t xml:space="preserve">0.4621</w:t>
            </w:r>
          </w:p>
        </w:tc>
        <w:tc>
          <w:p>
            <w:pPr>
              <w:pStyle w:val="Compact"/>
              <w:jc w:val="center"/>
            </w:pPr>
            <w:r>
              <w:t xml:space="preserve">4</w:t>
            </w:r>
          </w:p>
        </w:tc>
        <w:tc>
          <w:p>
            <w:pPr>
              <w:pStyle w:val="Compact"/>
              <w:jc w:val="center"/>
            </w:pPr>
            <w:r>
              <w:t xml:space="preserve">1.903</w:t>
            </w:r>
          </w:p>
        </w:tc>
        <w:tc>
          <w:p>
            <w:pPr>
              <w:pStyle w:val="Compact"/>
              <w:jc w:val="center"/>
            </w:pPr>
            <w:r>
              <w:t xml:space="preserve">0.1166</w:t>
            </w:r>
          </w:p>
        </w:tc>
      </w:tr>
      <w:tr>
        <w:tc>
          <w:p>
            <w:pPr>
              <w:pStyle w:val="Compact"/>
              <w:jc w:val="center"/>
            </w:pPr>
            <w:r>
              <w:rPr>
                <w:b/>
              </w:rPr>
              <w:t xml:space="preserve">attachbase</w:t>
            </w:r>
          </w:p>
        </w:tc>
        <w:tc>
          <w:p>
            <w:pPr>
              <w:pStyle w:val="Compact"/>
              <w:jc w:val="center"/>
            </w:pPr>
            <w:r>
              <w:t xml:space="preserve">0.8747</w:t>
            </w:r>
          </w:p>
        </w:tc>
        <w:tc>
          <w:p>
            <w:pPr>
              <w:pStyle w:val="Compact"/>
              <w:jc w:val="center"/>
            </w:pPr>
            <w:r>
              <w:t xml:space="preserve">1</w:t>
            </w:r>
          </w:p>
        </w:tc>
        <w:tc>
          <w:p>
            <w:pPr>
              <w:pStyle w:val="Compact"/>
              <w:jc w:val="center"/>
            </w:pPr>
            <w:r>
              <w:t xml:space="preserve">14.41</w:t>
            </w:r>
          </w:p>
        </w:tc>
        <w:tc>
          <w:p>
            <w:pPr>
              <w:pStyle w:val="Compact"/>
              <w:jc w:val="center"/>
            </w:pPr>
            <w:r>
              <w:t xml:space="preserve">0.0002632</w:t>
            </w:r>
          </w:p>
        </w:tc>
      </w:tr>
      <w:tr>
        <w:tc>
          <w:p>
            <w:pPr>
              <w:pStyle w:val="Compact"/>
              <w:jc w:val="center"/>
            </w:pPr>
            <w:r>
              <w:rPr>
                <w:b/>
              </w:rPr>
              <w:t xml:space="preserve">smoker</w:t>
            </w:r>
          </w:p>
        </w:tc>
        <w:tc>
          <w:p>
            <w:pPr>
              <w:pStyle w:val="Compact"/>
              <w:jc w:val="center"/>
            </w:pPr>
            <w:r>
              <w:t xml:space="preserve">0.1509</w:t>
            </w:r>
          </w:p>
        </w:tc>
        <w:tc>
          <w:p>
            <w:pPr>
              <w:pStyle w:val="Compact"/>
              <w:jc w:val="center"/>
            </w:pPr>
            <w:r>
              <w:t xml:space="preserve">1</w:t>
            </w:r>
          </w:p>
        </w:tc>
        <w:tc>
          <w:p>
            <w:pPr>
              <w:pStyle w:val="Compact"/>
              <w:jc w:val="center"/>
            </w:pPr>
            <w:r>
              <w:t xml:space="preserve">2.485</w:t>
            </w:r>
          </w:p>
        </w:tc>
        <w:tc>
          <w:p>
            <w:pPr>
              <w:pStyle w:val="Compact"/>
              <w:jc w:val="center"/>
            </w:pPr>
            <w:r>
              <w:t xml:space="preserve">0.1183</w:t>
            </w:r>
          </w:p>
        </w:tc>
      </w:tr>
      <w:tr>
        <w:tc>
          <w:p>
            <w:pPr>
              <w:pStyle w:val="Compact"/>
              <w:jc w:val="center"/>
            </w:pPr>
            <w:r>
              <w:rPr>
                <w:b/>
              </w:rPr>
              <w:t xml:space="preserve">age</w:t>
            </w:r>
          </w:p>
        </w:tc>
        <w:tc>
          <w:p>
            <w:pPr>
              <w:pStyle w:val="Compact"/>
              <w:jc w:val="center"/>
            </w:pPr>
            <w:r>
              <w:t xml:space="preserve">0.05312</w:t>
            </w:r>
          </w:p>
        </w:tc>
        <w:tc>
          <w:p>
            <w:pPr>
              <w:pStyle w:val="Compact"/>
              <w:jc w:val="center"/>
            </w:pPr>
            <w:r>
              <w:t xml:space="preserve">1</w:t>
            </w:r>
          </w:p>
        </w:tc>
        <w:tc>
          <w:p>
            <w:pPr>
              <w:pStyle w:val="Compact"/>
              <w:jc w:val="center"/>
            </w:pPr>
            <w:r>
              <w:t xml:space="preserve">0.8751</w:t>
            </w:r>
          </w:p>
        </w:tc>
        <w:tc>
          <w:p>
            <w:pPr>
              <w:pStyle w:val="Compact"/>
              <w:jc w:val="center"/>
            </w:pPr>
            <w:r>
              <w:t xml:space="preserve">0.352</w:t>
            </w:r>
          </w:p>
        </w:tc>
      </w:tr>
      <w:tr>
        <w:tc>
          <w:p>
            <w:pPr>
              <w:pStyle w:val="Compact"/>
              <w:jc w:val="center"/>
            </w:pPr>
            <w:r>
              <w:rPr>
                <w:b/>
              </w:rPr>
              <w:t xml:space="preserve">sex</w:t>
            </w:r>
          </w:p>
        </w:tc>
        <w:tc>
          <w:p>
            <w:pPr>
              <w:pStyle w:val="Compact"/>
              <w:jc w:val="center"/>
            </w:pPr>
            <w:r>
              <w:t xml:space="preserve">0.03924</w:t>
            </w:r>
          </w:p>
        </w:tc>
        <w:tc>
          <w:p>
            <w:pPr>
              <w:pStyle w:val="Compact"/>
              <w:jc w:val="center"/>
            </w:pPr>
            <w:r>
              <w:t xml:space="preserve">1</w:t>
            </w:r>
          </w:p>
        </w:tc>
        <w:tc>
          <w:p>
            <w:pPr>
              <w:pStyle w:val="Compact"/>
              <w:jc w:val="center"/>
            </w:pPr>
            <w:r>
              <w:t xml:space="preserve">0.6464</w:t>
            </w:r>
          </w:p>
        </w:tc>
        <w:tc>
          <w:p>
            <w:pPr>
              <w:pStyle w:val="Compact"/>
              <w:jc w:val="center"/>
            </w:pPr>
            <w:r>
              <w:t xml:space="preserve">0.4235</w:t>
            </w:r>
          </w:p>
        </w:tc>
      </w:tr>
      <w:tr>
        <w:tc>
          <w:p>
            <w:pPr>
              <w:pStyle w:val="Compact"/>
              <w:jc w:val="center"/>
            </w:pPr>
            <w:r>
              <w:rPr>
                <w:b/>
              </w:rPr>
              <w:t xml:space="preserve">Residuals</w:t>
            </w:r>
          </w:p>
        </w:tc>
        <w:tc>
          <w:p>
            <w:pPr>
              <w:pStyle w:val="Compact"/>
              <w:jc w:val="center"/>
            </w:pPr>
            <w:r>
              <w:t xml:space="preserve">5.585</w:t>
            </w:r>
          </w:p>
        </w:tc>
        <w:tc>
          <w:p>
            <w:pPr>
              <w:pStyle w:val="Compact"/>
              <w:jc w:val="center"/>
            </w:pPr>
            <w:r>
              <w:t xml:space="preserve">92</w:t>
            </w:r>
          </w:p>
        </w:tc>
        <w:tc>
          <w:p>
            <w:pPr>
              <w:pStyle w:val="Compact"/>
              <w:jc w:val="center"/>
            </w:pPr>
            <w:r>
              <w:t xml:space="preserve">NA</w:t>
            </w:r>
          </w:p>
        </w:tc>
        <w:tc>
          <w:p>
            <w:pPr>
              <w:pStyle w:val="Compact"/>
              <w:jc w:val="center"/>
            </w:pPr>
            <w:r>
              <w:t xml:space="preserve">NA</w:t>
            </w:r>
          </w:p>
        </w:tc>
      </w:tr>
    </w:tbl>
    <w:p>
      <w:pPr>
        <w:pStyle w:val="BodyText"/>
      </w:pPr>
      <w:r>
        <w:t xml:space="preserve">An anova test assessing change in depth predicted by treatment group was non-significant (p-value: .112). After adjustment for baseline attachment and other demographic variables, treatment had no effect on pocket depth after 1 year.</w:t>
      </w:r>
    </w:p>
    <w:p>
      <w:pPr>
        <w:pStyle w:val="TableCaption"/>
      </w:pPr>
      <w:r>
        <w:t xml:space="preserve">Analysis of Deviance Table (Type II tests)</w:t>
      </w:r>
    </w:p>
    <w:tbl>
      <w:tblPr>
        <w:tblStyle w:val="TableNormal"/>
        <w:tblW w:type="pct" w:w="2986.111111111111"/>
        <w:tblLook w:firstRow="1"/>
        <w:tblCaption w:val="Analysis of Deviance Table (Type II tests)"/>
      </w:tblPr>
      <w:tblGrid>
        <w:gridCol w:w="1650"/>
        <w:gridCol w:w="1210"/>
        <w:gridCol w:w="55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LR Chisq</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Pr(&gt;Chisq)</w:t>
            </w:r>
          </w:p>
        </w:tc>
      </w:tr>
      <w:tr>
        <w:tc>
          <w:p>
            <w:pPr>
              <w:pStyle w:val="Compact"/>
              <w:jc w:val="center"/>
            </w:pPr>
            <w:r>
              <w:rPr>
                <w:b/>
              </w:rPr>
              <w:t xml:space="preserve">trtgroup</w:t>
            </w:r>
          </w:p>
        </w:tc>
        <w:tc>
          <w:p>
            <w:pPr>
              <w:pStyle w:val="Compact"/>
              <w:jc w:val="center"/>
            </w:pPr>
            <w:r>
              <w:t xml:space="preserve">7.503</w:t>
            </w:r>
          </w:p>
        </w:tc>
        <w:tc>
          <w:p>
            <w:pPr>
              <w:pStyle w:val="Compact"/>
              <w:jc w:val="center"/>
            </w:pPr>
            <w:r>
              <w:t xml:space="preserve">4</w:t>
            </w:r>
          </w:p>
        </w:tc>
        <w:tc>
          <w:p>
            <w:pPr>
              <w:pStyle w:val="Compact"/>
              <w:jc w:val="center"/>
            </w:pPr>
            <w:r>
              <w:t xml:space="preserve">0.1116</w:t>
            </w:r>
          </w:p>
        </w:tc>
      </w:tr>
      <w:tr>
        <w:tc>
          <w:p>
            <w:pPr>
              <w:pStyle w:val="Compact"/>
              <w:jc w:val="center"/>
            </w:pPr>
            <w:r>
              <w:rPr>
                <w:b/>
              </w:rPr>
              <w:t xml:space="preserve">pdbase</w:t>
            </w:r>
          </w:p>
        </w:tc>
        <w:tc>
          <w:p>
            <w:pPr>
              <w:pStyle w:val="Compact"/>
              <w:jc w:val="center"/>
            </w:pPr>
            <w:r>
              <w:t xml:space="preserve">2.702</w:t>
            </w:r>
          </w:p>
        </w:tc>
        <w:tc>
          <w:p>
            <w:pPr>
              <w:pStyle w:val="Compact"/>
              <w:jc w:val="center"/>
            </w:pPr>
            <w:r>
              <w:t xml:space="preserve">1</w:t>
            </w:r>
          </w:p>
        </w:tc>
        <w:tc>
          <w:p>
            <w:pPr>
              <w:pStyle w:val="Compact"/>
              <w:jc w:val="center"/>
            </w:pPr>
            <w:r>
              <w:t xml:space="preserve">0.1002</w:t>
            </w:r>
          </w:p>
        </w:tc>
      </w:tr>
      <w:tr>
        <w:tc>
          <w:p>
            <w:pPr>
              <w:pStyle w:val="Compact"/>
              <w:jc w:val="center"/>
            </w:pPr>
            <w:r>
              <w:rPr>
                <w:b/>
              </w:rPr>
              <w:t xml:space="preserve">smoker</w:t>
            </w:r>
          </w:p>
        </w:tc>
        <w:tc>
          <w:p>
            <w:pPr>
              <w:pStyle w:val="Compact"/>
              <w:jc w:val="center"/>
            </w:pPr>
            <w:r>
              <w:t xml:space="preserve">0.08163</w:t>
            </w:r>
          </w:p>
        </w:tc>
        <w:tc>
          <w:p>
            <w:pPr>
              <w:pStyle w:val="Compact"/>
              <w:jc w:val="center"/>
            </w:pPr>
            <w:r>
              <w:t xml:space="preserve">1</w:t>
            </w:r>
          </w:p>
        </w:tc>
        <w:tc>
          <w:p>
            <w:pPr>
              <w:pStyle w:val="Compact"/>
              <w:jc w:val="center"/>
            </w:pPr>
            <w:r>
              <w:t xml:space="preserve">0.7751</w:t>
            </w:r>
          </w:p>
        </w:tc>
      </w:tr>
      <w:tr>
        <w:tc>
          <w:p>
            <w:pPr>
              <w:pStyle w:val="Compact"/>
              <w:jc w:val="center"/>
            </w:pPr>
            <w:r>
              <w:rPr>
                <w:b/>
              </w:rPr>
              <w:t xml:space="preserve">age</w:t>
            </w:r>
          </w:p>
        </w:tc>
        <w:tc>
          <w:p>
            <w:pPr>
              <w:pStyle w:val="Compact"/>
              <w:jc w:val="center"/>
            </w:pPr>
            <w:r>
              <w:t xml:space="preserve">0.972</w:t>
            </w:r>
          </w:p>
        </w:tc>
        <w:tc>
          <w:p>
            <w:pPr>
              <w:pStyle w:val="Compact"/>
              <w:jc w:val="center"/>
            </w:pPr>
            <w:r>
              <w:t xml:space="preserve">1</w:t>
            </w:r>
          </w:p>
        </w:tc>
        <w:tc>
          <w:p>
            <w:pPr>
              <w:pStyle w:val="Compact"/>
              <w:jc w:val="center"/>
            </w:pPr>
            <w:r>
              <w:t xml:space="preserve">0.3242</w:t>
            </w:r>
          </w:p>
        </w:tc>
      </w:tr>
      <w:tr>
        <w:tc>
          <w:p>
            <w:pPr>
              <w:pStyle w:val="Compact"/>
              <w:jc w:val="center"/>
            </w:pPr>
            <w:r>
              <w:rPr>
                <w:b/>
              </w:rPr>
              <w:t xml:space="preserve">sex</w:t>
            </w:r>
          </w:p>
        </w:tc>
        <w:tc>
          <w:p>
            <w:pPr>
              <w:pStyle w:val="Compact"/>
              <w:jc w:val="center"/>
            </w:pPr>
            <w:r>
              <w:t xml:space="preserve">2.545</w:t>
            </w:r>
          </w:p>
        </w:tc>
        <w:tc>
          <w:p>
            <w:pPr>
              <w:pStyle w:val="Compact"/>
              <w:jc w:val="center"/>
            </w:pPr>
            <w:r>
              <w:t xml:space="preserve">1</w:t>
            </w:r>
          </w:p>
        </w:tc>
        <w:tc>
          <w:p>
            <w:pPr>
              <w:pStyle w:val="Compact"/>
              <w:jc w:val="center"/>
            </w:pPr>
            <w:r>
              <w:t xml:space="preserve">0.1107</w:t>
            </w:r>
          </w:p>
        </w:tc>
      </w:tr>
    </w:tbl>
    <w:p>
      <w:pPr>
        <w:pStyle w:val="Heading2"/>
      </w:pPr>
      <w:bookmarkStart w:id="25" w:name="conclusion"/>
      <w:bookmarkEnd w:id="25"/>
      <w:r>
        <w:t xml:space="preserve">Conclusion:</w:t>
      </w:r>
    </w:p>
    <w:p>
      <w:pPr>
        <w:pStyle w:val="FirstParagraph"/>
      </w:pPr>
      <w:r>
        <w:t xml:space="preserve">Our results indicate that attachment loss and pocket depth of patient gums are not impacted by treatment levels in the medicated gel used in this study. No treatment confered a significant change in measured outcome. Additionally, we found that there is no difference in gum health between people who receive no gel, and those who receive a placebo gel. Though it was suspected that the increased hydration that results from using a gel could itself improve gum health, the data do not support this hypothesis.</w:t>
      </w:r>
      <w:r>
        <w:t xml:space="preserve"> </w:t>
      </w:r>
      <w:r>
        <w:t xml:space="preserve">A larger portion of patients in treatment group 5 did not complete follow-up assessments than those in other groups. We consider their data</w:t>
      </w:r>
      <w:r>
        <w:t xml:space="preserve"> </w:t>
      </w:r>
      <w:r>
        <w:t xml:space="preserve">‘</w:t>
      </w:r>
      <w:r>
        <w:t xml:space="preserve">not missing at random</w:t>
      </w:r>
      <w:r>
        <w:t xml:space="preserve">’</w:t>
      </w:r>
      <w:r>
        <w:t xml:space="preserve"> </w:t>
      </w:r>
      <w:r>
        <w:t xml:space="preserve">and it may be worth investigating why a disproportionately larger group of people assigned high levels of medicated gel failed to complete the study.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f267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 Report</dc:title>
  <dc:creator>Rachel Weber</dc:creator>
  <dcterms:created xsi:type="dcterms:W3CDTF">2018-09-06T21:08:34Z</dcterms:created>
  <dcterms:modified xsi:type="dcterms:W3CDTF">2018-09-06T21:08:34Z</dcterms:modified>
</cp:coreProperties>
</file>