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20F63" w14:textId="143B7D4A" w:rsidR="00845858" w:rsidRDefault="00845858" w:rsidP="00845858">
      <w:pPr>
        <w:pStyle w:val="Heading1"/>
        <w:pBdr>
          <w:bottom w:val="single" w:sz="12" w:space="1" w:color="auto"/>
        </w:pBdr>
        <w:spacing w:before="0" w:line="240" w:lineRule="auto"/>
        <w:rPr>
          <w:color w:val="auto"/>
        </w:rPr>
      </w:pPr>
    </w:p>
    <w:p w14:paraId="5C56AFF4" w14:textId="32E58B37" w:rsidR="00845858" w:rsidRPr="008E0746" w:rsidRDefault="00845858" w:rsidP="00845858">
      <w:pPr>
        <w:pStyle w:val="Title"/>
        <w:rPr>
          <w:sz w:val="44"/>
        </w:rPr>
      </w:pPr>
      <w:r w:rsidRPr="008E0746">
        <w:rPr>
          <w:sz w:val="44"/>
        </w:rPr>
        <w:t>Project 3: Death Rates across 44 VA Hospitals</w:t>
      </w:r>
    </w:p>
    <w:p w14:paraId="7B8287BC" w14:textId="3AFA2F81" w:rsidR="00845858" w:rsidRPr="00845858" w:rsidRDefault="00845858" w:rsidP="00845858">
      <w:pPr>
        <w:pStyle w:val="Heading2"/>
        <w:spacing w:before="0"/>
        <w:rPr>
          <w:color w:val="auto"/>
        </w:rPr>
      </w:pPr>
      <w:r w:rsidRPr="00845858">
        <w:rPr>
          <w:color w:val="auto"/>
        </w:rPr>
        <w:t>Rachel Weber</w:t>
      </w:r>
    </w:p>
    <w:p w14:paraId="2AFD3EEE" w14:textId="7C7FB7E1" w:rsidR="00845858" w:rsidRPr="00845858" w:rsidRDefault="00845858" w:rsidP="00845858">
      <w:pPr>
        <w:pStyle w:val="Heading2"/>
        <w:pBdr>
          <w:bottom w:val="single" w:sz="12" w:space="1" w:color="auto"/>
        </w:pBdr>
        <w:spacing w:before="0"/>
        <w:rPr>
          <w:color w:val="auto"/>
        </w:rPr>
      </w:pPr>
      <w:r w:rsidRPr="00845858">
        <w:rPr>
          <w:color w:val="auto"/>
        </w:rPr>
        <w:t>November 24, 2018</w:t>
      </w:r>
    </w:p>
    <w:p w14:paraId="1F1275D1" w14:textId="336C49C4" w:rsidR="00950B5A" w:rsidRPr="002461CF" w:rsidRDefault="00950B5A" w:rsidP="002461CF">
      <w:pPr>
        <w:pStyle w:val="Heading1"/>
        <w:rPr>
          <w:color w:val="auto"/>
        </w:rPr>
      </w:pPr>
      <w:r w:rsidRPr="002461CF">
        <w:rPr>
          <w:color w:val="auto"/>
        </w:rPr>
        <w:t>Background</w:t>
      </w:r>
    </w:p>
    <w:p w14:paraId="101B1CBA" w14:textId="251A203C" w:rsidR="00950B5A" w:rsidRDefault="002F7B03" w:rsidP="00950B5A">
      <w:pPr>
        <w:spacing w:line="480" w:lineRule="auto"/>
      </w:pPr>
      <w:r>
        <w:t xml:space="preserve">There are </w:t>
      </w:r>
      <w:r w:rsidR="00950B5A" w:rsidRPr="00950B5A">
        <w:t xml:space="preserve">26,489 </w:t>
      </w:r>
      <w:r>
        <w:t>patients</w:t>
      </w:r>
      <w:r w:rsidR="00950B5A" w:rsidRPr="00950B5A">
        <w:t xml:space="preserve"> in the data set, spanning 6 </w:t>
      </w:r>
      <w:proofErr w:type="gramStart"/>
      <w:r w:rsidR="00950B5A" w:rsidRPr="00950B5A">
        <w:t>consecutive</w:t>
      </w:r>
      <w:proofErr w:type="gramEnd"/>
      <w:r w:rsidR="00950B5A" w:rsidRPr="00950B5A">
        <w:t xml:space="preserve"> six month periods. The data contain patient information for height, weight, BMI, albumin levels, ASA, procedure code, and </w:t>
      </w:r>
      <w:r w:rsidR="00845858">
        <w:t>whether</w:t>
      </w:r>
      <w:r w:rsidR="00950B5A" w:rsidRPr="00950B5A">
        <w:t xml:space="preserve"> the patient died within 30 days. Table 1 below summarizes patient info, stratified by death within 30 days.</w:t>
      </w:r>
    </w:p>
    <w:p w14:paraId="2FB0378B" w14:textId="107BB957" w:rsidR="000D417E" w:rsidRPr="00845858" w:rsidRDefault="000D417E" w:rsidP="00845858">
      <w:pPr>
        <w:pStyle w:val="BodyText"/>
        <w:jc w:val="center"/>
        <w:rPr>
          <w:sz w:val="20"/>
        </w:rPr>
      </w:pPr>
      <w:r w:rsidRPr="00845858">
        <w:rPr>
          <w:i/>
          <w:sz w:val="20"/>
        </w:rPr>
        <w:t xml:space="preserve">Table 1: Patient Information by </w:t>
      </w:r>
      <w:r w:rsidR="00845858">
        <w:rPr>
          <w:i/>
          <w:sz w:val="20"/>
        </w:rPr>
        <w:t>Death within 30 Days</w:t>
      </w:r>
    </w:p>
    <w:tbl>
      <w:tblPr>
        <w:tblStyle w:val="PlainTable2"/>
        <w:tblW w:w="3333" w:type="pct"/>
        <w:jc w:val="center"/>
        <w:tblLook w:val="0620" w:firstRow="1" w:lastRow="0" w:firstColumn="0" w:lastColumn="0" w:noHBand="1" w:noVBand="1"/>
      </w:tblPr>
      <w:tblGrid>
        <w:gridCol w:w="2047"/>
        <w:gridCol w:w="2096"/>
        <w:gridCol w:w="2096"/>
      </w:tblGrid>
      <w:tr w:rsidR="000D417E" w14:paraId="5F75DF7A" w14:textId="77777777" w:rsidTr="00845858">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64F939C" w14:textId="77777777" w:rsidR="000D417E" w:rsidRPr="00845858" w:rsidRDefault="000D417E">
            <w:pPr>
              <w:pStyle w:val="Compact"/>
              <w:rPr>
                <w:sz w:val="20"/>
                <w:szCs w:val="20"/>
              </w:rPr>
            </w:pPr>
          </w:p>
        </w:tc>
        <w:tc>
          <w:tcPr>
            <w:tcW w:w="0" w:type="auto"/>
            <w:hideMark/>
          </w:tcPr>
          <w:p w14:paraId="2F19D2B9" w14:textId="1C5394AE" w:rsidR="00845858" w:rsidRPr="00845858" w:rsidRDefault="000D417E">
            <w:pPr>
              <w:pStyle w:val="Compact"/>
              <w:jc w:val="center"/>
              <w:rPr>
                <w:sz w:val="20"/>
                <w:szCs w:val="20"/>
              </w:rPr>
            </w:pPr>
            <w:r w:rsidRPr="00845858">
              <w:rPr>
                <w:sz w:val="20"/>
                <w:szCs w:val="20"/>
              </w:rPr>
              <w:t xml:space="preserve">  </w:t>
            </w:r>
            <w:r w:rsidR="00845858">
              <w:rPr>
                <w:sz w:val="20"/>
                <w:szCs w:val="20"/>
              </w:rPr>
              <w:t>Survived</w:t>
            </w:r>
          </w:p>
          <w:p w14:paraId="05DE7F6C" w14:textId="44EC0F75" w:rsidR="000D417E" w:rsidRPr="00845858" w:rsidRDefault="000D417E">
            <w:pPr>
              <w:pStyle w:val="Compact"/>
              <w:jc w:val="center"/>
              <w:rPr>
                <w:sz w:val="20"/>
                <w:szCs w:val="20"/>
              </w:rPr>
            </w:pPr>
            <w:r w:rsidRPr="00845858">
              <w:rPr>
                <w:sz w:val="20"/>
                <w:szCs w:val="20"/>
              </w:rPr>
              <w:t>N = 25,259</w:t>
            </w:r>
          </w:p>
        </w:tc>
        <w:tc>
          <w:tcPr>
            <w:tcW w:w="0" w:type="auto"/>
            <w:hideMark/>
          </w:tcPr>
          <w:p w14:paraId="65BA9A59" w14:textId="7651CB78" w:rsidR="00845858" w:rsidRPr="00845858" w:rsidRDefault="000D417E">
            <w:pPr>
              <w:pStyle w:val="Compact"/>
              <w:jc w:val="center"/>
              <w:rPr>
                <w:sz w:val="20"/>
                <w:szCs w:val="20"/>
              </w:rPr>
            </w:pPr>
            <w:r w:rsidRPr="00845858">
              <w:rPr>
                <w:sz w:val="20"/>
                <w:szCs w:val="20"/>
              </w:rPr>
              <w:t> </w:t>
            </w:r>
            <w:r w:rsidR="00845858">
              <w:rPr>
                <w:sz w:val="20"/>
                <w:szCs w:val="20"/>
              </w:rPr>
              <w:t>Died</w:t>
            </w:r>
          </w:p>
          <w:p w14:paraId="43CB0B1B" w14:textId="04F92986" w:rsidR="000D417E" w:rsidRPr="00845858" w:rsidRDefault="000D417E">
            <w:pPr>
              <w:pStyle w:val="Compact"/>
              <w:jc w:val="center"/>
              <w:rPr>
                <w:sz w:val="20"/>
                <w:szCs w:val="20"/>
              </w:rPr>
            </w:pPr>
            <w:r w:rsidRPr="00845858">
              <w:rPr>
                <w:sz w:val="20"/>
                <w:szCs w:val="20"/>
              </w:rPr>
              <w:t xml:space="preserve"> N = 693</w:t>
            </w:r>
          </w:p>
        </w:tc>
      </w:tr>
      <w:tr w:rsidR="00845858" w14:paraId="5ADE21A3" w14:textId="77777777" w:rsidTr="00845858">
        <w:trPr>
          <w:jc w:val="center"/>
        </w:trPr>
        <w:tc>
          <w:tcPr>
            <w:tcW w:w="0" w:type="auto"/>
          </w:tcPr>
          <w:p w14:paraId="2A828020" w14:textId="77777777" w:rsidR="00845858" w:rsidRPr="00845858" w:rsidRDefault="00845858">
            <w:pPr>
              <w:pStyle w:val="Compact"/>
              <w:rPr>
                <w:sz w:val="20"/>
                <w:szCs w:val="20"/>
              </w:rPr>
            </w:pPr>
          </w:p>
        </w:tc>
        <w:tc>
          <w:tcPr>
            <w:tcW w:w="0" w:type="auto"/>
          </w:tcPr>
          <w:p w14:paraId="6B7A1594" w14:textId="5416EEDC" w:rsidR="00845858" w:rsidRPr="00845858" w:rsidRDefault="00845858">
            <w:pPr>
              <w:pStyle w:val="Compact"/>
              <w:jc w:val="center"/>
              <w:rPr>
                <w:i/>
                <w:sz w:val="20"/>
                <w:szCs w:val="20"/>
              </w:rPr>
            </w:pPr>
            <w:proofErr w:type="gramStart"/>
            <w:r w:rsidRPr="00845858">
              <w:rPr>
                <w:i/>
                <w:sz w:val="20"/>
                <w:szCs w:val="20"/>
              </w:rPr>
              <w:t>N(</w:t>
            </w:r>
            <w:proofErr w:type="gramEnd"/>
            <w:r w:rsidRPr="00845858">
              <w:rPr>
                <w:i/>
                <w:sz w:val="20"/>
                <w:szCs w:val="20"/>
              </w:rPr>
              <w:t>%)</w:t>
            </w:r>
          </w:p>
        </w:tc>
        <w:tc>
          <w:tcPr>
            <w:tcW w:w="0" w:type="auto"/>
          </w:tcPr>
          <w:p w14:paraId="459AB352" w14:textId="6D28B3F0" w:rsidR="00845858" w:rsidRPr="00845858" w:rsidRDefault="00845858">
            <w:pPr>
              <w:pStyle w:val="Compact"/>
              <w:jc w:val="center"/>
              <w:rPr>
                <w:i/>
                <w:sz w:val="20"/>
                <w:szCs w:val="20"/>
              </w:rPr>
            </w:pPr>
            <w:proofErr w:type="gramStart"/>
            <w:r w:rsidRPr="00845858">
              <w:rPr>
                <w:i/>
                <w:sz w:val="20"/>
                <w:szCs w:val="20"/>
              </w:rPr>
              <w:t>N(</w:t>
            </w:r>
            <w:proofErr w:type="gramEnd"/>
            <w:r w:rsidRPr="00845858">
              <w:rPr>
                <w:i/>
                <w:sz w:val="20"/>
                <w:szCs w:val="20"/>
              </w:rPr>
              <w:t>%)</w:t>
            </w:r>
          </w:p>
        </w:tc>
      </w:tr>
      <w:tr w:rsidR="000D417E" w14:paraId="2CF8B7D6" w14:textId="77777777" w:rsidTr="00845858">
        <w:trPr>
          <w:jc w:val="center"/>
        </w:trPr>
        <w:tc>
          <w:tcPr>
            <w:tcW w:w="0" w:type="auto"/>
            <w:hideMark/>
          </w:tcPr>
          <w:p w14:paraId="480B2EE6" w14:textId="18E3DC72" w:rsidR="000D417E" w:rsidRPr="00845858" w:rsidRDefault="00845858">
            <w:pPr>
              <w:pStyle w:val="Compact"/>
              <w:rPr>
                <w:b/>
                <w:sz w:val="20"/>
                <w:szCs w:val="20"/>
              </w:rPr>
            </w:pPr>
            <w:r w:rsidRPr="00845858">
              <w:rPr>
                <w:b/>
                <w:sz w:val="20"/>
                <w:szCs w:val="20"/>
              </w:rPr>
              <w:t>Procedure</w:t>
            </w:r>
          </w:p>
        </w:tc>
        <w:tc>
          <w:tcPr>
            <w:tcW w:w="0" w:type="auto"/>
          </w:tcPr>
          <w:p w14:paraId="701316C0" w14:textId="77777777" w:rsidR="000D417E" w:rsidRPr="00845858" w:rsidRDefault="000D417E">
            <w:pPr>
              <w:pStyle w:val="Compact"/>
              <w:rPr>
                <w:sz w:val="20"/>
                <w:szCs w:val="20"/>
              </w:rPr>
            </w:pPr>
          </w:p>
        </w:tc>
        <w:tc>
          <w:tcPr>
            <w:tcW w:w="0" w:type="auto"/>
          </w:tcPr>
          <w:p w14:paraId="275CC4DA" w14:textId="77777777" w:rsidR="000D417E" w:rsidRPr="00845858" w:rsidRDefault="000D417E">
            <w:pPr>
              <w:pStyle w:val="Compact"/>
              <w:rPr>
                <w:sz w:val="20"/>
                <w:szCs w:val="20"/>
              </w:rPr>
            </w:pPr>
          </w:p>
        </w:tc>
      </w:tr>
      <w:tr w:rsidR="000D417E" w14:paraId="7D688823" w14:textId="77777777" w:rsidTr="00845858">
        <w:trPr>
          <w:jc w:val="center"/>
        </w:trPr>
        <w:tc>
          <w:tcPr>
            <w:tcW w:w="0" w:type="auto"/>
            <w:hideMark/>
          </w:tcPr>
          <w:p w14:paraId="5CB16202" w14:textId="77777777" w:rsidR="000D417E" w:rsidRPr="00845858" w:rsidRDefault="000D417E">
            <w:pPr>
              <w:pStyle w:val="Compact"/>
              <w:rPr>
                <w:sz w:val="20"/>
                <w:szCs w:val="20"/>
              </w:rPr>
            </w:pPr>
            <w:r w:rsidRPr="00845858">
              <w:rPr>
                <w:sz w:val="20"/>
                <w:szCs w:val="20"/>
              </w:rPr>
              <w:t>0</w:t>
            </w:r>
          </w:p>
        </w:tc>
        <w:tc>
          <w:tcPr>
            <w:tcW w:w="0" w:type="auto"/>
            <w:hideMark/>
          </w:tcPr>
          <w:p w14:paraId="1C09DBB1" w14:textId="77777777" w:rsidR="000D417E" w:rsidRPr="00845858" w:rsidRDefault="000D417E">
            <w:pPr>
              <w:pStyle w:val="Compact"/>
              <w:jc w:val="center"/>
              <w:rPr>
                <w:sz w:val="20"/>
                <w:szCs w:val="20"/>
              </w:rPr>
            </w:pPr>
            <w:r w:rsidRPr="00845858">
              <w:rPr>
                <w:sz w:val="20"/>
                <w:szCs w:val="20"/>
              </w:rPr>
              <w:t>4,951(20)</w:t>
            </w:r>
          </w:p>
        </w:tc>
        <w:tc>
          <w:tcPr>
            <w:tcW w:w="0" w:type="auto"/>
            <w:hideMark/>
          </w:tcPr>
          <w:p w14:paraId="413DDD88" w14:textId="77777777" w:rsidR="000D417E" w:rsidRPr="00845858" w:rsidRDefault="000D417E">
            <w:pPr>
              <w:pStyle w:val="Compact"/>
              <w:jc w:val="center"/>
              <w:rPr>
                <w:sz w:val="20"/>
                <w:szCs w:val="20"/>
              </w:rPr>
            </w:pPr>
            <w:r w:rsidRPr="00845858">
              <w:rPr>
                <w:sz w:val="20"/>
                <w:szCs w:val="20"/>
              </w:rPr>
              <w:t>102(15)</w:t>
            </w:r>
          </w:p>
        </w:tc>
      </w:tr>
      <w:tr w:rsidR="000D417E" w14:paraId="54763219" w14:textId="77777777" w:rsidTr="00845858">
        <w:trPr>
          <w:jc w:val="center"/>
        </w:trPr>
        <w:tc>
          <w:tcPr>
            <w:tcW w:w="0" w:type="auto"/>
            <w:hideMark/>
          </w:tcPr>
          <w:p w14:paraId="2E3BAFD6" w14:textId="77777777" w:rsidR="000D417E" w:rsidRPr="00845858" w:rsidRDefault="000D417E">
            <w:pPr>
              <w:pStyle w:val="Compact"/>
              <w:rPr>
                <w:sz w:val="20"/>
                <w:szCs w:val="20"/>
              </w:rPr>
            </w:pPr>
            <w:r w:rsidRPr="00845858">
              <w:rPr>
                <w:sz w:val="20"/>
                <w:szCs w:val="20"/>
              </w:rPr>
              <w:t>1</w:t>
            </w:r>
          </w:p>
        </w:tc>
        <w:tc>
          <w:tcPr>
            <w:tcW w:w="0" w:type="auto"/>
            <w:hideMark/>
          </w:tcPr>
          <w:p w14:paraId="42D567CE" w14:textId="77777777" w:rsidR="000D417E" w:rsidRPr="00845858" w:rsidRDefault="000D417E">
            <w:pPr>
              <w:pStyle w:val="Compact"/>
              <w:jc w:val="center"/>
              <w:rPr>
                <w:sz w:val="20"/>
                <w:szCs w:val="20"/>
              </w:rPr>
            </w:pPr>
            <w:r w:rsidRPr="00845858">
              <w:rPr>
                <w:sz w:val="20"/>
                <w:szCs w:val="20"/>
              </w:rPr>
              <w:t>20,308(80)</w:t>
            </w:r>
          </w:p>
        </w:tc>
        <w:tc>
          <w:tcPr>
            <w:tcW w:w="0" w:type="auto"/>
            <w:hideMark/>
          </w:tcPr>
          <w:p w14:paraId="0FFC131E" w14:textId="77777777" w:rsidR="000D417E" w:rsidRPr="00845858" w:rsidRDefault="000D417E">
            <w:pPr>
              <w:pStyle w:val="Compact"/>
              <w:jc w:val="center"/>
              <w:rPr>
                <w:sz w:val="20"/>
                <w:szCs w:val="20"/>
              </w:rPr>
            </w:pPr>
            <w:r w:rsidRPr="00845858">
              <w:rPr>
                <w:sz w:val="20"/>
                <w:szCs w:val="20"/>
              </w:rPr>
              <w:t>591(85)</w:t>
            </w:r>
          </w:p>
        </w:tc>
      </w:tr>
      <w:tr w:rsidR="000D417E" w14:paraId="114E2A75" w14:textId="77777777" w:rsidTr="00845858">
        <w:trPr>
          <w:jc w:val="center"/>
        </w:trPr>
        <w:tc>
          <w:tcPr>
            <w:tcW w:w="0" w:type="auto"/>
            <w:hideMark/>
          </w:tcPr>
          <w:p w14:paraId="3C663215" w14:textId="77777777" w:rsidR="000D417E" w:rsidRPr="00845858" w:rsidRDefault="000D417E">
            <w:pPr>
              <w:pStyle w:val="Compact"/>
              <w:rPr>
                <w:sz w:val="20"/>
                <w:szCs w:val="20"/>
              </w:rPr>
            </w:pPr>
            <w:r w:rsidRPr="00845858">
              <w:rPr>
                <w:sz w:val="20"/>
                <w:szCs w:val="20"/>
              </w:rPr>
              <w:t>Missing</w:t>
            </w:r>
          </w:p>
        </w:tc>
        <w:tc>
          <w:tcPr>
            <w:tcW w:w="0" w:type="auto"/>
            <w:hideMark/>
          </w:tcPr>
          <w:p w14:paraId="379C1577" w14:textId="77777777" w:rsidR="000D417E" w:rsidRPr="00845858" w:rsidRDefault="000D417E">
            <w:pPr>
              <w:pStyle w:val="Compact"/>
              <w:jc w:val="center"/>
              <w:rPr>
                <w:sz w:val="20"/>
                <w:szCs w:val="20"/>
              </w:rPr>
            </w:pPr>
            <w:r w:rsidRPr="00845858">
              <w:rPr>
                <w:sz w:val="20"/>
                <w:szCs w:val="20"/>
              </w:rPr>
              <w:t>0(0)</w:t>
            </w:r>
          </w:p>
        </w:tc>
        <w:tc>
          <w:tcPr>
            <w:tcW w:w="0" w:type="auto"/>
            <w:hideMark/>
          </w:tcPr>
          <w:p w14:paraId="79F0432E" w14:textId="77777777" w:rsidR="000D417E" w:rsidRPr="00845858" w:rsidRDefault="000D417E">
            <w:pPr>
              <w:pStyle w:val="Compact"/>
              <w:jc w:val="center"/>
              <w:rPr>
                <w:sz w:val="20"/>
                <w:szCs w:val="20"/>
              </w:rPr>
            </w:pPr>
            <w:r w:rsidRPr="00845858">
              <w:rPr>
                <w:sz w:val="20"/>
                <w:szCs w:val="20"/>
              </w:rPr>
              <w:t>0(0)</w:t>
            </w:r>
          </w:p>
        </w:tc>
      </w:tr>
      <w:tr w:rsidR="000D417E" w14:paraId="1BC8B9E9" w14:textId="77777777" w:rsidTr="00845858">
        <w:trPr>
          <w:jc w:val="center"/>
        </w:trPr>
        <w:tc>
          <w:tcPr>
            <w:tcW w:w="0" w:type="auto"/>
            <w:hideMark/>
          </w:tcPr>
          <w:p w14:paraId="7EBF8FF5" w14:textId="7377240B" w:rsidR="000D417E" w:rsidRPr="00845858" w:rsidRDefault="00845858">
            <w:pPr>
              <w:pStyle w:val="Compact"/>
              <w:rPr>
                <w:b/>
                <w:sz w:val="20"/>
                <w:szCs w:val="20"/>
              </w:rPr>
            </w:pPr>
            <w:r w:rsidRPr="00845858">
              <w:rPr>
                <w:b/>
                <w:sz w:val="20"/>
                <w:szCs w:val="20"/>
              </w:rPr>
              <w:t>ASA</w:t>
            </w:r>
          </w:p>
        </w:tc>
        <w:tc>
          <w:tcPr>
            <w:tcW w:w="0" w:type="auto"/>
          </w:tcPr>
          <w:p w14:paraId="1602B8D2" w14:textId="77777777" w:rsidR="000D417E" w:rsidRPr="00845858" w:rsidRDefault="000D417E">
            <w:pPr>
              <w:pStyle w:val="Compact"/>
              <w:rPr>
                <w:sz w:val="20"/>
                <w:szCs w:val="20"/>
              </w:rPr>
            </w:pPr>
          </w:p>
        </w:tc>
        <w:tc>
          <w:tcPr>
            <w:tcW w:w="0" w:type="auto"/>
          </w:tcPr>
          <w:p w14:paraId="01790BDC" w14:textId="77777777" w:rsidR="000D417E" w:rsidRPr="00845858" w:rsidRDefault="000D417E">
            <w:pPr>
              <w:pStyle w:val="Compact"/>
              <w:rPr>
                <w:sz w:val="20"/>
                <w:szCs w:val="20"/>
              </w:rPr>
            </w:pPr>
          </w:p>
        </w:tc>
      </w:tr>
      <w:tr w:rsidR="000D417E" w14:paraId="72BC27F5" w14:textId="77777777" w:rsidTr="00845858">
        <w:trPr>
          <w:jc w:val="center"/>
        </w:trPr>
        <w:tc>
          <w:tcPr>
            <w:tcW w:w="0" w:type="auto"/>
            <w:hideMark/>
          </w:tcPr>
          <w:p w14:paraId="26AE0324" w14:textId="77777777" w:rsidR="000D417E" w:rsidRPr="00845858" w:rsidRDefault="000D417E">
            <w:pPr>
              <w:pStyle w:val="Compact"/>
              <w:rPr>
                <w:sz w:val="20"/>
                <w:szCs w:val="20"/>
              </w:rPr>
            </w:pPr>
            <w:r w:rsidRPr="00845858">
              <w:rPr>
                <w:sz w:val="20"/>
                <w:szCs w:val="20"/>
              </w:rPr>
              <w:t>2</w:t>
            </w:r>
          </w:p>
        </w:tc>
        <w:tc>
          <w:tcPr>
            <w:tcW w:w="0" w:type="auto"/>
            <w:hideMark/>
          </w:tcPr>
          <w:p w14:paraId="7CBB376B" w14:textId="77777777" w:rsidR="000D417E" w:rsidRPr="00845858" w:rsidRDefault="000D417E">
            <w:pPr>
              <w:pStyle w:val="Compact"/>
              <w:jc w:val="center"/>
              <w:rPr>
                <w:sz w:val="20"/>
                <w:szCs w:val="20"/>
              </w:rPr>
            </w:pPr>
            <w:r w:rsidRPr="00845858">
              <w:rPr>
                <w:sz w:val="20"/>
                <w:szCs w:val="20"/>
              </w:rPr>
              <w:t>1,130(4)</w:t>
            </w:r>
          </w:p>
        </w:tc>
        <w:tc>
          <w:tcPr>
            <w:tcW w:w="0" w:type="auto"/>
            <w:hideMark/>
          </w:tcPr>
          <w:p w14:paraId="3549FEAE" w14:textId="77777777" w:rsidR="000D417E" w:rsidRPr="00845858" w:rsidRDefault="000D417E">
            <w:pPr>
              <w:pStyle w:val="Compact"/>
              <w:jc w:val="center"/>
              <w:rPr>
                <w:sz w:val="20"/>
                <w:szCs w:val="20"/>
              </w:rPr>
            </w:pPr>
            <w:r w:rsidRPr="00845858">
              <w:rPr>
                <w:sz w:val="20"/>
                <w:szCs w:val="20"/>
              </w:rPr>
              <w:t>13(2)</w:t>
            </w:r>
          </w:p>
        </w:tc>
      </w:tr>
      <w:tr w:rsidR="000D417E" w14:paraId="2C3488A2" w14:textId="77777777" w:rsidTr="00845858">
        <w:trPr>
          <w:jc w:val="center"/>
        </w:trPr>
        <w:tc>
          <w:tcPr>
            <w:tcW w:w="0" w:type="auto"/>
            <w:hideMark/>
          </w:tcPr>
          <w:p w14:paraId="3755DE89" w14:textId="77777777" w:rsidR="000D417E" w:rsidRPr="00845858" w:rsidRDefault="000D417E">
            <w:pPr>
              <w:pStyle w:val="Compact"/>
              <w:rPr>
                <w:sz w:val="20"/>
                <w:szCs w:val="20"/>
              </w:rPr>
            </w:pPr>
            <w:r w:rsidRPr="00845858">
              <w:rPr>
                <w:sz w:val="20"/>
                <w:szCs w:val="20"/>
              </w:rPr>
              <w:t>3</w:t>
            </w:r>
          </w:p>
        </w:tc>
        <w:tc>
          <w:tcPr>
            <w:tcW w:w="0" w:type="auto"/>
            <w:hideMark/>
          </w:tcPr>
          <w:p w14:paraId="74470369" w14:textId="77777777" w:rsidR="000D417E" w:rsidRPr="00845858" w:rsidRDefault="000D417E">
            <w:pPr>
              <w:pStyle w:val="Compact"/>
              <w:jc w:val="center"/>
              <w:rPr>
                <w:sz w:val="20"/>
                <w:szCs w:val="20"/>
              </w:rPr>
            </w:pPr>
            <w:r w:rsidRPr="00845858">
              <w:rPr>
                <w:sz w:val="20"/>
                <w:szCs w:val="20"/>
              </w:rPr>
              <w:t>7,718(31)</w:t>
            </w:r>
          </w:p>
        </w:tc>
        <w:tc>
          <w:tcPr>
            <w:tcW w:w="0" w:type="auto"/>
            <w:hideMark/>
          </w:tcPr>
          <w:p w14:paraId="635AC496" w14:textId="77777777" w:rsidR="000D417E" w:rsidRPr="00845858" w:rsidRDefault="000D417E">
            <w:pPr>
              <w:pStyle w:val="Compact"/>
              <w:jc w:val="center"/>
              <w:rPr>
                <w:sz w:val="20"/>
                <w:szCs w:val="20"/>
              </w:rPr>
            </w:pPr>
            <w:r w:rsidRPr="00845858">
              <w:rPr>
                <w:sz w:val="20"/>
                <w:szCs w:val="20"/>
              </w:rPr>
              <w:t>102(15)</w:t>
            </w:r>
          </w:p>
        </w:tc>
      </w:tr>
      <w:tr w:rsidR="000D417E" w14:paraId="21B80C84" w14:textId="77777777" w:rsidTr="00845858">
        <w:trPr>
          <w:jc w:val="center"/>
        </w:trPr>
        <w:tc>
          <w:tcPr>
            <w:tcW w:w="0" w:type="auto"/>
            <w:hideMark/>
          </w:tcPr>
          <w:p w14:paraId="766A7608" w14:textId="77777777" w:rsidR="000D417E" w:rsidRPr="00845858" w:rsidRDefault="000D417E">
            <w:pPr>
              <w:pStyle w:val="Compact"/>
              <w:rPr>
                <w:sz w:val="20"/>
                <w:szCs w:val="20"/>
              </w:rPr>
            </w:pPr>
            <w:r w:rsidRPr="00845858">
              <w:rPr>
                <w:sz w:val="20"/>
                <w:szCs w:val="20"/>
              </w:rPr>
              <w:t>4</w:t>
            </w:r>
          </w:p>
        </w:tc>
        <w:tc>
          <w:tcPr>
            <w:tcW w:w="0" w:type="auto"/>
            <w:hideMark/>
          </w:tcPr>
          <w:p w14:paraId="6D3F002C" w14:textId="77777777" w:rsidR="000D417E" w:rsidRPr="00845858" w:rsidRDefault="000D417E">
            <w:pPr>
              <w:pStyle w:val="Compact"/>
              <w:jc w:val="center"/>
              <w:rPr>
                <w:sz w:val="20"/>
                <w:szCs w:val="20"/>
              </w:rPr>
            </w:pPr>
            <w:r w:rsidRPr="00845858">
              <w:rPr>
                <w:sz w:val="20"/>
                <w:szCs w:val="20"/>
              </w:rPr>
              <w:t>14,473(57)</w:t>
            </w:r>
          </w:p>
        </w:tc>
        <w:tc>
          <w:tcPr>
            <w:tcW w:w="0" w:type="auto"/>
            <w:hideMark/>
          </w:tcPr>
          <w:p w14:paraId="24F68E26" w14:textId="77777777" w:rsidR="000D417E" w:rsidRPr="00845858" w:rsidRDefault="000D417E">
            <w:pPr>
              <w:pStyle w:val="Compact"/>
              <w:jc w:val="center"/>
              <w:rPr>
                <w:sz w:val="20"/>
                <w:szCs w:val="20"/>
              </w:rPr>
            </w:pPr>
            <w:r w:rsidRPr="00845858">
              <w:rPr>
                <w:sz w:val="20"/>
                <w:szCs w:val="20"/>
              </w:rPr>
              <w:t>485(70)</w:t>
            </w:r>
          </w:p>
        </w:tc>
      </w:tr>
      <w:tr w:rsidR="000D417E" w14:paraId="6F23EB58" w14:textId="77777777" w:rsidTr="00845858">
        <w:trPr>
          <w:jc w:val="center"/>
        </w:trPr>
        <w:tc>
          <w:tcPr>
            <w:tcW w:w="0" w:type="auto"/>
            <w:hideMark/>
          </w:tcPr>
          <w:p w14:paraId="2CC4ED16" w14:textId="77777777" w:rsidR="000D417E" w:rsidRPr="00845858" w:rsidRDefault="000D417E">
            <w:pPr>
              <w:pStyle w:val="Compact"/>
              <w:rPr>
                <w:sz w:val="20"/>
                <w:szCs w:val="20"/>
              </w:rPr>
            </w:pPr>
            <w:r w:rsidRPr="00845858">
              <w:rPr>
                <w:sz w:val="20"/>
                <w:szCs w:val="20"/>
              </w:rPr>
              <w:t>5</w:t>
            </w:r>
          </w:p>
        </w:tc>
        <w:tc>
          <w:tcPr>
            <w:tcW w:w="0" w:type="auto"/>
            <w:hideMark/>
          </w:tcPr>
          <w:p w14:paraId="19C82343" w14:textId="77777777" w:rsidR="000D417E" w:rsidRPr="00845858" w:rsidRDefault="000D417E">
            <w:pPr>
              <w:pStyle w:val="Compact"/>
              <w:jc w:val="center"/>
              <w:rPr>
                <w:sz w:val="20"/>
                <w:szCs w:val="20"/>
              </w:rPr>
            </w:pPr>
            <w:r w:rsidRPr="00845858">
              <w:rPr>
                <w:sz w:val="20"/>
                <w:szCs w:val="20"/>
              </w:rPr>
              <w:t>1,301(5)</w:t>
            </w:r>
          </w:p>
        </w:tc>
        <w:tc>
          <w:tcPr>
            <w:tcW w:w="0" w:type="auto"/>
            <w:hideMark/>
          </w:tcPr>
          <w:p w14:paraId="2DFD72A5" w14:textId="77777777" w:rsidR="000D417E" w:rsidRPr="00845858" w:rsidRDefault="000D417E">
            <w:pPr>
              <w:pStyle w:val="Compact"/>
              <w:jc w:val="center"/>
              <w:rPr>
                <w:sz w:val="20"/>
                <w:szCs w:val="20"/>
              </w:rPr>
            </w:pPr>
            <w:r w:rsidRPr="00845858">
              <w:rPr>
                <w:sz w:val="20"/>
                <w:szCs w:val="20"/>
              </w:rPr>
              <w:t>66(10)</w:t>
            </w:r>
          </w:p>
        </w:tc>
      </w:tr>
      <w:tr w:rsidR="000D417E" w14:paraId="5643025B" w14:textId="77777777" w:rsidTr="00845858">
        <w:trPr>
          <w:jc w:val="center"/>
        </w:trPr>
        <w:tc>
          <w:tcPr>
            <w:tcW w:w="0" w:type="auto"/>
            <w:tcBorders>
              <w:bottom w:val="single" w:sz="4" w:space="0" w:color="auto"/>
            </w:tcBorders>
            <w:hideMark/>
          </w:tcPr>
          <w:p w14:paraId="50089324" w14:textId="77777777" w:rsidR="000D417E" w:rsidRPr="00845858" w:rsidRDefault="000D417E">
            <w:pPr>
              <w:pStyle w:val="Compact"/>
              <w:rPr>
                <w:sz w:val="20"/>
                <w:szCs w:val="20"/>
              </w:rPr>
            </w:pPr>
            <w:r w:rsidRPr="00845858">
              <w:rPr>
                <w:sz w:val="20"/>
                <w:szCs w:val="20"/>
              </w:rPr>
              <w:t>Missing</w:t>
            </w:r>
          </w:p>
        </w:tc>
        <w:tc>
          <w:tcPr>
            <w:tcW w:w="0" w:type="auto"/>
            <w:tcBorders>
              <w:bottom w:val="single" w:sz="4" w:space="0" w:color="auto"/>
            </w:tcBorders>
            <w:hideMark/>
          </w:tcPr>
          <w:p w14:paraId="7401B5CD" w14:textId="77777777" w:rsidR="000D417E" w:rsidRPr="00845858" w:rsidRDefault="000D417E">
            <w:pPr>
              <w:pStyle w:val="Compact"/>
              <w:jc w:val="center"/>
              <w:rPr>
                <w:sz w:val="20"/>
                <w:szCs w:val="20"/>
              </w:rPr>
            </w:pPr>
            <w:r w:rsidRPr="00845858">
              <w:rPr>
                <w:sz w:val="20"/>
                <w:szCs w:val="20"/>
              </w:rPr>
              <w:t>637(3)</w:t>
            </w:r>
          </w:p>
        </w:tc>
        <w:tc>
          <w:tcPr>
            <w:tcW w:w="0" w:type="auto"/>
            <w:tcBorders>
              <w:bottom w:val="single" w:sz="4" w:space="0" w:color="auto"/>
            </w:tcBorders>
            <w:hideMark/>
          </w:tcPr>
          <w:p w14:paraId="00A85EA1" w14:textId="77777777" w:rsidR="000D417E" w:rsidRPr="00845858" w:rsidRDefault="000D417E">
            <w:pPr>
              <w:pStyle w:val="Compact"/>
              <w:jc w:val="center"/>
              <w:rPr>
                <w:sz w:val="20"/>
                <w:szCs w:val="20"/>
              </w:rPr>
            </w:pPr>
            <w:r w:rsidRPr="00845858">
              <w:rPr>
                <w:sz w:val="20"/>
                <w:szCs w:val="20"/>
              </w:rPr>
              <w:t>27(4)</w:t>
            </w:r>
          </w:p>
        </w:tc>
      </w:tr>
      <w:tr w:rsidR="00845858" w14:paraId="2169AE36" w14:textId="77777777" w:rsidTr="00845858">
        <w:trPr>
          <w:jc w:val="center"/>
        </w:trPr>
        <w:tc>
          <w:tcPr>
            <w:tcW w:w="0" w:type="auto"/>
            <w:tcBorders>
              <w:top w:val="single" w:sz="4" w:space="0" w:color="auto"/>
              <w:bottom w:val="nil"/>
            </w:tcBorders>
          </w:tcPr>
          <w:p w14:paraId="3C6CB72D" w14:textId="77777777" w:rsidR="00845858" w:rsidRPr="00845858" w:rsidRDefault="00845858">
            <w:pPr>
              <w:pStyle w:val="Compact"/>
              <w:rPr>
                <w:sz w:val="20"/>
                <w:szCs w:val="20"/>
              </w:rPr>
            </w:pPr>
          </w:p>
        </w:tc>
        <w:tc>
          <w:tcPr>
            <w:tcW w:w="0" w:type="auto"/>
            <w:tcBorders>
              <w:top w:val="single" w:sz="4" w:space="0" w:color="auto"/>
              <w:bottom w:val="nil"/>
            </w:tcBorders>
          </w:tcPr>
          <w:p w14:paraId="31BBFF8F" w14:textId="051FC45F" w:rsidR="00845858" w:rsidRPr="00845858" w:rsidRDefault="00845858">
            <w:pPr>
              <w:pStyle w:val="Compact"/>
              <w:jc w:val="center"/>
              <w:rPr>
                <w:i/>
                <w:sz w:val="20"/>
                <w:szCs w:val="20"/>
              </w:rPr>
            </w:pPr>
            <w:proofErr w:type="gramStart"/>
            <w:r w:rsidRPr="00845858">
              <w:rPr>
                <w:i/>
                <w:sz w:val="20"/>
                <w:szCs w:val="20"/>
              </w:rPr>
              <w:t>Mean(</w:t>
            </w:r>
            <w:proofErr w:type="gramEnd"/>
            <w:r w:rsidR="008E0746">
              <w:rPr>
                <w:i/>
                <w:sz w:val="20"/>
                <w:szCs w:val="20"/>
              </w:rPr>
              <w:t>SD</w:t>
            </w:r>
            <w:r w:rsidRPr="00845858">
              <w:rPr>
                <w:i/>
                <w:sz w:val="20"/>
                <w:szCs w:val="20"/>
              </w:rPr>
              <w:t>)</w:t>
            </w:r>
          </w:p>
        </w:tc>
        <w:tc>
          <w:tcPr>
            <w:tcW w:w="0" w:type="auto"/>
            <w:tcBorders>
              <w:top w:val="single" w:sz="4" w:space="0" w:color="auto"/>
              <w:bottom w:val="nil"/>
            </w:tcBorders>
          </w:tcPr>
          <w:p w14:paraId="1447CBFF" w14:textId="7ED3365C" w:rsidR="00845858" w:rsidRPr="00845858" w:rsidRDefault="00845858">
            <w:pPr>
              <w:pStyle w:val="Compact"/>
              <w:jc w:val="center"/>
              <w:rPr>
                <w:i/>
                <w:sz w:val="20"/>
                <w:szCs w:val="20"/>
              </w:rPr>
            </w:pPr>
            <w:proofErr w:type="gramStart"/>
            <w:r w:rsidRPr="00845858">
              <w:rPr>
                <w:i/>
                <w:sz w:val="20"/>
                <w:szCs w:val="20"/>
              </w:rPr>
              <w:t>Mean(</w:t>
            </w:r>
            <w:proofErr w:type="gramEnd"/>
            <w:r w:rsidR="008E0746">
              <w:rPr>
                <w:i/>
                <w:sz w:val="20"/>
                <w:szCs w:val="20"/>
              </w:rPr>
              <w:t>SD</w:t>
            </w:r>
            <w:r w:rsidRPr="00845858">
              <w:rPr>
                <w:i/>
                <w:sz w:val="20"/>
                <w:szCs w:val="20"/>
              </w:rPr>
              <w:t>)</w:t>
            </w:r>
          </w:p>
        </w:tc>
      </w:tr>
      <w:tr w:rsidR="000D417E" w14:paraId="306844F3" w14:textId="77777777" w:rsidTr="00845858">
        <w:trPr>
          <w:jc w:val="center"/>
        </w:trPr>
        <w:tc>
          <w:tcPr>
            <w:tcW w:w="0" w:type="auto"/>
            <w:tcBorders>
              <w:top w:val="nil"/>
            </w:tcBorders>
            <w:hideMark/>
          </w:tcPr>
          <w:p w14:paraId="63BE3BEB" w14:textId="5B2B7AAF" w:rsidR="000D417E" w:rsidRPr="00845858" w:rsidRDefault="00845858">
            <w:pPr>
              <w:pStyle w:val="Compact"/>
              <w:rPr>
                <w:sz w:val="20"/>
                <w:szCs w:val="20"/>
              </w:rPr>
            </w:pPr>
            <w:r w:rsidRPr="00845858">
              <w:rPr>
                <w:b/>
                <w:sz w:val="20"/>
                <w:szCs w:val="20"/>
              </w:rPr>
              <w:t>W</w:t>
            </w:r>
            <w:r w:rsidR="000D417E" w:rsidRPr="00845858">
              <w:rPr>
                <w:b/>
                <w:sz w:val="20"/>
                <w:szCs w:val="20"/>
              </w:rPr>
              <w:t>eight</w:t>
            </w:r>
            <w:r w:rsidRPr="00845858">
              <w:rPr>
                <w:b/>
                <w:sz w:val="20"/>
                <w:szCs w:val="20"/>
              </w:rPr>
              <w:t xml:space="preserve"> (lbs.)</w:t>
            </w:r>
          </w:p>
        </w:tc>
        <w:tc>
          <w:tcPr>
            <w:tcW w:w="0" w:type="auto"/>
            <w:tcBorders>
              <w:top w:val="nil"/>
            </w:tcBorders>
            <w:hideMark/>
          </w:tcPr>
          <w:p w14:paraId="140D8A07" w14:textId="77777777" w:rsidR="000D417E" w:rsidRPr="00845858" w:rsidRDefault="000D417E">
            <w:pPr>
              <w:pStyle w:val="Compact"/>
              <w:jc w:val="center"/>
              <w:rPr>
                <w:sz w:val="20"/>
                <w:szCs w:val="20"/>
              </w:rPr>
            </w:pPr>
            <w:r w:rsidRPr="00845858">
              <w:rPr>
                <w:sz w:val="20"/>
                <w:szCs w:val="20"/>
              </w:rPr>
              <w:t>165.8(36.03)</w:t>
            </w:r>
          </w:p>
        </w:tc>
        <w:tc>
          <w:tcPr>
            <w:tcW w:w="0" w:type="auto"/>
            <w:tcBorders>
              <w:top w:val="nil"/>
            </w:tcBorders>
            <w:hideMark/>
          </w:tcPr>
          <w:p w14:paraId="6674F858" w14:textId="77777777" w:rsidR="000D417E" w:rsidRPr="00845858" w:rsidRDefault="000D417E">
            <w:pPr>
              <w:pStyle w:val="Compact"/>
              <w:jc w:val="center"/>
              <w:rPr>
                <w:sz w:val="20"/>
                <w:szCs w:val="20"/>
              </w:rPr>
            </w:pPr>
            <w:r w:rsidRPr="00845858">
              <w:rPr>
                <w:sz w:val="20"/>
                <w:szCs w:val="20"/>
              </w:rPr>
              <w:t>174.3(38.24)</w:t>
            </w:r>
          </w:p>
        </w:tc>
      </w:tr>
      <w:tr w:rsidR="000D417E" w14:paraId="38FCC1C1" w14:textId="77777777" w:rsidTr="00845858">
        <w:trPr>
          <w:jc w:val="center"/>
        </w:trPr>
        <w:tc>
          <w:tcPr>
            <w:tcW w:w="0" w:type="auto"/>
            <w:hideMark/>
          </w:tcPr>
          <w:p w14:paraId="2B29F738" w14:textId="4D8BE43D" w:rsidR="000D417E" w:rsidRPr="00845858" w:rsidRDefault="000D417E">
            <w:pPr>
              <w:pStyle w:val="Compact"/>
              <w:rPr>
                <w:sz w:val="20"/>
                <w:szCs w:val="20"/>
              </w:rPr>
            </w:pPr>
            <w:r w:rsidRPr="00845858">
              <w:rPr>
                <w:sz w:val="20"/>
                <w:szCs w:val="20"/>
              </w:rPr>
              <w:t> Missing</w:t>
            </w:r>
            <w:r w:rsidR="00845858" w:rsidRPr="00845858">
              <w:rPr>
                <w:sz w:val="20"/>
                <w:szCs w:val="20"/>
              </w:rPr>
              <w:t xml:space="preserve"> </w:t>
            </w:r>
            <w:r w:rsidRPr="00845858">
              <w:rPr>
                <w:sz w:val="20"/>
                <w:szCs w:val="20"/>
              </w:rPr>
              <w:t>(N%)</w:t>
            </w:r>
          </w:p>
        </w:tc>
        <w:tc>
          <w:tcPr>
            <w:tcW w:w="0" w:type="auto"/>
            <w:hideMark/>
          </w:tcPr>
          <w:p w14:paraId="03FDEA20" w14:textId="77777777" w:rsidR="000D417E" w:rsidRPr="00845858" w:rsidRDefault="000D417E">
            <w:pPr>
              <w:pStyle w:val="Compact"/>
              <w:jc w:val="center"/>
              <w:rPr>
                <w:sz w:val="20"/>
                <w:szCs w:val="20"/>
              </w:rPr>
            </w:pPr>
            <w:r w:rsidRPr="00845858">
              <w:rPr>
                <w:sz w:val="20"/>
                <w:szCs w:val="20"/>
              </w:rPr>
              <w:t>620(2)</w:t>
            </w:r>
          </w:p>
        </w:tc>
        <w:tc>
          <w:tcPr>
            <w:tcW w:w="0" w:type="auto"/>
            <w:hideMark/>
          </w:tcPr>
          <w:p w14:paraId="3F0B8BBE" w14:textId="77777777" w:rsidR="000D417E" w:rsidRPr="00845858" w:rsidRDefault="000D417E">
            <w:pPr>
              <w:pStyle w:val="Compact"/>
              <w:jc w:val="center"/>
              <w:rPr>
                <w:sz w:val="20"/>
                <w:szCs w:val="20"/>
              </w:rPr>
            </w:pPr>
            <w:r w:rsidRPr="00845858">
              <w:rPr>
                <w:sz w:val="20"/>
                <w:szCs w:val="20"/>
              </w:rPr>
              <w:t>40(6)</w:t>
            </w:r>
          </w:p>
        </w:tc>
      </w:tr>
      <w:tr w:rsidR="000D417E" w14:paraId="3036AECB" w14:textId="77777777" w:rsidTr="00845858">
        <w:trPr>
          <w:jc w:val="center"/>
        </w:trPr>
        <w:tc>
          <w:tcPr>
            <w:tcW w:w="0" w:type="auto"/>
            <w:hideMark/>
          </w:tcPr>
          <w:p w14:paraId="53A1D8C3" w14:textId="7D4377EA" w:rsidR="000D417E" w:rsidRPr="00845858" w:rsidRDefault="00845858">
            <w:pPr>
              <w:pStyle w:val="Compact"/>
              <w:rPr>
                <w:sz w:val="20"/>
                <w:szCs w:val="20"/>
              </w:rPr>
            </w:pPr>
            <w:r w:rsidRPr="00845858">
              <w:rPr>
                <w:b/>
                <w:sz w:val="20"/>
                <w:szCs w:val="20"/>
              </w:rPr>
              <w:t>H</w:t>
            </w:r>
            <w:r w:rsidR="000D417E" w:rsidRPr="00845858">
              <w:rPr>
                <w:b/>
                <w:sz w:val="20"/>
                <w:szCs w:val="20"/>
              </w:rPr>
              <w:t>eight</w:t>
            </w:r>
          </w:p>
        </w:tc>
        <w:tc>
          <w:tcPr>
            <w:tcW w:w="0" w:type="auto"/>
            <w:hideMark/>
          </w:tcPr>
          <w:p w14:paraId="03058DE8" w14:textId="77777777" w:rsidR="000D417E" w:rsidRPr="00845858" w:rsidRDefault="000D417E">
            <w:pPr>
              <w:pStyle w:val="Compact"/>
              <w:jc w:val="center"/>
              <w:rPr>
                <w:sz w:val="20"/>
                <w:szCs w:val="20"/>
              </w:rPr>
            </w:pPr>
            <w:r w:rsidRPr="00845858">
              <w:rPr>
                <w:sz w:val="20"/>
                <w:szCs w:val="20"/>
              </w:rPr>
              <w:t>65.33(2.625)</w:t>
            </w:r>
          </w:p>
        </w:tc>
        <w:tc>
          <w:tcPr>
            <w:tcW w:w="0" w:type="auto"/>
            <w:hideMark/>
          </w:tcPr>
          <w:p w14:paraId="0721A153" w14:textId="77777777" w:rsidR="000D417E" w:rsidRPr="00845858" w:rsidRDefault="000D417E">
            <w:pPr>
              <w:pStyle w:val="Compact"/>
              <w:jc w:val="center"/>
              <w:rPr>
                <w:sz w:val="20"/>
                <w:szCs w:val="20"/>
              </w:rPr>
            </w:pPr>
            <w:r w:rsidRPr="00845858">
              <w:rPr>
                <w:sz w:val="20"/>
                <w:szCs w:val="20"/>
              </w:rPr>
              <w:t>65.51(2.575)</w:t>
            </w:r>
          </w:p>
        </w:tc>
      </w:tr>
      <w:tr w:rsidR="000D417E" w14:paraId="0ACF3B8F" w14:textId="77777777" w:rsidTr="00845858">
        <w:trPr>
          <w:jc w:val="center"/>
        </w:trPr>
        <w:tc>
          <w:tcPr>
            <w:tcW w:w="0" w:type="auto"/>
            <w:hideMark/>
          </w:tcPr>
          <w:p w14:paraId="3CDC70B6" w14:textId="0ABFE14A" w:rsidR="000D417E" w:rsidRPr="00845858" w:rsidRDefault="000D417E">
            <w:pPr>
              <w:pStyle w:val="Compact"/>
              <w:rPr>
                <w:sz w:val="20"/>
                <w:szCs w:val="20"/>
              </w:rPr>
            </w:pPr>
            <w:r w:rsidRPr="00845858">
              <w:rPr>
                <w:sz w:val="20"/>
                <w:szCs w:val="20"/>
              </w:rPr>
              <w:t> Missing</w:t>
            </w:r>
            <w:r w:rsidR="00845858" w:rsidRPr="00845858">
              <w:rPr>
                <w:sz w:val="20"/>
                <w:szCs w:val="20"/>
              </w:rPr>
              <w:t xml:space="preserve"> </w:t>
            </w:r>
            <w:r w:rsidRPr="00845858">
              <w:rPr>
                <w:sz w:val="20"/>
                <w:szCs w:val="20"/>
              </w:rPr>
              <w:t>(N%)</w:t>
            </w:r>
          </w:p>
        </w:tc>
        <w:tc>
          <w:tcPr>
            <w:tcW w:w="0" w:type="auto"/>
            <w:hideMark/>
          </w:tcPr>
          <w:p w14:paraId="6FDCD1F0" w14:textId="77777777" w:rsidR="000D417E" w:rsidRPr="00845858" w:rsidRDefault="000D417E">
            <w:pPr>
              <w:pStyle w:val="Compact"/>
              <w:jc w:val="center"/>
              <w:rPr>
                <w:sz w:val="20"/>
                <w:szCs w:val="20"/>
              </w:rPr>
            </w:pPr>
            <w:r w:rsidRPr="00845858">
              <w:rPr>
                <w:sz w:val="20"/>
                <w:szCs w:val="20"/>
              </w:rPr>
              <w:t>620(2)</w:t>
            </w:r>
          </w:p>
        </w:tc>
        <w:tc>
          <w:tcPr>
            <w:tcW w:w="0" w:type="auto"/>
            <w:hideMark/>
          </w:tcPr>
          <w:p w14:paraId="056EE837" w14:textId="77777777" w:rsidR="000D417E" w:rsidRPr="00845858" w:rsidRDefault="000D417E">
            <w:pPr>
              <w:pStyle w:val="Compact"/>
              <w:jc w:val="center"/>
              <w:rPr>
                <w:sz w:val="20"/>
                <w:szCs w:val="20"/>
              </w:rPr>
            </w:pPr>
            <w:r w:rsidRPr="00845858">
              <w:rPr>
                <w:sz w:val="20"/>
                <w:szCs w:val="20"/>
              </w:rPr>
              <w:t>40(6)</w:t>
            </w:r>
          </w:p>
        </w:tc>
      </w:tr>
      <w:tr w:rsidR="000D417E" w14:paraId="6E57D88C" w14:textId="77777777" w:rsidTr="00845858">
        <w:trPr>
          <w:jc w:val="center"/>
        </w:trPr>
        <w:tc>
          <w:tcPr>
            <w:tcW w:w="0" w:type="auto"/>
            <w:hideMark/>
          </w:tcPr>
          <w:p w14:paraId="4B2C8B8E" w14:textId="6779778E" w:rsidR="000D417E" w:rsidRPr="00845858" w:rsidRDefault="00845858">
            <w:pPr>
              <w:pStyle w:val="Compact"/>
              <w:rPr>
                <w:sz w:val="20"/>
                <w:szCs w:val="20"/>
              </w:rPr>
            </w:pPr>
            <w:r w:rsidRPr="00845858">
              <w:rPr>
                <w:sz w:val="20"/>
                <w:szCs w:val="20"/>
              </w:rPr>
              <w:t>BMI</w:t>
            </w:r>
          </w:p>
        </w:tc>
        <w:tc>
          <w:tcPr>
            <w:tcW w:w="0" w:type="auto"/>
            <w:hideMark/>
          </w:tcPr>
          <w:p w14:paraId="06F29FAE" w14:textId="77777777" w:rsidR="000D417E" w:rsidRPr="00845858" w:rsidRDefault="000D417E">
            <w:pPr>
              <w:pStyle w:val="Compact"/>
              <w:jc w:val="center"/>
              <w:rPr>
                <w:sz w:val="20"/>
                <w:szCs w:val="20"/>
              </w:rPr>
            </w:pPr>
            <w:r w:rsidRPr="00845858">
              <w:rPr>
                <w:sz w:val="20"/>
                <w:szCs w:val="20"/>
              </w:rPr>
              <w:t>28.2(4.010)</w:t>
            </w:r>
          </w:p>
        </w:tc>
        <w:tc>
          <w:tcPr>
            <w:tcW w:w="0" w:type="auto"/>
            <w:hideMark/>
          </w:tcPr>
          <w:p w14:paraId="24E48891" w14:textId="77777777" w:rsidR="000D417E" w:rsidRPr="00845858" w:rsidRDefault="000D417E">
            <w:pPr>
              <w:pStyle w:val="Compact"/>
              <w:jc w:val="center"/>
              <w:rPr>
                <w:sz w:val="20"/>
                <w:szCs w:val="20"/>
              </w:rPr>
            </w:pPr>
            <w:r w:rsidRPr="00845858">
              <w:rPr>
                <w:sz w:val="20"/>
                <w:szCs w:val="20"/>
              </w:rPr>
              <w:t>29.49(4.058)</w:t>
            </w:r>
          </w:p>
        </w:tc>
      </w:tr>
      <w:tr w:rsidR="000D417E" w14:paraId="3E3B9521" w14:textId="77777777" w:rsidTr="00845858">
        <w:trPr>
          <w:jc w:val="center"/>
        </w:trPr>
        <w:tc>
          <w:tcPr>
            <w:tcW w:w="0" w:type="auto"/>
            <w:hideMark/>
          </w:tcPr>
          <w:p w14:paraId="3B1B63B4" w14:textId="7E328149" w:rsidR="000D417E" w:rsidRPr="00845858" w:rsidRDefault="000D417E">
            <w:pPr>
              <w:pStyle w:val="Compact"/>
              <w:rPr>
                <w:sz w:val="20"/>
                <w:szCs w:val="20"/>
              </w:rPr>
            </w:pPr>
            <w:r w:rsidRPr="00845858">
              <w:rPr>
                <w:sz w:val="20"/>
                <w:szCs w:val="20"/>
              </w:rPr>
              <w:t> Missing</w:t>
            </w:r>
            <w:r w:rsidR="00845858" w:rsidRPr="00845858">
              <w:rPr>
                <w:sz w:val="20"/>
                <w:szCs w:val="20"/>
              </w:rPr>
              <w:t xml:space="preserve"> </w:t>
            </w:r>
            <w:r w:rsidRPr="00845858">
              <w:rPr>
                <w:sz w:val="20"/>
                <w:szCs w:val="20"/>
              </w:rPr>
              <w:t>(N%)</w:t>
            </w:r>
          </w:p>
        </w:tc>
        <w:tc>
          <w:tcPr>
            <w:tcW w:w="0" w:type="auto"/>
            <w:hideMark/>
          </w:tcPr>
          <w:p w14:paraId="24CCB926" w14:textId="77777777" w:rsidR="000D417E" w:rsidRPr="00845858" w:rsidRDefault="000D417E">
            <w:pPr>
              <w:pStyle w:val="Compact"/>
              <w:jc w:val="center"/>
              <w:rPr>
                <w:sz w:val="20"/>
                <w:szCs w:val="20"/>
              </w:rPr>
            </w:pPr>
            <w:r w:rsidRPr="00845858">
              <w:rPr>
                <w:sz w:val="20"/>
                <w:szCs w:val="20"/>
              </w:rPr>
              <w:t>622(2)</w:t>
            </w:r>
          </w:p>
        </w:tc>
        <w:tc>
          <w:tcPr>
            <w:tcW w:w="0" w:type="auto"/>
            <w:hideMark/>
          </w:tcPr>
          <w:p w14:paraId="5CE7A897" w14:textId="77777777" w:rsidR="000D417E" w:rsidRPr="00845858" w:rsidRDefault="000D417E">
            <w:pPr>
              <w:pStyle w:val="Compact"/>
              <w:jc w:val="center"/>
              <w:rPr>
                <w:sz w:val="20"/>
                <w:szCs w:val="20"/>
              </w:rPr>
            </w:pPr>
            <w:r w:rsidRPr="00845858">
              <w:rPr>
                <w:sz w:val="20"/>
                <w:szCs w:val="20"/>
              </w:rPr>
              <w:t>40(6)</w:t>
            </w:r>
          </w:p>
        </w:tc>
      </w:tr>
      <w:tr w:rsidR="000D417E" w14:paraId="1E4E94CB" w14:textId="77777777" w:rsidTr="00845858">
        <w:trPr>
          <w:jc w:val="center"/>
        </w:trPr>
        <w:tc>
          <w:tcPr>
            <w:tcW w:w="0" w:type="auto"/>
            <w:hideMark/>
          </w:tcPr>
          <w:p w14:paraId="0ED4D886" w14:textId="3E0117FB" w:rsidR="000D417E" w:rsidRPr="00845858" w:rsidRDefault="00845858">
            <w:pPr>
              <w:pStyle w:val="Compact"/>
              <w:rPr>
                <w:sz w:val="20"/>
                <w:szCs w:val="20"/>
              </w:rPr>
            </w:pPr>
            <w:r w:rsidRPr="00845858">
              <w:rPr>
                <w:b/>
                <w:sz w:val="20"/>
                <w:szCs w:val="20"/>
              </w:rPr>
              <w:t>A</w:t>
            </w:r>
            <w:r w:rsidR="000D417E" w:rsidRPr="00845858">
              <w:rPr>
                <w:b/>
                <w:sz w:val="20"/>
                <w:szCs w:val="20"/>
              </w:rPr>
              <w:t>lbumin</w:t>
            </w:r>
          </w:p>
        </w:tc>
        <w:tc>
          <w:tcPr>
            <w:tcW w:w="0" w:type="auto"/>
            <w:hideMark/>
          </w:tcPr>
          <w:p w14:paraId="168355BD" w14:textId="77777777" w:rsidR="000D417E" w:rsidRPr="00845858" w:rsidRDefault="000D417E">
            <w:pPr>
              <w:pStyle w:val="Compact"/>
              <w:jc w:val="center"/>
              <w:rPr>
                <w:sz w:val="20"/>
                <w:szCs w:val="20"/>
              </w:rPr>
            </w:pPr>
            <w:r w:rsidRPr="00845858">
              <w:rPr>
                <w:sz w:val="20"/>
                <w:szCs w:val="20"/>
              </w:rPr>
              <w:t>4.041(0.5798)</w:t>
            </w:r>
          </w:p>
        </w:tc>
        <w:tc>
          <w:tcPr>
            <w:tcW w:w="0" w:type="auto"/>
            <w:hideMark/>
          </w:tcPr>
          <w:p w14:paraId="477CEAF5" w14:textId="77777777" w:rsidR="000D417E" w:rsidRPr="00845858" w:rsidRDefault="000D417E">
            <w:pPr>
              <w:pStyle w:val="Compact"/>
              <w:jc w:val="center"/>
              <w:rPr>
                <w:sz w:val="20"/>
                <w:szCs w:val="20"/>
              </w:rPr>
            </w:pPr>
            <w:r w:rsidRPr="00845858">
              <w:rPr>
                <w:sz w:val="20"/>
                <w:szCs w:val="20"/>
              </w:rPr>
              <w:t>4.031(0.5574)</w:t>
            </w:r>
          </w:p>
        </w:tc>
      </w:tr>
      <w:tr w:rsidR="000D417E" w14:paraId="2EE4F8A3" w14:textId="77777777" w:rsidTr="00845858">
        <w:trPr>
          <w:jc w:val="center"/>
        </w:trPr>
        <w:tc>
          <w:tcPr>
            <w:tcW w:w="0" w:type="auto"/>
            <w:hideMark/>
          </w:tcPr>
          <w:p w14:paraId="47AEF6C7" w14:textId="7296D091" w:rsidR="000D417E" w:rsidRPr="00845858" w:rsidRDefault="000D417E">
            <w:pPr>
              <w:pStyle w:val="Compact"/>
              <w:rPr>
                <w:sz w:val="20"/>
                <w:szCs w:val="20"/>
              </w:rPr>
            </w:pPr>
            <w:r w:rsidRPr="00845858">
              <w:rPr>
                <w:sz w:val="20"/>
                <w:szCs w:val="20"/>
              </w:rPr>
              <w:t> Missing</w:t>
            </w:r>
            <w:r w:rsidR="00845858" w:rsidRPr="00845858">
              <w:rPr>
                <w:sz w:val="20"/>
                <w:szCs w:val="20"/>
              </w:rPr>
              <w:t xml:space="preserve"> </w:t>
            </w:r>
            <w:r w:rsidRPr="00845858">
              <w:rPr>
                <w:sz w:val="20"/>
                <w:szCs w:val="20"/>
              </w:rPr>
              <w:t>(N%)</w:t>
            </w:r>
          </w:p>
        </w:tc>
        <w:tc>
          <w:tcPr>
            <w:tcW w:w="0" w:type="auto"/>
            <w:hideMark/>
          </w:tcPr>
          <w:p w14:paraId="1E3E11A1" w14:textId="77777777" w:rsidR="000D417E" w:rsidRPr="00845858" w:rsidRDefault="000D417E">
            <w:pPr>
              <w:pStyle w:val="Compact"/>
              <w:jc w:val="center"/>
              <w:rPr>
                <w:sz w:val="20"/>
                <w:szCs w:val="20"/>
              </w:rPr>
            </w:pPr>
            <w:r w:rsidRPr="00845858">
              <w:rPr>
                <w:sz w:val="20"/>
                <w:szCs w:val="20"/>
              </w:rPr>
              <w:t>12,623(50)</w:t>
            </w:r>
          </w:p>
        </w:tc>
        <w:tc>
          <w:tcPr>
            <w:tcW w:w="0" w:type="auto"/>
            <w:hideMark/>
          </w:tcPr>
          <w:p w14:paraId="4E36FF17" w14:textId="77777777" w:rsidR="000D417E" w:rsidRPr="00845858" w:rsidRDefault="000D417E">
            <w:pPr>
              <w:pStyle w:val="Compact"/>
              <w:jc w:val="center"/>
              <w:rPr>
                <w:sz w:val="20"/>
                <w:szCs w:val="20"/>
              </w:rPr>
            </w:pPr>
            <w:r w:rsidRPr="00845858">
              <w:rPr>
                <w:sz w:val="20"/>
                <w:szCs w:val="20"/>
              </w:rPr>
              <w:t>343(49)</w:t>
            </w:r>
          </w:p>
        </w:tc>
      </w:tr>
    </w:tbl>
    <w:p w14:paraId="545D33A9" w14:textId="30CC8906" w:rsidR="00950B5A" w:rsidRDefault="00950B5A" w:rsidP="00950B5A">
      <w:pPr>
        <w:spacing w:line="480" w:lineRule="auto"/>
      </w:pPr>
      <w:r>
        <w:t xml:space="preserve">As seen above, albumin had a large amount of missing data. Knowing this was a lab result typically not included until recently, some missingness is expected. To ensure that the missingness is random, and will not impact our findings, we </w:t>
      </w:r>
      <w:r w:rsidR="00845858">
        <w:t>inspected the data for patterns</w:t>
      </w:r>
      <w:r w:rsidR="008E0746">
        <w:t xml:space="preserve"> in missing values</w:t>
      </w:r>
      <w:r>
        <w:t xml:space="preserve">. Figure 1 in the </w:t>
      </w:r>
      <w:r>
        <w:lastRenderedPageBreak/>
        <w:t xml:space="preserve">appendix is one plot of many used to </w:t>
      </w:r>
      <w:r w:rsidR="005D06DA">
        <w:t>check for trends</w:t>
      </w:r>
      <w:r>
        <w:t xml:space="preserve">. It shows, using box plots, the distribution of BMI for patients with (blue) and without (red) albumin measures. The boxplots are essentially identical, telling us that </w:t>
      </w:r>
      <w:r w:rsidR="002F7B03">
        <w:t>albumin missingness is not related to BMI</w:t>
      </w:r>
      <w:r>
        <w:t>.</w:t>
      </w:r>
      <w:r w:rsidR="002F7B03">
        <w:t xml:space="preserve"> </w:t>
      </w:r>
      <w:r>
        <w:t xml:space="preserve">We also compared the percent of patients who died within 30 days. 6% of people missing albumin died within 30 days. This was highly </w:t>
      </w:r>
      <w:proofErr w:type="gramStart"/>
      <w:r>
        <w:t>similar to</w:t>
      </w:r>
      <w:proofErr w:type="gramEnd"/>
      <w:r>
        <w:t xml:space="preserve"> the percent of people with albumin measur</w:t>
      </w:r>
      <w:r w:rsidR="002F7B03">
        <w:t>e</w:t>
      </w:r>
      <w:r>
        <w:t>ments who died</w:t>
      </w:r>
      <w:r w:rsidR="005D06DA">
        <w:t>—</w:t>
      </w:r>
      <w:r>
        <w:t>4%. A</w:t>
      </w:r>
      <w:r w:rsidR="002F7B03">
        <w:t>f</w:t>
      </w:r>
      <w:r>
        <w:t>ter much deliberation, it was decided that albumin is missing at random, and we need not be concerned about bias in our results due to its missingness.</w:t>
      </w:r>
    </w:p>
    <w:p w14:paraId="4ADE10F2" w14:textId="57602904" w:rsidR="00950B5A" w:rsidRPr="002461CF" w:rsidRDefault="00950B5A" w:rsidP="002461CF">
      <w:pPr>
        <w:pStyle w:val="Heading1"/>
        <w:rPr>
          <w:color w:val="auto"/>
        </w:rPr>
      </w:pPr>
      <w:r w:rsidRPr="002461CF">
        <w:rPr>
          <w:color w:val="auto"/>
        </w:rPr>
        <w:t>Methods</w:t>
      </w:r>
    </w:p>
    <w:p w14:paraId="4E1DAD2D" w14:textId="0E17D541" w:rsidR="00E01E27" w:rsidRDefault="00E01E27" w:rsidP="00950B5A">
      <w:pPr>
        <w:spacing w:line="480" w:lineRule="auto"/>
      </w:pPr>
      <w:r>
        <w:t xml:space="preserve">Our objective was to determine if the death rates in VA hospitals during period 39 deviated from those we expected given historic data. Before analysis could begin, some data cleaning was necessary. BMI measures below 60 were considered by the investigator to be medically </w:t>
      </w:r>
      <w:r w:rsidR="005D06DA">
        <w:t>feasible</w:t>
      </w:r>
      <w:r>
        <w:t>. Any values above 60 were removed. It was also found that very few patients had an ASA of 1, so those with ASA 1 or 2 were combined into category 2. This was deemed medically reasonable given the highly similar status of patients in the two groups. A few patients had</w:t>
      </w:r>
      <w:r w:rsidR="002F7B03">
        <w:t xml:space="preserve"> a</w:t>
      </w:r>
      <w:r>
        <w:t xml:space="preserve"> procedure code </w:t>
      </w:r>
      <w:r w:rsidR="002F7B03">
        <w:t>of</w:t>
      </w:r>
      <w:r>
        <w:t xml:space="preserve"> 2. We determined these instances were typos and those with such had their procedure codes removed.</w:t>
      </w:r>
      <w:r w:rsidR="002F7B03">
        <w:t xml:space="preserve"> In some hospitals, weight was entered in kilograms instead of pounds. Since BMI for patients with such was still calculated using pounds, we were able to ignore these administrative errors and use BMI for modeling without adjustment.</w:t>
      </w:r>
      <w:r w:rsidR="00D34BF8">
        <w:t xml:space="preserve"> Since there are likely</w:t>
      </w:r>
      <w:r w:rsidR="00D34BF8">
        <w:t xml:space="preserve"> differences in the patient populations </w:t>
      </w:r>
      <w:r w:rsidR="00D34BF8">
        <w:t>between</w:t>
      </w:r>
      <w:r w:rsidR="00D34BF8">
        <w:t xml:space="preserve"> hospitals, the mortality rates </w:t>
      </w:r>
      <w:r w:rsidR="00D34BF8">
        <w:t>are risk-adjusted by hospital.</w:t>
      </w:r>
    </w:p>
    <w:p w14:paraId="02DBD643" w14:textId="6E960335" w:rsidR="00E01E27" w:rsidRDefault="00E01E27" w:rsidP="00950B5A">
      <w:pPr>
        <w:spacing w:line="480" w:lineRule="auto"/>
      </w:pPr>
      <w:r>
        <w:t xml:space="preserve">Modeling was performed using R version 1.1.453. A model predicting death within 30 days was built using logistic regression. Data to build the model contained only patients in periods prior to 39-- totaling 22,179 patients in the subset. Model covariates were BMI, </w:t>
      </w:r>
      <w:r w:rsidR="005D06DA">
        <w:t>P</w:t>
      </w:r>
      <w:r>
        <w:t>rocedure, ASA</w:t>
      </w:r>
      <w:r w:rsidR="005D06DA">
        <w:t>, and</w:t>
      </w:r>
      <w:r>
        <w:t xml:space="preserve"> </w:t>
      </w:r>
      <w:r w:rsidR="005D06DA">
        <w:t>A</w:t>
      </w:r>
      <w:r>
        <w:t xml:space="preserve">lbumin. Later we did run a model </w:t>
      </w:r>
      <w:r w:rsidR="005D06DA">
        <w:t>excluding</w:t>
      </w:r>
      <w:r>
        <w:t xml:space="preserve"> albumin, for comparison’s sake. Non-parametric bootstrapping was used to repeatedly draw from the data (periods 34-38) and reconstruct the model with each sample. Samples </w:t>
      </w:r>
      <w:r>
        <w:lastRenderedPageBreak/>
        <w:t>were ensured to be balanced for each hospital by drawing randomly from each hospital, with replacement, and then aggregating hospital data together. The model that resulted was used to predict the death rate within 30 days for time period 39.</w:t>
      </w:r>
      <w:r w:rsidR="00D34BF8">
        <w:t xml:space="preserve"> This was done for each hospital </w:t>
      </w:r>
      <w:proofErr w:type="gramStart"/>
      <w:r w:rsidR="00D34BF8">
        <w:t>individually</w:t>
      </w:r>
      <w:proofErr w:type="gramEnd"/>
      <w:r w:rsidR="00D34BF8">
        <w:t xml:space="preserve"> so risk-adjustment remained specific to a hospital’s population.</w:t>
      </w:r>
      <w:r>
        <w:t xml:space="preserve"> The mean of the predicted values for each hospital was aggregated over al</w:t>
      </w:r>
      <w:r w:rsidR="005D06DA">
        <w:t>l</w:t>
      </w:r>
      <w:r>
        <w:t xml:space="preserve"> bootstraps—1000 in total—and the mean of these means was taken to find the point estimate for predicted death rate in period 39. In addition, the 5</w:t>
      </w:r>
      <w:r w:rsidRPr="00E01E27">
        <w:rPr>
          <w:vertAlign w:val="superscript"/>
        </w:rPr>
        <w:t>th</w:t>
      </w:r>
      <w:r>
        <w:t xml:space="preserve"> and 95</w:t>
      </w:r>
      <w:r w:rsidRPr="00E01E27">
        <w:rPr>
          <w:vertAlign w:val="superscript"/>
        </w:rPr>
        <w:t>th</w:t>
      </w:r>
      <w:r>
        <w:t xml:space="preserve"> percentile of the means was collected to provide </w:t>
      </w:r>
      <w:proofErr w:type="spellStart"/>
      <w:r>
        <w:t>a</w:t>
      </w:r>
      <w:proofErr w:type="spellEnd"/>
      <w:r w:rsidR="00D34BF8">
        <w:t xml:space="preserve"> reasonable</w:t>
      </w:r>
      <w:r>
        <w:t xml:space="preserve"> estimate of variation </w:t>
      </w:r>
      <w:r w:rsidR="00D34BF8">
        <w:t>for expected values</w:t>
      </w:r>
      <w:r>
        <w:t xml:space="preserve">. </w:t>
      </w:r>
    </w:p>
    <w:p w14:paraId="03545843" w14:textId="121E843B" w:rsidR="007324BB" w:rsidRDefault="00E01E27" w:rsidP="00950B5A">
      <w:pPr>
        <w:spacing w:line="480" w:lineRule="auto"/>
        <w:rPr>
          <w:rFonts w:eastAsiaTheme="minorEastAsia"/>
        </w:rPr>
      </w:pPr>
      <w:r>
        <w:t xml:space="preserve">Following the bootstrapped generation of a confidence interval, we used the binomial theorem </w:t>
      </w:r>
      <w:r w:rsidR="000968ED">
        <w:t xml:space="preserve">to calculate the 95% confidence interval for death rate in period 39. Recalling that the variance of a binomial random variable is  </w:t>
      </w:r>
      <m:oMath>
        <m:r>
          <w:rPr>
            <w:rFonts w:ascii="Cambria Math" w:hAnsi="Cambria Math"/>
          </w:rPr>
          <m:t>p(1-p)</m:t>
        </m:r>
      </m:oMath>
      <w:r w:rsidR="000968ED">
        <w:rPr>
          <w:rFonts w:eastAsiaTheme="minorEastAsia"/>
        </w:rPr>
        <w:t xml:space="preserve"> with </w:t>
      </w:r>
      <m:oMath>
        <m:r>
          <w:rPr>
            <w:rFonts w:ascii="Cambria Math" w:eastAsiaTheme="minorEastAsia" w:hAnsi="Cambria Math"/>
          </w:rPr>
          <m:t>p</m:t>
        </m:r>
      </m:oMath>
      <w:r w:rsidR="000968ED">
        <w:rPr>
          <w:rFonts w:eastAsiaTheme="minorEastAsia"/>
        </w:rPr>
        <w:t xml:space="preserve"> being the observed death rate for a </w:t>
      </w:r>
      <w:r w:rsidR="005D06DA">
        <w:rPr>
          <w:rFonts w:eastAsiaTheme="minorEastAsia"/>
        </w:rPr>
        <w:t xml:space="preserve">given </w:t>
      </w:r>
      <w:r w:rsidR="000968ED">
        <w:rPr>
          <w:rFonts w:eastAsiaTheme="minorEastAsia"/>
        </w:rPr>
        <w:t xml:space="preserve">hospital, we used the formula </w:t>
      </w:r>
      <m:oMath>
        <m:r>
          <w:rPr>
            <w:rFonts w:ascii="Cambria Math" w:eastAsiaTheme="minorEastAsia" w:hAnsi="Cambria Math"/>
          </w:rPr>
          <m:t>CI=</m:t>
        </m:r>
        <m:r>
          <w:rPr>
            <w:rFonts w:ascii="Cambria Math" w:eastAsiaTheme="minorEastAsia" w:hAnsi="Cambria Math"/>
            <w:sz w:val="20"/>
          </w:rPr>
          <m:t>μ±1.96</m:t>
        </m:r>
        <m:d>
          <m:dPr>
            <m:ctrlPr>
              <w:rPr>
                <w:rFonts w:ascii="Cambria Math" w:eastAsiaTheme="minorEastAsia" w:hAnsi="Cambria Math"/>
                <w:i/>
                <w:sz w:val="20"/>
              </w:rPr>
            </m:ctrlPr>
          </m:dPr>
          <m:e>
            <m:r>
              <w:rPr>
                <w:rFonts w:ascii="Cambria Math" w:eastAsiaTheme="minorEastAsia" w:hAnsi="Cambria Math"/>
                <w:sz w:val="20"/>
              </w:rPr>
              <m:t>SE</m:t>
            </m:r>
          </m:e>
        </m:d>
        <m:r>
          <w:rPr>
            <w:rFonts w:ascii="Cambria Math" w:eastAsiaTheme="minorEastAsia" w:hAnsi="Cambria Math"/>
            <w:sz w:val="20"/>
          </w:rPr>
          <m:t>=μ±1.96</m:t>
        </m:r>
        <m:d>
          <m:dPr>
            <m:ctrlPr>
              <w:rPr>
                <w:rFonts w:ascii="Cambria Math" w:eastAsiaTheme="minorEastAsia" w:hAnsi="Cambria Math"/>
                <w:i/>
                <w:sz w:val="20"/>
              </w:rPr>
            </m:ctrlPr>
          </m:dPr>
          <m:e>
            <m:rad>
              <m:radPr>
                <m:degHide m:val="1"/>
                <m:ctrlPr>
                  <w:rPr>
                    <w:rFonts w:ascii="Cambria Math" w:eastAsiaTheme="minorEastAsia" w:hAnsi="Cambria Math"/>
                    <w:i/>
                    <w:sz w:val="20"/>
                  </w:rPr>
                </m:ctrlPr>
              </m:radPr>
              <m:deg>
                <m:ctrlPr>
                  <w:rPr>
                    <w:rFonts w:ascii="Cambria Math" w:hAnsi="Cambria Math"/>
                    <w:i/>
                    <w:sz w:val="20"/>
                  </w:rPr>
                </m:ctrlPr>
              </m:deg>
              <m:e>
                <m:f>
                  <m:fPr>
                    <m:ctrlPr>
                      <w:rPr>
                        <w:rFonts w:ascii="Cambria Math" w:hAnsi="Cambria Math"/>
                        <w:i/>
                        <w:sz w:val="20"/>
                      </w:rPr>
                    </m:ctrlPr>
                  </m:fPr>
                  <m:num>
                    <m:r>
                      <w:rPr>
                        <w:rFonts w:ascii="Cambria Math" w:hAnsi="Cambria Math"/>
                        <w:sz w:val="20"/>
                      </w:rPr>
                      <m:t>p</m:t>
                    </m:r>
                    <m:d>
                      <m:dPr>
                        <m:ctrlPr>
                          <w:rPr>
                            <w:rFonts w:ascii="Cambria Math" w:hAnsi="Cambria Math"/>
                            <w:i/>
                            <w:sz w:val="20"/>
                          </w:rPr>
                        </m:ctrlPr>
                      </m:dPr>
                      <m:e>
                        <m:r>
                          <w:rPr>
                            <w:rFonts w:ascii="Cambria Math" w:hAnsi="Cambria Math"/>
                            <w:sz w:val="20"/>
                          </w:rPr>
                          <m:t>1-p</m:t>
                        </m:r>
                      </m:e>
                    </m:d>
                  </m:num>
                  <m:den>
                    <m:r>
                      <w:rPr>
                        <w:rFonts w:ascii="Cambria Math" w:hAnsi="Cambria Math"/>
                        <w:sz w:val="20"/>
                      </w:rPr>
                      <m:t>n</m:t>
                    </m:r>
                  </m:den>
                </m:f>
              </m:e>
            </m:rad>
          </m:e>
        </m:d>
      </m:oMath>
      <w:r w:rsidR="002F7B03">
        <w:rPr>
          <w:rFonts w:eastAsiaTheme="minorEastAsia"/>
        </w:rPr>
        <w:t xml:space="preserve"> t</w:t>
      </w:r>
      <w:r w:rsidR="000968ED">
        <w:rPr>
          <w:rFonts w:eastAsiaTheme="minorEastAsia"/>
        </w:rPr>
        <w:t>o calculate our confidence interval using observed death rates</w:t>
      </w:r>
      <w:r w:rsidR="005D06DA">
        <w:rPr>
          <w:rFonts w:eastAsiaTheme="minorEastAsia"/>
        </w:rPr>
        <w:t xml:space="preserve"> from just this final period</w:t>
      </w:r>
      <w:r w:rsidR="000968ED">
        <w:rPr>
          <w:rFonts w:eastAsiaTheme="minorEastAsia"/>
        </w:rPr>
        <w:t>. These two confidence intervals</w:t>
      </w:r>
      <w:r w:rsidR="005D06DA">
        <w:rPr>
          <w:rFonts w:eastAsiaTheme="minorEastAsia"/>
        </w:rPr>
        <w:t>—</w:t>
      </w:r>
      <w:r w:rsidR="000968ED">
        <w:rPr>
          <w:rFonts w:eastAsiaTheme="minorEastAsia"/>
        </w:rPr>
        <w:t>that</w:t>
      </w:r>
      <w:r w:rsidR="005D06DA">
        <w:rPr>
          <w:rFonts w:eastAsiaTheme="minorEastAsia"/>
        </w:rPr>
        <w:t xml:space="preserve"> </w:t>
      </w:r>
      <w:r w:rsidR="000968ED">
        <w:rPr>
          <w:rFonts w:eastAsiaTheme="minorEastAsia"/>
        </w:rPr>
        <w:t>found from bootstrapping and that from the binomial theorem</w:t>
      </w:r>
      <w:r w:rsidR="005D06DA">
        <w:rPr>
          <w:rFonts w:eastAsiaTheme="minorEastAsia"/>
        </w:rPr>
        <w:t>—</w:t>
      </w:r>
      <w:r w:rsidR="000968ED">
        <w:rPr>
          <w:rFonts w:eastAsiaTheme="minorEastAsia"/>
        </w:rPr>
        <w:t>were</w:t>
      </w:r>
      <w:r w:rsidR="005D06DA">
        <w:rPr>
          <w:rFonts w:eastAsiaTheme="minorEastAsia"/>
        </w:rPr>
        <w:t xml:space="preserve"> </w:t>
      </w:r>
      <w:r w:rsidR="000968ED">
        <w:rPr>
          <w:rFonts w:eastAsiaTheme="minorEastAsia"/>
        </w:rPr>
        <w:t xml:space="preserve">compared first to the observed rates for each hospital and </w:t>
      </w:r>
      <w:r w:rsidR="005D06DA">
        <w:rPr>
          <w:rFonts w:eastAsiaTheme="minorEastAsia"/>
        </w:rPr>
        <w:t xml:space="preserve">then </w:t>
      </w:r>
      <w:r w:rsidR="000968ED">
        <w:rPr>
          <w:rFonts w:eastAsiaTheme="minorEastAsia"/>
        </w:rPr>
        <w:t>to each other</w:t>
      </w:r>
      <w:r w:rsidR="005D06DA">
        <w:rPr>
          <w:rFonts w:eastAsiaTheme="minorEastAsia"/>
        </w:rPr>
        <w:t xml:space="preserve"> for amount of overlap</w:t>
      </w:r>
      <w:r w:rsidR="000968ED">
        <w:rPr>
          <w:rFonts w:eastAsiaTheme="minorEastAsia"/>
        </w:rPr>
        <w:t xml:space="preserve">. </w:t>
      </w:r>
    </w:p>
    <w:p w14:paraId="4136622E" w14:textId="6D097ADA" w:rsidR="002461CF" w:rsidRDefault="002461CF" w:rsidP="00950B5A">
      <w:pPr>
        <w:spacing w:line="480" w:lineRule="auto"/>
        <w:rPr>
          <w:rFonts w:eastAsiaTheme="minorEastAsia"/>
        </w:rPr>
      </w:pPr>
      <w:r>
        <w:rPr>
          <w:rFonts w:eastAsiaTheme="minorEastAsia"/>
        </w:rPr>
        <w:t>To assess how missingness in the albumin covariate was impacting expected rate estimates, a second bootstrap was run without albumin in the model. This bootstrap too was repeated 1000 times with proportional sampling from each hospital ensured.</w:t>
      </w:r>
    </w:p>
    <w:p w14:paraId="5CB3A457" w14:textId="41D58740" w:rsidR="007324BB" w:rsidRPr="002461CF" w:rsidRDefault="007324BB" w:rsidP="002461CF">
      <w:pPr>
        <w:pStyle w:val="Heading1"/>
        <w:rPr>
          <w:rFonts w:eastAsiaTheme="minorEastAsia"/>
          <w:color w:val="auto"/>
        </w:rPr>
      </w:pPr>
      <w:r w:rsidRPr="002461CF">
        <w:rPr>
          <w:rFonts w:eastAsiaTheme="minorEastAsia"/>
          <w:color w:val="auto"/>
        </w:rPr>
        <w:t>Results</w:t>
      </w:r>
    </w:p>
    <w:p w14:paraId="16E45ABC" w14:textId="0F0C562F" w:rsidR="000968ED" w:rsidRDefault="000968ED" w:rsidP="00950B5A">
      <w:pPr>
        <w:spacing w:line="480" w:lineRule="auto"/>
        <w:rPr>
          <w:rFonts w:eastAsiaTheme="minorEastAsia"/>
        </w:rPr>
      </w:pPr>
      <w:r>
        <w:rPr>
          <w:rFonts w:eastAsiaTheme="minorEastAsia"/>
        </w:rPr>
        <w:t xml:space="preserve">Table 2 in the appendix shows the </w:t>
      </w:r>
      <w:r w:rsidR="008E0746">
        <w:rPr>
          <w:rFonts w:eastAsiaTheme="minorEastAsia"/>
        </w:rPr>
        <w:t xml:space="preserve">confidence </w:t>
      </w:r>
      <w:r>
        <w:rPr>
          <w:rFonts w:eastAsiaTheme="minorEastAsia"/>
        </w:rPr>
        <w:t>intervals and the observed death rates.</w:t>
      </w:r>
      <w:r w:rsidR="00F332C4">
        <w:rPr>
          <w:rFonts w:eastAsiaTheme="minorEastAsia"/>
        </w:rPr>
        <w:t xml:space="preserve"> Overall, the bootstrappe</w:t>
      </w:r>
      <w:r w:rsidR="00950B5A">
        <w:rPr>
          <w:rFonts w:eastAsiaTheme="minorEastAsia"/>
        </w:rPr>
        <w:t>d</w:t>
      </w:r>
      <w:r w:rsidR="00F332C4">
        <w:rPr>
          <w:rFonts w:eastAsiaTheme="minorEastAsia"/>
        </w:rPr>
        <w:t xml:space="preserve"> confidence intervals </w:t>
      </w:r>
      <w:r w:rsidR="002461CF">
        <w:rPr>
          <w:rFonts w:eastAsiaTheme="minorEastAsia"/>
        </w:rPr>
        <w:t xml:space="preserve">from the model containing albumin </w:t>
      </w:r>
      <w:r w:rsidR="00F332C4">
        <w:rPr>
          <w:rFonts w:eastAsiaTheme="minorEastAsia"/>
        </w:rPr>
        <w:t xml:space="preserve">captured </w:t>
      </w:r>
      <w:r w:rsidR="00697E7C">
        <w:rPr>
          <w:rFonts w:eastAsiaTheme="minorEastAsia"/>
        </w:rPr>
        <w:t>32</w:t>
      </w:r>
      <w:r w:rsidR="00F332C4">
        <w:rPr>
          <w:rFonts w:eastAsiaTheme="minorEastAsia"/>
        </w:rPr>
        <w:t xml:space="preserve"> of the 44 hospital’s observed death rates for period 39. </w:t>
      </w:r>
      <w:r w:rsidR="005D06DA">
        <w:rPr>
          <w:rFonts w:eastAsiaTheme="minorEastAsia"/>
        </w:rPr>
        <w:t xml:space="preserve">That is, </w:t>
      </w:r>
      <w:r w:rsidR="00697E7C">
        <w:rPr>
          <w:rFonts w:eastAsiaTheme="minorEastAsia"/>
        </w:rPr>
        <w:t>73</w:t>
      </w:r>
      <w:r w:rsidR="00F332C4">
        <w:rPr>
          <w:rFonts w:eastAsiaTheme="minorEastAsia"/>
        </w:rPr>
        <w:t xml:space="preserve">% of the hospitals had observed rates within the expected variation seen from the predictive model. Of the </w:t>
      </w:r>
      <w:r w:rsidR="00697E7C">
        <w:rPr>
          <w:rFonts w:eastAsiaTheme="minorEastAsia"/>
        </w:rPr>
        <w:t>27</w:t>
      </w:r>
      <w:r w:rsidR="00F332C4">
        <w:rPr>
          <w:rFonts w:eastAsiaTheme="minorEastAsia"/>
        </w:rPr>
        <w:t xml:space="preserve">% of hospitals that had values outside of the predicted rates, </w:t>
      </w:r>
      <w:r w:rsidR="00697E7C">
        <w:rPr>
          <w:rFonts w:eastAsiaTheme="minorEastAsia"/>
        </w:rPr>
        <w:t>9</w:t>
      </w:r>
      <w:r w:rsidR="00F332C4">
        <w:rPr>
          <w:rFonts w:eastAsiaTheme="minorEastAsia"/>
        </w:rPr>
        <w:t xml:space="preserve"> had </w:t>
      </w:r>
      <w:r w:rsidR="00697E7C">
        <w:rPr>
          <w:rFonts w:eastAsiaTheme="minorEastAsia"/>
        </w:rPr>
        <w:t>no patients die in period 39</w:t>
      </w:r>
      <w:r w:rsidR="00F332C4">
        <w:rPr>
          <w:rFonts w:eastAsiaTheme="minorEastAsia"/>
        </w:rPr>
        <w:t xml:space="preserve">. The remaining </w:t>
      </w:r>
      <w:r w:rsidR="00697E7C">
        <w:rPr>
          <w:rFonts w:eastAsiaTheme="minorEastAsia"/>
        </w:rPr>
        <w:t>9</w:t>
      </w:r>
      <w:r w:rsidR="00F332C4">
        <w:rPr>
          <w:rFonts w:eastAsiaTheme="minorEastAsia"/>
        </w:rPr>
        <w:t xml:space="preserve">% of hospitals had more deaths than </w:t>
      </w:r>
      <w:r w:rsidR="00F332C4">
        <w:rPr>
          <w:rFonts w:eastAsiaTheme="minorEastAsia"/>
        </w:rPr>
        <w:lastRenderedPageBreak/>
        <w:t xml:space="preserve">were expected given historic rates. They are shown in </w:t>
      </w:r>
      <w:r w:rsidR="000D417E">
        <w:rPr>
          <w:rFonts w:eastAsiaTheme="minorEastAsia"/>
        </w:rPr>
        <w:t>F</w:t>
      </w:r>
      <w:r w:rsidR="00F332C4">
        <w:rPr>
          <w:rFonts w:eastAsiaTheme="minorEastAsia"/>
        </w:rPr>
        <w:t xml:space="preserve">igure </w:t>
      </w:r>
      <w:r w:rsidR="000D417E">
        <w:rPr>
          <w:rFonts w:eastAsiaTheme="minorEastAsia"/>
        </w:rPr>
        <w:t>2</w:t>
      </w:r>
      <w:r w:rsidR="00F332C4">
        <w:rPr>
          <w:rFonts w:eastAsiaTheme="minorEastAsia"/>
        </w:rPr>
        <w:t xml:space="preserve"> in the appendix. </w:t>
      </w:r>
      <w:r w:rsidR="00950B5A">
        <w:rPr>
          <w:rFonts w:eastAsiaTheme="minorEastAsia"/>
        </w:rPr>
        <w:t xml:space="preserve">As a visual representation of </w:t>
      </w:r>
      <w:r w:rsidR="002461CF">
        <w:rPr>
          <w:rFonts w:eastAsiaTheme="minorEastAsia"/>
        </w:rPr>
        <w:t>T</w:t>
      </w:r>
      <w:r w:rsidR="00950B5A">
        <w:rPr>
          <w:rFonts w:eastAsiaTheme="minorEastAsia"/>
        </w:rPr>
        <w:t xml:space="preserve">able 2, </w:t>
      </w:r>
      <w:r w:rsidR="002461CF">
        <w:rPr>
          <w:rFonts w:eastAsiaTheme="minorEastAsia"/>
        </w:rPr>
        <w:t>F</w:t>
      </w:r>
      <w:r w:rsidR="00950B5A">
        <w:rPr>
          <w:rFonts w:eastAsiaTheme="minorEastAsia"/>
        </w:rPr>
        <w:t xml:space="preserve">igure </w:t>
      </w:r>
      <w:r w:rsidR="000D417E">
        <w:rPr>
          <w:rFonts w:eastAsiaTheme="minorEastAsia"/>
        </w:rPr>
        <w:t>2</w:t>
      </w:r>
      <w:r w:rsidR="00950B5A">
        <w:rPr>
          <w:rFonts w:eastAsiaTheme="minorEastAsia"/>
        </w:rPr>
        <w:t xml:space="preserve"> shows </w:t>
      </w:r>
      <w:r w:rsidR="006D1998">
        <w:rPr>
          <w:rFonts w:eastAsiaTheme="minorEastAsia"/>
        </w:rPr>
        <w:t xml:space="preserve">where </w:t>
      </w:r>
      <w:r w:rsidR="00950B5A">
        <w:rPr>
          <w:rFonts w:eastAsiaTheme="minorEastAsia"/>
        </w:rPr>
        <w:t>the observed confidence interval</w:t>
      </w:r>
      <w:r w:rsidR="006D1998">
        <w:rPr>
          <w:rFonts w:eastAsiaTheme="minorEastAsia"/>
        </w:rPr>
        <w:t>s</w:t>
      </w:r>
      <w:r w:rsidR="00950B5A">
        <w:rPr>
          <w:rFonts w:eastAsiaTheme="minorEastAsia"/>
        </w:rPr>
        <w:t xml:space="preserve"> (blue) overlap the expected confidence intervals (red). Each </w:t>
      </w:r>
      <w:r w:rsidR="006D1998">
        <w:rPr>
          <w:rFonts w:eastAsiaTheme="minorEastAsia"/>
        </w:rPr>
        <w:t xml:space="preserve">black </w:t>
      </w:r>
      <w:r w:rsidR="00950B5A">
        <w:rPr>
          <w:rFonts w:eastAsiaTheme="minorEastAsia"/>
        </w:rPr>
        <w:t>point is the observed death rate for each hospital—along the x-axis—in period 39. Naturally, the observed value will fall exactly in the middle of the observed confidence interval. What is relevant to see is where the observed does not overlap the expected. In these circumstances, it is reasonable to conclude that the hospital had an atypical month. For hospitals with no deaths in period 39, there is no blue observed interval to create, so while they deviate significantly from expected values, their deviation is good news. Hospitals 17, 21, and 34 have observed intervals that never or hardly overlap expected intervals.</w:t>
      </w:r>
      <w:r w:rsidR="00853D04">
        <w:rPr>
          <w:rFonts w:eastAsiaTheme="minorEastAsia"/>
        </w:rPr>
        <w:t xml:space="preserve"> Hospital 34 had the worst deviation</w:t>
      </w:r>
      <w:r w:rsidR="00950B5A">
        <w:rPr>
          <w:rFonts w:eastAsiaTheme="minorEastAsia"/>
        </w:rPr>
        <w:t xml:space="preserve"> </w:t>
      </w:r>
      <w:r w:rsidR="00853D04">
        <w:rPr>
          <w:rFonts w:eastAsiaTheme="minorEastAsia"/>
        </w:rPr>
        <w:t>with 11.8% death rate in period 39 but a maximum expected death rate of 4.8%</w:t>
      </w:r>
      <w:r w:rsidR="00F16D04">
        <w:rPr>
          <w:rFonts w:eastAsiaTheme="minorEastAsia"/>
        </w:rPr>
        <w:t xml:space="preserve"> (p-value: &lt;.0001)</w:t>
      </w:r>
      <w:r w:rsidR="00853D04">
        <w:rPr>
          <w:rFonts w:eastAsiaTheme="minorEastAsia"/>
        </w:rPr>
        <w:t>. Hospitals 17 and 21 had slight overlap between expected and observed rates but still showed markedly high death rates (11.5 and 9.5, respectively).</w:t>
      </w:r>
      <w:r w:rsidR="003251C7">
        <w:rPr>
          <w:rFonts w:eastAsiaTheme="minorEastAsia"/>
        </w:rPr>
        <w:t xml:space="preserve"> Though these are the most blatant deviations from expected values, p-values calculated by determining probability of observed number of deaths given expected death rate indicate that hospitals 7 and 1</w:t>
      </w:r>
      <w:r w:rsidR="00F16D04">
        <w:rPr>
          <w:rFonts w:eastAsiaTheme="minorEastAsia"/>
        </w:rPr>
        <w:t>4</w:t>
      </w:r>
      <w:r w:rsidR="003251C7">
        <w:rPr>
          <w:rFonts w:eastAsiaTheme="minorEastAsia"/>
        </w:rPr>
        <w:t xml:space="preserve"> also deviated significantly from that which was expected (table 2, highlighted). These are significant by the standard .05 threshold</w:t>
      </w:r>
      <w:r w:rsidR="00F16D04">
        <w:rPr>
          <w:rFonts w:eastAsiaTheme="minorEastAsia"/>
        </w:rPr>
        <w:t xml:space="preserve"> with p-values of 0.04 and 0.02, respectively</w:t>
      </w:r>
      <w:r w:rsidR="003251C7">
        <w:rPr>
          <w:rFonts w:eastAsiaTheme="minorEastAsia"/>
        </w:rPr>
        <w:t>.</w:t>
      </w:r>
    </w:p>
    <w:p w14:paraId="2644BE6F" w14:textId="31AF1DBA" w:rsidR="006D1998" w:rsidRDefault="006D1998" w:rsidP="00950B5A">
      <w:pPr>
        <w:spacing w:line="480" w:lineRule="auto"/>
        <w:rPr>
          <w:rFonts w:eastAsiaTheme="minorEastAsia"/>
        </w:rPr>
      </w:pPr>
      <w:r>
        <w:rPr>
          <w:rFonts w:eastAsiaTheme="minorEastAsia"/>
        </w:rPr>
        <w:t xml:space="preserve">Figure </w:t>
      </w:r>
      <w:r w:rsidR="008E0746">
        <w:rPr>
          <w:rFonts w:eastAsiaTheme="minorEastAsia"/>
        </w:rPr>
        <w:t>3</w:t>
      </w:r>
      <w:r>
        <w:rPr>
          <w:rFonts w:eastAsiaTheme="minorEastAsia"/>
        </w:rPr>
        <w:t xml:space="preserve"> shows the expected confidence intervals generated using a model that excluded albumin. Since patients dropped from the previous model due to missingness were included in this ancillary analysis, expected confidence intervals became significantly smaller. The precision increased dramatically with sample size, making it seem that most hospitals in period 39 deviated significantly from historic rates. For this reason, the model containing albumin was determined to be superior, despite the high missingness of the albumin variable.</w:t>
      </w:r>
    </w:p>
    <w:p w14:paraId="4A04F3B4" w14:textId="5936AFD4" w:rsidR="00950B5A" w:rsidRPr="008E0746" w:rsidRDefault="00950B5A" w:rsidP="008E0746">
      <w:pPr>
        <w:pStyle w:val="Heading1"/>
        <w:rPr>
          <w:rFonts w:eastAsiaTheme="minorEastAsia"/>
          <w:color w:val="auto"/>
        </w:rPr>
      </w:pPr>
      <w:r w:rsidRPr="008E0746">
        <w:rPr>
          <w:rFonts w:eastAsiaTheme="minorEastAsia"/>
          <w:color w:val="auto"/>
        </w:rPr>
        <w:lastRenderedPageBreak/>
        <w:t>Discussion</w:t>
      </w:r>
    </w:p>
    <w:p w14:paraId="2212389A" w14:textId="77777777" w:rsidR="00494AE7" w:rsidRDefault="002461CF" w:rsidP="00950B5A">
      <w:pPr>
        <w:spacing w:line="480" w:lineRule="auto"/>
        <w:rPr>
          <w:rFonts w:eastAsiaTheme="minorEastAsia"/>
        </w:rPr>
      </w:pPr>
      <w:r>
        <w:rPr>
          <w:rFonts w:eastAsiaTheme="minorEastAsia"/>
        </w:rPr>
        <w:t>Despite high missingness in measures for albumin, modeling to predict hospital death rates given historic data produced reasonably tight confidence intervals</w:t>
      </w:r>
      <w:r w:rsidR="006D1998">
        <w:rPr>
          <w:rFonts w:eastAsiaTheme="minorEastAsia"/>
        </w:rPr>
        <w:t xml:space="preserve"> when albumin was included in the model</w:t>
      </w:r>
      <w:r>
        <w:rPr>
          <w:rFonts w:eastAsiaTheme="minorEastAsia"/>
        </w:rPr>
        <w:t xml:space="preserve">. Of the 44 hospitals studied, 32 had observed death rates within the expected range estimated from bootstrap sampling. Since single observations on each hospital gave no estimate of variability, the binomial theorem was employed to ensure that confidence in reasonable deviation from expected values remained high. </w:t>
      </w:r>
      <w:r w:rsidR="00697E7C">
        <w:rPr>
          <w:rFonts w:eastAsiaTheme="minorEastAsia"/>
        </w:rPr>
        <w:t>Nine</w:t>
      </w:r>
      <w:r>
        <w:rPr>
          <w:rFonts w:eastAsiaTheme="minorEastAsia"/>
        </w:rPr>
        <w:t xml:space="preserve"> hospitals had zero deaths in period 39 and should be lauded for such. </w:t>
      </w:r>
      <w:r w:rsidR="00697E7C">
        <w:rPr>
          <w:rFonts w:eastAsiaTheme="minorEastAsia"/>
        </w:rPr>
        <w:t>Three</w:t>
      </w:r>
      <w:r>
        <w:rPr>
          <w:rFonts w:eastAsiaTheme="minorEastAsia"/>
        </w:rPr>
        <w:t xml:space="preserve"> hospitals appeared to have significant deviations from those expected given historic data, and their observed confidence intervals </w:t>
      </w:r>
      <w:r w:rsidR="003F68BA">
        <w:rPr>
          <w:rFonts w:eastAsiaTheme="minorEastAsia"/>
        </w:rPr>
        <w:t>failed to overlap with expected ranges</w:t>
      </w:r>
      <w:r>
        <w:rPr>
          <w:rFonts w:eastAsiaTheme="minorEastAsia"/>
        </w:rPr>
        <w:t>.</w:t>
      </w:r>
    </w:p>
    <w:p w14:paraId="3AD2B283" w14:textId="77777777" w:rsidR="00494AE7" w:rsidRDefault="00494AE7" w:rsidP="00950B5A">
      <w:pPr>
        <w:spacing w:line="480" w:lineRule="auto"/>
        <w:rPr>
          <w:rFonts w:eastAsiaTheme="minorEastAsia"/>
        </w:rPr>
      </w:pPr>
      <w:r>
        <w:rPr>
          <w:rFonts w:eastAsiaTheme="minorEastAsia"/>
        </w:rPr>
        <w:t>You will note that the expected 95% CI for hospital 30 is NA in Table 2. This is likely because there were just 8 people who died for that hospital in all time periods prior to 39. There was almost no variation in this outcome, so it is likely the model failed to converge. Though we could not get an estimate for hospital 30, the extremely low death rate in period 39 (1.2%) fits the historically low rates we observed.</w:t>
      </w:r>
    </w:p>
    <w:p w14:paraId="0A8A0E7B" w14:textId="0B995520" w:rsidR="002F7B03" w:rsidRDefault="00494AE7" w:rsidP="00950B5A">
      <w:pPr>
        <w:spacing w:line="480" w:lineRule="auto"/>
        <w:rPr>
          <w:rFonts w:eastAsiaTheme="minorEastAsia"/>
        </w:rPr>
      </w:pPr>
      <w:r>
        <w:rPr>
          <w:rFonts w:eastAsiaTheme="minorEastAsia"/>
        </w:rPr>
        <w:t xml:space="preserve"> </w:t>
      </w:r>
      <w:r w:rsidR="00697E7C">
        <w:rPr>
          <w:rFonts w:eastAsiaTheme="minorEastAsia"/>
        </w:rPr>
        <w:t xml:space="preserve">It is our recommendation that hospitals </w:t>
      </w:r>
      <w:r w:rsidR="00F3249A">
        <w:rPr>
          <w:rFonts w:eastAsiaTheme="minorEastAsia"/>
        </w:rPr>
        <w:t>7, 1</w:t>
      </w:r>
      <w:r w:rsidR="00F16D04">
        <w:rPr>
          <w:rFonts w:eastAsiaTheme="minorEastAsia"/>
        </w:rPr>
        <w:t>4</w:t>
      </w:r>
      <w:r w:rsidR="00F3249A">
        <w:rPr>
          <w:rFonts w:eastAsiaTheme="minorEastAsia"/>
        </w:rPr>
        <w:t xml:space="preserve">, </w:t>
      </w:r>
      <w:r w:rsidR="00697E7C">
        <w:rPr>
          <w:rFonts w:eastAsiaTheme="minorEastAsia"/>
        </w:rPr>
        <w:t xml:space="preserve">17, 21, and 34 be contacted to </w:t>
      </w:r>
      <w:r w:rsidR="00392177">
        <w:rPr>
          <w:rFonts w:eastAsiaTheme="minorEastAsia"/>
        </w:rPr>
        <w:t>determine why their death rates were</w:t>
      </w:r>
      <w:r w:rsidR="00F3249A">
        <w:rPr>
          <w:rFonts w:eastAsiaTheme="minorEastAsia"/>
        </w:rPr>
        <w:t xml:space="preserve"> </w:t>
      </w:r>
      <w:r w:rsidR="00392177">
        <w:rPr>
          <w:rFonts w:eastAsiaTheme="minorEastAsia"/>
        </w:rPr>
        <w:t>higher than expected for this most recent period. In future death rate assessments, one should still investigate the data to ensure no variable is missing in concert with the value of another variable</w:t>
      </w:r>
      <w:r w:rsidR="003F68BA">
        <w:rPr>
          <w:rFonts w:eastAsiaTheme="minorEastAsia"/>
        </w:rPr>
        <w:t xml:space="preserve"> (or the outcome)</w:t>
      </w:r>
      <w:r w:rsidR="00392177">
        <w:rPr>
          <w:rFonts w:eastAsiaTheme="minorEastAsia"/>
        </w:rPr>
        <w:t>, though here no pattern exists. All code for analysis and figures can be found on the author’s GitHub page.</w:t>
      </w:r>
    </w:p>
    <w:p w14:paraId="2C2BBD0C" w14:textId="25003CC5" w:rsidR="00392177" w:rsidRDefault="00392177" w:rsidP="00950B5A">
      <w:pPr>
        <w:spacing w:line="480" w:lineRule="auto"/>
        <w:rPr>
          <w:rFonts w:eastAsiaTheme="minorEastAsia"/>
          <w:i/>
        </w:rPr>
      </w:pPr>
    </w:p>
    <w:p w14:paraId="15280904" w14:textId="3BEEA1D0" w:rsidR="00392177" w:rsidRDefault="00392177" w:rsidP="00950B5A">
      <w:pPr>
        <w:spacing w:line="480" w:lineRule="auto"/>
        <w:rPr>
          <w:rFonts w:eastAsiaTheme="minorEastAsia"/>
          <w:i/>
        </w:rPr>
      </w:pPr>
    </w:p>
    <w:p w14:paraId="6298E94B" w14:textId="77777777" w:rsidR="00F3249A" w:rsidRPr="00392177" w:rsidRDefault="00F3249A" w:rsidP="00950B5A">
      <w:pPr>
        <w:spacing w:line="480" w:lineRule="auto"/>
        <w:rPr>
          <w:rFonts w:eastAsiaTheme="minorEastAsia"/>
          <w:i/>
        </w:rPr>
      </w:pPr>
      <w:bookmarkStart w:id="0" w:name="_GoBack"/>
      <w:bookmarkEnd w:id="0"/>
    </w:p>
    <w:p w14:paraId="3B9BF260" w14:textId="3FC19B6D" w:rsidR="002F7B03" w:rsidRPr="00392177" w:rsidRDefault="002F7B03" w:rsidP="00392177">
      <w:pPr>
        <w:pStyle w:val="Heading1"/>
        <w:jc w:val="center"/>
        <w:rPr>
          <w:rFonts w:eastAsiaTheme="minorEastAsia"/>
          <w:b/>
          <w:color w:val="auto"/>
        </w:rPr>
      </w:pPr>
      <w:r w:rsidRPr="00392177">
        <w:rPr>
          <w:rFonts w:eastAsiaTheme="minorEastAsia"/>
          <w:b/>
          <w:color w:val="auto"/>
        </w:rPr>
        <w:lastRenderedPageBreak/>
        <w:t>Ap</w:t>
      </w:r>
      <w:r w:rsidR="000D417E" w:rsidRPr="00392177">
        <w:rPr>
          <w:rFonts w:eastAsiaTheme="minorEastAsia"/>
          <w:b/>
          <w:color w:val="auto"/>
        </w:rPr>
        <w:t>p</w:t>
      </w:r>
      <w:r w:rsidRPr="00392177">
        <w:rPr>
          <w:rFonts w:eastAsiaTheme="minorEastAsia"/>
          <w:b/>
          <w:color w:val="auto"/>
        </w:rPr>
        <w:t>endix</w:t>
      </w:r>
    </w:p>
    <w:p w14:paraId="3890B1DB" w14:textId="5D297911" w:rsidR="00392177" w:rsidRPr="00392177" w:rsidRDefault="002F7B03" w:rsidP="00392177">
      <w:pPr>
        <w:spacing w:line="240" w:lineRule="auto"/>
        <w:jc w:val="center"/>
        <w:rPr>
          <w:rFonts w:eastAsiaTheme="minorEastAsia"/>
          <w:i/>
          <w:sz w:val="20"/>
        </w:rPr>
      </w:pPr>
      <w:r w:rsidRPr="000D417E">
        <w:rPr>
          <w:rFonts w:eastAsiaTheme="minorEastAsia"/>
          <w:i/>
          <w:sz w:val="20"/>
        </w:rPr>
        <w:t>Figure 1. Distribution of BMI for all patients (far left), patients with albumin measures (blue) and patients missing albumin (red)</w:t>
      </w:r>
    </w:p>
    <w:p w14:paraId="1DEA5A52" w14:textId="0DDED4A7" w:rsidR="002F7B03" w:rsidRDefault="002F7B03" w:rsidP="002F7B03">
      <w:pPr>
        <w:spacing w:line="480" w:lineRule="auto"/>
        <w:jc w:val="center"/>
        <w:rPr>
          <w:rFonts w:eastAsiaTheme="minorEastAsia"/>
        </w:rPr>
      </w:pPr>
      <w:r>
        <w:rPr>
          <w:noProof/>
        </w:rPr>
        <w:drawing>
          <wp:inline distT="0" distB="0" distL="0" distR="0" wp14:anchorId="351C9FB3" wp14:editId="78B662E6">
            <wp:extent cx="4348163" cy="27243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9463"/>
                    <a:stretch/>
                  </pic:blipFill>
                  <pic:spPr bwMode="auto">
                    <a:xfrm>
                      <a:off x="0" y="0"/>
                      <a:ext cx="4392383" cy="2752068"/>
                    </a:xfrm>
                    <a:prstGeom prst="rect">
                      <a:avLst/>
                    </a:prstGeom>
                    <a:ln>
                      <a:noFill/>
                    </a:ln>
                    <a:extLst>
                      <a:ext uri="{53640926-AAD7-44D8-BBD7-CCE9431645EC}">
                        <a14:shadowObscured xmlns:a14="http://schemas.microsoft.com/office/drawing/2010/main"/>
                      </a:ext>
                    </a:extLst>
                  </pic:spPr>
                </pic:pic>
              </a:graphicData>
            </a:graphic>
          </wp:inline>
        </w:drawing>
      </w:r>
    </w:p>
    <w:p w14:paraId="03910CEF" w14:textId="2E33B407" w:rsidR="000D417E" w:rsidRPr="000D417E" w:rsidRDefault="000D417E" w:rsidP="002F7B03">
      <w:pPr>
        <w:spacing w:line="480" w:lineRule="auto"/>
        <w:jc w:val="center"/>
        <w:rPr>
          <w:rFonts w:eastAsiaTheme="minorEastAsia"/>
          <w:i/>
          <w:sz w:val="20"/>
        </w:rPr>
      </w:pPr>
      <w:r w:rsidRPr="000D417E">
        <w:rPr>
          <w:rFonts w:eastAsiaTheme="minorEastAsia"/>
          <w:i/>
          <w:sz w:val="20"/>
        </w:rPr>
        <w:t>Table 2. Observed death rate (period 39) and the two 95% Cis generated in analysis.</w:t>
      </w:r>
    </w:p>
    <w:tbl>
      <w:tblPr>
        <w:tblStyle w:val="ListTable6Colorful"/>
        <w:tblW w:w="5000" w:type="pct"/>
        <w:jc w:val="center"/>
        <w:tblLook w:val="0620" w:firstRow="1" w:lastRow="0" w:firstColumn="0" w:lastColumn="0" w:noHBand="1" w:noVBand="1"/>
      </w:tblPr>
      <w:tblGrid>
        <w:gridCol w:w="1228"/>
        <w:gridCol w:w="2556"/>
        <w:gridCol w:w="2223"/>
        <w:gridCol w:w="2105"/>
        <w:gridCol w:w="1248"/>
      </w:tblGrid>
      <w:tr w:rsidR="003251C7" w14:paraId="6DE3D6EF" w14:textId="1B1B0D81" w:rsidTr="003251C7">
        <w:trPr>
          <w:cnfStyle w:val="100000000000" w:firstRow="1" w:lastRow="0" w:firstColumn="0" w:lastColumn="0" w:oddVBand="0" w:evenVBand="0" w:oddHBand="0" w:evenHBand="0" w:firstRowFirstColumn="0" w:firstRowLastColumn="0" w:lastRowFirstColumn="0" w:lastRowLastColumn="0"/>
          <w:jc w:val="center"/>
        </w:trPr>
        <w:tc>
          <w:tcPr>
            <w:tcW w:w="0" w:type="auto"/>
            <w:hideMark/>
          </w:tcPr>
          <w:p w14:paraId="6EA9E851" w14:textId="77777777" w:rsidR="003251C7" w:rsidRPr="000D417E" w:rsidRDefault="003251C7">
            <w:pPr>
              <w:pStyle w:val="Compact"/>
              <w:jc w:val="center"/>
              <w:rPr>
                <w:sz w:val="20"/>
                <w:szCs w:val="20"/>
              </w:rPr>
            </w:pPr>
            <w:r w:rsidRPr="000D417E">
              <w:rPr>
                <w:sz w:val="20"/>
                <w:szCs w:val="20"/>
              </w:rPr>
              <w:t>Hospital</w:t>
            </w:r>
          </w:p>
        </w:tc>
        <w:tc>
          <w:tcPr>
            <w:tcW w:w="0" w:type="auto"/>
            <w:hideMark/>
          </w:tcPr>
          <w:p w14:paraId="07424DCF" w14:textId="11F26A0E" w:rsidR="003251C7" w:rsidRPr="000D417E" w:rsidRDefault="003251C7">
            <w:pPr>
              <w:pStyle w:val="Compact"/>
              <w:jc w:val="center"/>
              <w:rPr>
                <w:sz w:val="20"/>
                <w:szCs w:val="20"/>
              </w:rPr>
            </w:pPr>
            <w:r w:rsidRPr="000D417E">
              <w:rPr>
                <w:sz w:val="20"/>
                <w:szCs w:val="20"/>
              </w:rPr>
              <w:t>Obs. Death Rate</w:t>
            </w:r>
            <w:r>
              <w:rPr>
                <w:sz w:val="20"/>
                <w:szCs w:val="20"/>
              </w:rPr>
              <w:t xml:space="preserve"> (%)</w:t>
            </w:r>
          </w:p>
        </w:tc>
        <w:tc>
          <w:tcPr>
            <w:tcW w:w="0" w:type="auto"/>
            <w:hideMark/>
          </w:tcPr>
          <w:p w14:paraId="15AFC4B6" w14:textId="77777777" w:rsidR="003251C7" w:rsidRPr="000D417E" w:rsidRDefault="003251C7">
            <w:pPr>
              <w:pStyle w:val="Compact"/>
              <w:jc w:val="center"/>
              <w:rPr>
                <w:sz w:val="20"/>
                <w:szCs w:val="20"/>
              </w:rPr>
            </w:pPr>
            <w:r w:rsidRPr="000D417E">
              <w:rPr>
                <w:sz w:val="20"/>
                <w:szCs w:val="20"/>
              </w:rPr>
              <w:t>95% Bootstrap CI</w:t>
            </w:r>
          </w:p>
        </w:tc>
        <w:tc>
          <w:tcPr>
            <w:tcW w:w="0" w:type="auto"/>
            <w:hideMark/>
          </w:tcPr>
          <w:p w14:paraId="131A2AAC" w14:textId="77777777" w:rsidR="003251C7" w:rsidRPr="000D417E" w:rsidRDefault="003251C7">
            <w:pPr>
              <w:pStyle w:val="Compact"/>
              <w:jc w:val="center"/>
              <w:rPr>
                <w:sz w:val="20"/>
                <w:szCs w:val="20"/>
              </w:rPr>
            </w:pPr>
            <w:r w:rsidRPr="000D417E">
              <w:rPr>
                <w:sz w:val="20"/>
                <w:szCs w:val="20"/>
              </w:rPr>
              <w:t>95% Binomial CI</w:t>
            </w:r>
          </w:p>
        </w:tc>
        <w:tc>
          <w:tcPr>
            <w:tcW w:w="0" w:type="auto"/>
          </w:tcPr>
          <w:p w14:paraId="77E1D80A" w14:textId="7EDF3C26" w:rsidR="003251C7" w:rsidRPr="000D417E" w:rsidRDefault="003251C7">
            <w:pPr>
              <w:pStyle w:val="Compact"/>
              <w:jc w:val="center"/>
              <w:rPr>
                <w:sz w:val="20"/>
                <w:szCs w:val="20"/>
              </w:rPr>
            </w:pPr>
            <w:r>
              <w:rPr>
                <w:sz w:val="20"/>
                <w:szCs w:val="20"/>
              </w:rPr>
              <w:t>P-value</w:t>
            </w:r>
          </w:p>
        </w:tc>
      </w:tr>
      <w:tr w:rsidR="003251C7" w14:paraId="64D4568B" w14:textId="2E29F118" w:rsidTr="005A68E4">
        <w:trPr>
          <w:jc w:val="center"/>
        </w:trPr>
        <w:tc>
          <w:tcPr>
            <w:tcW w:w="0" w:type="auto"/>
            <w:hideMark/>
          </w:tcPr>
          <w:p w14:paraId="58B96F7B" w14:textId="77777777" w:rsidR="003251C7" w:rsidRPr="000D417E" w:rsidRDefault="003251C7" w:rsidP="003251C7">
            <w:pPr>
              <w:pStyle w:val="Compact"/>
              <w:jc w:val="center"/>
              <w:rPr>
                <w:sz w:val="20"/>
                <w:szCs w:val="20"/>
              </w:rPr>
            </w:pPr>
            <w:r w:rsidRPr="000D417E">
              <w:rPr>
                <w:sz w:val="20"/>
                <w:szCs w:val="20"/>
              </w:rPr>
              <w:t>1</w:t>
            </w:r>
          </w:p>
        </w:tc>
        <w:tc>
          <w:tcPr>
            <w:tcW w:w="0" w:type="auto"/>
            <w:hideMark/>
          </w:tcPr>
          <w:p w14:paraId="5CF6A7CF" w14:textId="77777777" w:rsidR="003251C7" w:rsidRPr="000D417E" w:rsidRDefault="003251C7" w:rsidP="003251C7">
            <w:pPr>
              <w:pStyle w:val="Compact"/>
              <w:jc w:val="center"/>
              <w:rPr>
                <w:sz w:val="20"/>
                <w:szCs w:val="20"/>
              </w:rPr>
            </w:pPr>
            <w:r w:rsidRPr="000D417E">
              <w:rPr>
                <w:sz w:val="20"/>
                <w:szCs w:val="20"/>
              </w:rPr>
              <w:t>1.89</w:t>
            </w:r>
          </w:p>
        </w:tc>
        <w:tc>
          <w:tcPr>
            <w:tcW w:w="0" w:type="auto"/>
            <w:hideMark/>
          </w:tcPr>
          <w:p w14:paraId="7D90A023" w14:textId="77777777" w:rsidR="003251C7" w:rsidRPr="000D417E" w:rsidRDefault="003251C7" w:rsidP="003251C7">
            <w:pPr>
              <w:pStyle w:val="Compact"/>
              <w:jc w:val="center"/>
              <w:rPr>
                <w:sz w:val="20"/>
                <w:szCs w:val="20"/>
              </w:rPr>
            </w:pPr>
            <w:r w:rsidRPr="000D417E">
              <w:rPr>
                <w:sz w:val="20"/>
                <w:szCs w:val="20"/>
              </w:rPr>
              <w:t>0.59-5.08</w:t>
            </w:r>
          </w:p>
        </w:tc>
        <w:tc>
          <w:tcPr>
            <w:tcW w:w="0" w:type="auto"/>
            <w:hideMark/>
          </w:tcPr>
          <w:p w14:paraId="305C6D28" w14:textId="77777777" w:rsidR="003251C7" w:rsidRPr="000D417E" w:rsidRDefault="003251C7" w:rsidP="003251C7">
            <w:pPr>
              <w:pStyle w:val="Compact"/>
              <w:jc w:val="center"/>
              <w:rPr>
                <w:sz w:val="20"/>
                <w:szCs w:val="20"/>
              </w:rPr>
            </w:pPr>
            <w:r w:rsidRPr="000D417E">
              <w:rPr>
                <w:sz w:val="20"/>
                <w:szCs w:val="20"/>
              </w:rPr>
              <w:t>0-4.48</w:t>
            </w:r>
          </w:p>
        </w:tc>
        <w:tc>
          <w:tcPr>
            <w:tcW w:w="0" w:type="auto"/>
            <w:vAlign w:val="center"/>
          </w:tcPr>
          <w:p w14:paraId="1A12EA22" w14:textId="4E6284F0" w:rsidR="003251C7" w:rsidRPr="000D417E" w:rsidRDefault="003251C7" w:rsidP="003251C7">
            <w:pPr>
              <w:pStyle w:val="Compact"/>
              <w:jc w:val="center"/>
              <w:rPr>
                <w:sz w:val="20"/>
                <w:szCs w:val="20"/>
              </w:rPr>
            </w:pPr>
            <w:r>
              <w:rPr>
                <w:color w:val="000000"/>
                <w:sz w:val="20"/>
                <w:szCs w:val="20"/>
              </w:rPr>
              <w:t>0.2164</w:t>
            </w:r>
          </w:p>
        </w:tc>
      </w:tr>
      <w:tr w:rsidR="003251C7" w14:paraId="27DB1D73" w14:textId="62ACC79B" w:rsidTr="005A68E4">
        <w:trPr>
          <w:jc w:val="center"/>
        </w:trPr>
        <w:tc>
          <w:tcPr>
            <w:tcW w:w="0" w:type="auto"/>
            <w:hideMark/>
          </w:tcPr>
          <w:p w14:paraId="4109097C" w14:textId="77777777" w:rsidR="003251C7" w:rsidRPr="000D417E" w:rsidRDefault="003251C7" w:rsidP="003251C7">
            <w:pPr>
              <w:pStyle w:val="Compact"/>
              <w:jc w:val="center"/>
              <w:rPr>
                <w:sz w:val="20"/>
                <w:szCs w:val="20"/>
              </w:rPr>
            </w:pPr>
            <w:r w:rsidRPr="000D417E">
              <w:rPr>
                <w:sz w:val="20"/>
                <w:szCs w:val="20"/>
              </w:rPr>
              <w:t>2</w:t>
            </w:r>
          </w:p>
        </w:tc>
        <w:tc>
          <w:tcPr>
            <w:tcW w:w="0" w:type="auto"/>
            <w:hideMark/>
          </w:tcPr>
          <w:p w14:paraId="12BD9E9C" w14:textId="77777777" w:rsidR="003251C7" w:rsidRPr="000D417E" w:rsidRDefault="003251C7" w:rsidP="003251C7">
            <w:pPr>
              <w:pStyle w:val="Compact"/>
              <w:jc w:val="center"/>
              <w:rPr>
                <w:sz w:val="20"/>
                <w:szCs w:val="20"/>
              </w:rPr>
            </w:pPr>
            <w:r w:rsidRPr="000D417E">
              <w:rPr>
                <w:sz w:val="20"/>
                <w:szCs w:val="20"/>
              </w:rPr>
              <w:t>3.74</w:t>
            </w:r>
          </w:p>
        </w:tc>
        <w:tc>
          <w:tcPr>
            <w:tcW w:w="0" w:type="auto"/>
            <w:hideMark/>
          </w:tcPr>
          <w:p w14:paraId="0F7A81DE" w14:textId="77777777" w:rsidR="003251C7" w:rsidRPr="000D417E" w:rsidRDefault="003251C7" w:rsidP="003251C7">
            <w:pPr>
              <w:pStyle w:val="Compact"/>
              <w:jc w:val="center"/>
              <w:rPr>
                <w:sz w:val="20"/>
                <w:szCs w:val="20"/>
              </w:rPr>
            </w:pPr>
            <w:r w:rsidRPr="000D417E">
              <w:rPr>
                <w:sz w:val="20"/>
                <w:szCs w:val="20"/>
              </w:rPr>
              <w:t>0.63-5</w:t>
            </w:r>
          </w:p>
        </w:tc>
        <w:tc>
          <w:tcPr>
            <w:tcW w:w="0" w:type="auto"/>
            <w:hideMark/>
          </w:tcPr>
          <w:p w14:paraId="69D4E827" w14:textId="77777777" w:rsidR="003251C7" w:rsidRPr="000D417E" w:rsidRDefault="003251C7" w:rsidP="003251C7">
            <w:pPr>
              <w:pStyle w:val="Compact"/>
              <w:jc w:val="center"/>
              <w:rPr>
                <w:sz w:val="20"/>
                <w:szCs w:val="20"/>
              </w:rPr>
            </w:pPr>
            <w:r w:rsidRPr="000D417E">
              <w:rPr>
                <w:sz w:val="20"/>
                <w:szCs w:val="20"/>
              </w:rPr>
              <w:t>0.14-7.33</w:t>
            </w:r>
          </w:p>
        </w:tc>
        <w:tc>
          <w:tcPr>
            <w:tcW w:w="0" w:type="auto"/>
            <w:vAlign w:val="center"/>
          </w:tcPr>
          <w:p w14:paraId="19727A6D" w14:textId="3492BB23" w:rsidR="003251C7" w:rsidRPr="000D417E" w:rsidRDefault="003251C7" w:rsidP="003251C7">
            <w:pPr>
              <w:pStyle w:val="Compact"/>
              <w:jc w:val="center"/>
              <w:rPr>
                <w:sz w:val="20"/>
                <w:szCs w:val="20"/>
              </w:rPr>
            </w:pPr>
            <w:r>
              <w:rPr>
                <w:color w:val="000000"/>
                <w:sz w:val="20"/>
                <w:szCs w:val="20"/>
              </w:rPr>
              <w:t>0.1028</w:t>
            </w:r>
          </w:p>
        </w:tc>
      </w:tr>
      <w:tr w:rsidR="003251C7" w14:paraId="46FC7F9A" w14:textId="57CF5767" w:rsidTr="005A68E4">
        <w:trPr>
          <w:jc w:val="center"/>
        </w:trPr>
        <w:tc>
          <w:tcPr>
            <w:tcW w:w="0" w:type="auto"/>
            <w:hideMark/>
          </w:tcPr>
          <w:p w14:paraId="1C05933B" w14:textId="77777777" w:rsidR="003251C7" w:rsidRPr="000D417E" w:rsidRDefault="003251C7" w:rsidP="003251C7">
            <w:pPr>
              <w:pStyle w:val="Compact"/>
              <w:jc w:val="center"/>
              <w:rPr>
                <w:sz w:val="20"/>
                <w:szCs w:val="20"/>
              </w:rPr>
            </w:pPr>
            <w:r w:rsidRPr="000D417E">
              <w:rPr>
                <w:sz w:val="20"/>
                <w:szCs w:val="20"/>
              </w:rPr>
              <w:t>3</w:t>
            </w:r>
          </w:p>
        </w:tc>
        <w:tc>
          <w:tcPr>
            <w:tcW w:w="0" w:type="auto"/>
            <w:hideMark/>
          </w:tcPr>
          <w:p w14:paraId="1CEDF8BB" w14:textId="77777777" w:rsidR="003251C7" w:rsidRPr="000D417E" w:rsidRDefault="003251C7" w:rsidP="003251C7">
            <w:pPr>
              <w:pStyle w:val="Compact"/>
              <w:jc w:val="center"/>
              <w:rPr>
                <w:sz w:val="20"/>
                <w:szCs w:val="20"/>
              </w:rPr>
            </w:pPr>
            <w:r w:rsidRPr="000D417E">
              <w:rPr>
                <w:sz w:val="20"/>
                <w:szCs w:val="20"/>
              </w:rPr>
              <w:t>2.2</w:t>
            </w:r>
          </w:p>
        </w:tc>
        <w:tc>
          <w:tcPr>
            <w:tcW w:w="0" w:type="auto"/>
            <w:hideMark/>
          </w:tcPr>
          <w:p w14:paraId="706BDD8C" w14:textId="77777777" w:rsidR="003251C7" w:rsidRPr="000D417E" w:rsidRDefault="003251C7" w:rsidP="003251C7">
            <w:pPr>
              <w:pStyle w:val="Compact"/>
              <w:jc w:val="center"/>
              <w:rPr>
                <w:sz w:val="20"/>
                <w:szCs w:val="20"/>
              </w:rPr>
            </w:pPr>
            <w:r w:rsidRPr="000D417E">
              <w:rPr>
                <w:sz w:val="20"/>
                <w:szCs w:val="20"/>
              </w:rPr>
              <w:t>0-4.83</w:t>
            </w:r>
          </w:p>
        </w:tc>
        <w:tc>
          <w:tcPr>
            <w:tcW w:w="0" w:type="auto"/>
            <w:hideMark/>
          </w:tcPr>
          <w:p w14:paraId="751F25DD" w14:textId="77777777" w:rsidR="003251C7" w:rsidRPr="000D417E" w:rsidRDefault="003251C7" w:rsidP="003251C7">
            <w:pPr>
              <w:pStyle w:val="Compact"/>
              <w:jc w:val="center"/>
              <w:rPr>
                <w:sz w:val="20"/>
                <w:szCs w:val="20"/>
              </w:rPr>
            </w:pPr>
            <w:r w:rsidRPr="000D417E">
              <w:rPr>
                <w:sz w:val="20"/>
                <w:szCs w:val="20"/>
              </w:rPr>
              <w:t>0-5.21</w:t>
            </w:r>
          </w:p>
        </w:tc>
        <w:tc>
          <w:tcPr>
            <w:tcW w:w="0" w:type="auto"/>
            <w:vAlign w:val="center"/>
          </w:tcPr>
          <w:p w14:paraId="4858DFE9" w14:textId="7C220048" w:rsidR="003251C7" w:rsidRPr="000D417E" w:rsidRDefault="003251C7" w:rsidP="003251C7">
            <w:pPr>
              <w:pStyle w:val="Compact"/>
              <w:jc w:val="center"/>
              <w:rPr>
                <w:sz w:val="20"/>
                <w:szCs w:val="20"/>
              </w:rPr>
            </w:pPr>
            <w:r>
              <w:rPr>
                <w:color w:val="000000"/>
                <w:sz w:val="20"/>
                <w:szCs w:val="20"/>
              </w:rPr>
              <w:t>0.2599</w:t>
            </w:r>
          </w:p>
        </w:tc>
      </w:tr>
      <w:tr w:rsidR="003251C7" w14:paraId="647406EE" w14:textId="1492D127" w:rsidTr="005A68E4">
        <w:trPr>
          <w:jc w:val="center"/>
        </w:trPr>
        <w:tc>
          <w:tcPr>
            <w:tcW w:w="0" w:type="auto"/>
            <w:hideMark/>
          </w:tcPr>
          <w:p w14:paraId="5FB81B93" w14:textId="77777777" w:rsidR="003251C7" w:rsidRPr="000D417E" w:rsidRDefault="003251C7" w:rsidP="003251C7">
            <w:pPr>
              <w:pStyle w:val="Compact"/>
              <w:jc w:val="center"/>
              <w:rPr>
                <w:sz w:val="20"/>
                <w:szCs w:val="20"/>
              </w:rPr>
            </w:pPr>
            <w:r w:rsidRPr="000D417E">
              <w:rPr>
                <w:sz w:val="20"/>
                <w:szCs w:val="20"/>
              </w:rPr>
              <w:t>4</w:t>
            </w:r>
          </w:p>
        </w:tc>
        <w:tc>
          <w:tcPr>
            <w:tcW w:w="0" w:type="auto"/>
            <w:hideMark/>
          </w:tcPr>
          <w:p w14:paraId="3506AE12" w14:textId="77777777" w:rsidR="003251C7" w:rsidRPr="000D417E" w:rsidRDefault="003251C7" w:rsidP="003251C7">
            <w:pPr>
              <w:pStyle w:val="Compact"/>
              <w:jc w:val="center"/>
              <w:rPr>
                <w:sz w:val="20"/>
                <w:szCs w:val="20"/>
              </w:rPr>
            </w:pPr>
            <w:r w:rsidRPr="000D417E">
              <w:rPr>
                <w:sz w:val="20"/>
                <w:szCs w:val="20"/>
              </w:rPr>
              <w:t>2.35</w:t>
            </w:r>
          </w:p>
        </w:tc>
        <w:tc>
          <w:tcPr>
            <w:tcW w:w="0" w:type="auto"/>
            <w:hideMark/>
          </w:tcPr>
          <w:p w14:paraId="5C50AFF2" w14:textId="77777777" w:rsidR="003251C7" w:rsidRPr="000D417E" w:rsidRDefault="003251C7" w:rsidP="003251C7">
            <w:pPr>
              <w:pStyle w:val="Compact"/>
              <w:jc w:val="center"/>
              <w:rPr>
                <w:sz w:val="20"/>
                <w:szCs w:val="20"/>
              </w:rPr>
            </w:pPr>
            <w:r w:rsidRPr="000D417E">
              <w:rPr>
                <w:sz w:val="20"/>
                <w:szCs w:val="20"/>
              </w:rPr>
              <w:t>0.96-4.45</w:t>
            </w:r>
          </w:p>
        </w:tc>
        <w:tc>
          <w:tcPr>
            <w:tcW w:w="0" w:type="auto"/>
            <w:hideMark/>
          </w:tcPr>
          <w:p w14:paraId="1E7AB4BA" w14:textId="77777777" w:rsidR="003251C7" w:rsidRPr="000D417E" w:rsidRDefault="003251C7" w:rsidP="003251C7">
            <w:pPr>
              <w:pStyle w:val="Compact"/>
              <w:jc w:val="center"/>
              <w:rPr>
                <w:sz w:val="20"/>
                <w:szCs w:val="20"/>
              </w:rPr>
            </w:pPr>
            <w:r w:rsidRPr="000D417E">
              <w:rPr>
                <w:sz w:val="20"/>
                <w:szCs w:val="20"/>
              </w:rPr>
              <w:t>0-5.58</w:t>
            </w:r>
          </w:p>
        </w:tc>
        <w:tc>
          <w:tcPr>
            <w:tcW w:w="0" w:type="auto"/>
            <w:vAlign w:val="center"/>
          </w:tcPr>
          <w:p w14:paraId="5F6E8109" w14:textId="3F71D0CE" w:rsidR="003251C7" w:rsidRPr="000D417E" w:rsidRDefault="003251C7" w:rsidP="003251C7">
            <w:pPr>
              <w:pStyle w:val="Compact"/>
              <w:jc w:val="center"/>
              <w:rPr>
                <w:sz w:val="20"/>
                <w:szCs w:val="20"/>
              </w:rPr>
            </w:pPr>
            <w:r>
              <w:rPr>
                <w:color w:val="000000"/>
                <w:sz w:val="20"/>
                <w:szCs w:val="20"/>
              </w:rPr>
              <w:t>0.2484</w:t>
            </w:r>
          </w:p>
        </w:tc>
      </w:tr>
      <w:tr w:rsidR="003251C7" w14:paraId="70FBE347" w14:textId="2D591521" w:rsidTr="005A68E4">
        <w:trPr>
          <w:jc w:val="center"/>
        </w:trPr>
        <w:tc>
          <w:tcPr>
            <w:tcW w:w="0" w:type="auto"/>
            <w:hideMark/>
          </w:tcPr>
          <w:p w14:paraId="523ABD9D" w14:textId="77777777" w:rsidR="003251C7" w:rsidRPr="000D417E" w:rsidRDefault="003251C7" w:rsidP="003251C7">
            <w:pPr>
              <w:pStyle w:val="Compact"/>
              <w:jc w:val="center"/>
              <w:rPr>
                <w:sz w:val="20"/>
                <w:szCs w:val="20"/>
              </w:rPr>
            </w:pPr>
            <w:r w:rsidRPr="000D417E">
              <w:rPr>
                <w:sz w:val="20"/>
                <w:szCs w:val="20"/>
              </w:rPr>
              <w:t>5</w:t>
            </w:r>
          </w:p>
        </w:tc>
        <w:tc>
          <w:tcPr>
            <w:tcW w:w="0" w:type="auto"/>
            <w:hideMark/>
          </w:tcPr>
          <w:p w14:paraId="3289121E" w14:textId="77777777" w:rsidR="003251C7" w:rsidRPr="000D417E" w:rsidRDefault="003251C7" w:rsidP="003251C7">
            <w:pPr>
              <w:pStyle w:val="Compact"/>
              <w:jc w:val="center"/>
              <w:rPr>
                <w:sz w:val="20"/>
                <w:szCs w:val="20"/>
              </w:rPr>
            </w:pPr>
            <w:r w:rsidRPr="000D417E">
              <w:rPr>
                <w:sz w:val="20"/>
                <w:szCs w:val="20"/>
              </w:rPr>
              <w:t>3.06</w:t>
            </w:r>
          </w:p>
        </w:tc>
        <w:tc>
          <w:tcPr>
            <w:tcW w:w="0" w:type="auto"/>
            <w:hideMark/>
          </w:tcPr>
          <w:p w14:paraId="4F88D9D2" w14:textId="77777777" w:rsidR="003251C7" w:rsidRPr="000D417E" w:rsidRDefault="003251C7" w:rsidP="003251C7">
            <w:pPr>
              <w:pStyle w:val="Compact"/>
              <w:jc w:val="center"/>
              <w:rPr>
                <w:sz w:val="20"/>
                <w:szCs w:val="20"/>
              </w:rPr>
            </w:pPr>
            <w:r w:rsidRPr="000D417E">
              <w:rPr>
                <w:sz w:val="20"/>
                <w:szCs w:val="20"/>
              </w:rPr>
              <w:t>0.6-4.74</w:t>
            </w:r>
          </w:p>
        </w:tc>
        <w:tc>
          <w:tcPr>
            <w:tcW w:w="0" w:type="auto"/>
            <w:hideMark/>
          </w:tcPr>
          <w:p w14:paraId="50192DB9" w14:textId="77777777" w:rsidR="003251C7" w:rsidRPr="000D417E" w:rsidRDefault="003251C7" w:rsidP="003251C7">
            <w:pPr>
              <w:pStyle w:val="Compact"/>
              <w:jc w:val="center"/>
              <w:rPr>
                <w:sz w:val="20"/>
                <w:szCs w:val="20"/>
              </w:rPr>
            </w:pPr>
            <w:r w:rsidRPr="000D417E">
              <w:rPr>
                <w:sz w:val="20"/>
                <w:szCs w:val="20"/>
              </w:rPr>
              <w:t>0-6.47</w:t>
            </w:r>
          </w:p>
        </w:tc>
        <w:tc>
          <w:tcPr>
            <w:tcW w:w="0" w:type="auto"/>
            <w:vAlign w:val="center"/>
          </w:tcPr>
          <w:p w14:paraId="4D8C6B2E" w14:textId="0C64320D" w:rsidR="003251C7" w:rsidRPr="000D417E" w:rsidRDefault="003251C7" w:rsidP="003251C7">
            <w:pPr>
              <w:pStyle w:val="Compact"/>
              <w:jc w:val="center"/>
              <w:rPr>
                <w:sz w:val="20"/>
                <w:szCs w:val="20"/>
              </w:rPr>
            </w:pPr>
            <w:r>
              <w:rPr>
                <w:color w:val="000000"/>
                <w:sz w:val="20"/>
                <w:szCs w:val="20"/>
              </w:rPr>
              <w:t>0.2273</w:t>
            </w:r>
          </w:p>
        </w:tc>
      </w:tr>
      <w:tr w:rsidR="003251C7" w14:paraId="60A60856" w14:textId="1EF89589" w:rsidTr="005A68E4">
        <w:trPr>
          <w:jc w:val="center"/>
        </w:trPr>
        <w:tc>
          <w:tcPr>
            <w:tcW w:w="0" w:type="auto"/>
            <w:hideMark/>
          </w:tcPr>
          <w:p w14:paraId="0A4B092A" w14:textId="77777777" w:rsidR="003251C7" w:rsidRPr="000D417E" w:rsidRDefault="003251C7" w:rsidP="003251C7">
            <w:pPr>
              <w:pStyle w:val="Compact"/>
              <w:jc w:val="center"/>
              <w:rPr>
                <w:sz w:val="20"/>
                <w:szCs w:val="20"/>
              </w:rPr>
            </w:pPr>
            <w:r w:rsidRPr="000D417E">
              <w:rPr>
                <w:sz w:val="20"/>
                <w:szCs w:val="20"/>
              </w:rPr>
              <w:t>6</w:t>
            </w:r>
          </w:p>
        </w:tc>
        <w:tc>
          <w:tcPr>
            <w:tcW w:w="0" w:type="auto"/>
            <w:hideMark/>
          </w:tcPr>
          <w:p w14:paraId="7BAB5929" w14:textId="77777777" w:rsidR="003251C7" w:rsidRPr="000D417E" w:rsidRDefault="003251C7" w:rsidP="003251C7">
            <w:pPr>
              <w:pStyle w:val="Compact"/>
              <w:jc w:val="center"/>
              <w:rPr>
                <w:sz w:val="20"/>
                <w:szCs w:val="20"/>
              </w:rPr>
            </w:pPr>
            <w:r w:rsidRPr="000D417E">
              <w:rPr>
                <w:sz w:val="20"/>
                <w:szCs w:val="20"/>
              </w:rPr>
              <w:t>2.5</w:t>
            </w:r>
          </w:p>
        </w:tc>
        <w:tc>
          <w:tcPr>
            <w:tcW w:w="0" w:type="auto"/>
            <w:hideMark/>
          </w:tcPr>
          <w:p w14:paraId="77886FFA" w14:textId="77777777" w:rsidR="003251C7" w:rsidRPr="000D417E" w:rsidRDefault="003251C7" w:rsidP="003251C7">
            <w:pPr>
              <w:pStyle w:val="Compact"/>
              <w:jc w:val="center"/>
              <w:rPr>
                <w:sz w:val="20"/>
                <w:szCs w:val="20"/>
              </w:rPr>
            </w:pPr>
            <w:r w:rsidRPr="000D417E">
              <w:rPr>
                <w:sz w:val="20"/>
                <w:szCs w:val="20"/>
              </w:rPr>
              <w:t>0.57-4.77</w:t>
            </w:r>
          </w:p>
        </w:tc>
        <w:tc>
          <w:tcPr>
            <w:tcW w:w="0" w:type="auto"/>
            <w:hideMark/>
          </w:tcPr>
          <w:p w14:paraId="483CD436" w14:textId="77777777" w:rsidR="003251C7" w:rsidRPr="000D417E" w:rsidRDefault="003251C7" w:rsidP="003251C7">
            <w:pPr>
              <w:pStyle w:val="Compact"/>
              <w:jc w:val="center"/>
              <w:rPr>
                <w:sz w:val="20"/>
                <w:szCs w:val="20"/>
              </w:rPr>
            </w:pPr>
            <w:r w:rsidRPr="000D417E">
              <w:rPr>
                <w:sz w:val="20"/>
                <w:szCs w:val="20"/>
              </w:rPr>
              <w:t>0-5.92</w:t>
            </w:r>
          </w:p>
        </w:tc>
        <w:tc>
          <w:tcPr>
            <w:tcW w:w="0" w:type="auto"/>
            <w:vAlign w:val="center"/>
          </w:tcPr>
          <w:p w14:paraId="418D69BC" w14:textId="7AE0CD93" w:rsidR="003251C7" w:rsidRPr="000D417E" w:rsidRDefault="003251C7" w:rsidP="003251C7">
            <w:pPr>
              <w:pStyle w:val="Compact"/>
              <w:jc w:val="center"/>
              <w:rPr>
                <w:sz w:val="20"/>
                <w:szCs w:val="20"/>
              </w:rPr>
            </w:pPr>
            <w:r>
              <w:rPr>
                <w:color w:val="000000"/>
                <w:sz w:val="20"/>
                <w:szCs w:val="20"/>
              </w:rPr>
              <w:t>0.2706</w:t>
            </w:r>
          </w:p>
        </w:tc>
      </w:tr>
      <w:tr w:rsidR="003251C7" w14:paraId="0671FAD3" w14:textId="691E1747" w:rsidTr="003251C7">
        <w:trPr>
          <w:jc w:val="center"/>
        </w:trPr>
        <w:tc>
          <w:tcPr>
            <w:tcW w:w="0" w:type="auto"/>
            <w:shd w:val="clear" w:color="auto" w:fill="FFF2CC" w:themeFill="accent4" w:themeFillTint="33"/>
            <w:hideMark/>
          </w:tcPr>
          <w:p w14:paraId="5C9ABA96" w14:textId="77777777" w:rsidR="003251C7" w:rsidRPr="000D417E" w:rsidRDefault="003251C7" w:rsidP="003251C7">
            <w:pPr>
              <w:pStyle w:val="Compact"/>
              <w:jc w:val="center"/>
              <w:rPr>
                <w:sz w:val="20"/>
                <w:szCs w:val="20"/>
              </w:rPr>
            </w:pPr>
            <w:r w:rsidRPr="000D417E">
              <w:rPr>
                <w:sz w:val="20"/>
                <w:szCs w:val="20"/>
              </w:rPr>
              <w:t>7</w:t>
            </w:r>
          </w:p>
        </w:tc>
        <w:tc>
          <w:tcPr>
            <w:tcW w:w="0" w:type="auto"/>
            <w:shd w:val="clear" w:color="auto" w:fill="FFF2CC" w:themeFill="accent4" w:themeFillTint="33"/>
            <w:hideMark/>
          </w:tcPr>
          <w:p w14:paraId="36F4E32F" w14:textId="77777777" w:rsidR="003251C7" w:rsidRPr="000D417E" w:rsidRDefault="003251C7" w:rsidP="003251C7">
            <w:pPr>
              <w:pStyle w:val="Compact"/>
              <w:jc w:val="center"/>
              <w:rPr>
                <w:sz w:val="20"/>
                <w:szCs w:val="20"/>
              </w:rPr>
            </w:pPr>
            <w:r w:rsidRPr="000D417E">
              <w:rPr>
                <w:sz w:val="20"/>
                <w:szCs w:val="20"/>
              </w:rPr>
              <w:t>6</w:t>
            </w:r>
          </w:p>
        </w:tc>
        <w:tc>
          <w:tcPr>
            <w:tcW w:w="0" w:type="auto"/>
            <w:shd w:val="clear" w:color="auto" w:fill="FFF2CC" w:themeFill="accent4" w:themeFillTint="33"/>
            <w:hideMark/>
          </w:tcPr>
          <w:p w14:paraId="6BBC61FB" w14:textId="77777777" w:rsidR="003251C7" w:rsidRPr="000D417E" w:rsidRDefault="003251C7" w:rsidP="003251C7">
            <w:pPr>
              <w:pStyle w:val="Compact"/>
              <w:jc w:val="center"/>
              <w:rPr>
                <w:sz w:val="20"/>
                <w:szCs w:val="20"/>
              </w:rPr>
            </w:pPr>
            <w:r w:rsidRPr="000D417E">
              <w:rPr>
                <w:sz w:val="20"/>
                <w:szCs w:val="20"/>
              </w:rPr>
              <w:t>0.81-4.42</w:t>
            </w:r>
          </w:p>
        </w:tc>
        <w:tc>
          <w:tcPr>
            <w:tcW w:w="0" w:type="auto"/>
            <w:shd w:val="clear" w:color="auto" w:fill="FFF2CC" w:themeFill="accent4" w:themeFillTint="33"/>
            <w:hideMark/>
          </w:tcPr>
          <w:p w14:paraId="3507C735" w14:textId="77777777" w:rsidR="003251C7" w:rsidRPr="000D417E" w:rsidRDefault="003251C7" w:rsidP="003251C7">
            <w:pPr>
              <w:pStyle w:val="Compact"/>
              <w:jc w:val="center"/>
              <w:rPr>
                <w:sz w:val="20"/>
                <w:szCs w:val="20"/>
              </w:rPr>
            </w:pPr>
            <w:r w:rsidRPr="000D417E">
              <w:rPr>
                <w:sz w:val="20"/>
                <w:szCs w:val="20"/>
              </w:rPr>
              <w:t>1.35-10.65</w:t>
            </w:r>
          </w:p>
        </w:tc>
        <w:tc>
          <w:tcPr>
            <w:tcW w:w="0" w:type="auto"/>
            <w:shd w:val="clear" w:color="auto" w:fill="FFF2CC" w:themeFill="accent4" w:themeFillTint="33"/>
            <w:vAlign w:val="center"/>
          </w:tcPr>
          <w:p w14:paraId="426FF1A9" w14:textId="1D3B6ABA" w:rsidR="003251C7" w:rsidRPr="000D417E" w:rsidRDefault="003251C7" w:rsidP="003251C7">
            <w:pPr>
              <w:pStyle w:val="Compact"/>
              <w:jc w:val="center"/>
              <w:rPr>
                <w:sz w:val="20"/>
                <w:szCs w:val="20"/>
              </w:rPr>
            </w:pPr>
            <w:r>
              <w:rPr>
                <w:color w:val="000000"/>
                <w:sz w:val="20"/>
                <w:szCs w:val="20"/>
              </w:rPr>
              <w:t>0.0362</w:t>
            </w:r>
          </w:p>
        </w:tc>
      </w:tr>
      <w:tr w:rsidR="003251C7" w14:paraId="481CE747" w14:textId="5B96A554" w:rsidTr="005A68E4">
        <w:trPr>
          <w:jc w:val="center"/>
        </w:trPr>
        <w:tc>
          <w:tcPr>
            <w:tcW w:w="0" w:type="auto"/>
            <w:hideMark/>
          </w:tcPr>
          <w:p w14:paraId="5DB01777" w14:textId="77777777" w:rsidR="003251C7" w:rsidRPr="000D417E" w:rsidRDefault="003251C7" w:rsidP="003251C7">
            <w:pPr>
              <w:pStyle w:val="Compact"/>
              <w:jc w:val="center"/>
              <w:rPr>
                <w:sz w:val="20"/>
                <w:szCs w:val="20"/>
              </w:rPr>
            </w:pPr>
            <w:r w:rsidRPr="000D417E">
              <w:rPr>
                <w:sz w:val="20"/>
                <w:szCs w:val="20"/>
              </w:rPr>
              <w:t>8</w:t>
            </w:r>
          </w:p>
        </w:tc>
        <w:tc>
          <w:tcPr>
            <w:tcW w:w="0" w:type="auto"/>
            <w:hideMark/>
          </w:tcPr>
          <w:p w14:paraId="47810D84" w14:textId="77777777" w:rsidR="003251C7" w:rsidRPr="000D417E" w:rsidRDefault="003251C7" w:rsidP="003251C7">
            <w:pPr>
              <w:pStyle w:val="Compact"/>
              <w:jc w:val="center"/>
              <w:rPr>
                <w:sz w:val="20"/>
                <w:szCs w:val="20"/>
              </w:rPr>
            </w:pPr>
            <w:r w:rsidRPr="000D417E">
              <w:rPr>
                <w:sz w:val="20"/>
                <w:szCs w:val="20"/>
              </w:rPr>
              <w:t>2.63</w:t>
            </w:r>
          </w:p>
        </w:tc>
        <w:tc>
          <w:tcPr>
            <w:tcW w:w="0" w:type="auto"/>
            <w:hideMark/>
          </w:tcPr>
          <w:p w14:paraId="3CF06043" w14:textId="77777777" w:rsidR="003251C7" w:rsidRPr="000D417E" w:rsidRDefault="003251C7" w:rsidP="003251C7">
            <w:pPr>
              <w:pStyle w:val="Compact"/>
              <w:jc w:val="center"/>
              <w:rPr>
                <w:sz w:val="20"/>
                <w:szCs w:val="20"/>
              </w:rPr>
            </w:pPr>
            <w:r w:rsidRPr="000D417E">
              <w:rPr>
                <w:sz w:val="20"/>
                <w:szCs w:val="20"/>
              </w:rPr>
              <w:t>0.42-5.27</w:t>
            </w:r>
          </w:p>
        </w:tc>
        <w:tc>
          <w:tcPr>
            <w:tcW w:w="0" w:type="auto"/>
            <w:hideMark/>
          </w:tcPr>
          <w:p w14:paraId="6CA9C5FA" w14:textId="77777777" w:rsidR="003251C7" w:rsidRPr="000D417E" w:rsidRDefault="003251C7" w:rsidP="003251C7">
            <w:pPr>
              <w:pStyle w:val="Compact"/>
              <w:jc w:val="center"/>
              <w:rPr>
                <w:sz w:val="20"/>
                <w:szCs w:val="20"/>
              </w:rPr>
            </w:pPr>
            <w:r w:rsidRPr="000D417E">
              <w:rPr>
                <w:sz w:val="20"/>
                <w:szCs w:val="20"/>
              </w:rPr>
              <w:t>0-5.57</w:t>
            </w:r>
          </w:p>
        </w:tc>
        <w:tc>
          <w:tcPr>
            <w:tcW w:w="0" w:type="auto"/>
            <w:vAlign w:val="center"/>
          </w:tcPr>
          <w:p w14:paraId="3D51658D" w14:textId="0B7A31D2" w:rsidR="003251C7" w:rsidRPr="000D417E" w:rsidRDefault="003251C7" w:rsidP="003251C7">
            <w:pPr>
              <w:pStyle w:val="Compact"/>
              <w:jc w:val="center"/>
              <w:rPr>
                <w:sz w:val="20"/>
                <w:szCs w:val="20"/>
              </w:rPr>
            </w:pPr>
            <w:r>
              <w:rPr>
                <w:color w:val="000000"/>
                <w:sz w:val="20"/>
                <w:szCs w:val="20"/>
              </w:rPr>
              <w:t>0.22</w:t>
            </w:r>
          </w:p>
        </w:tc>
      </w:tr>
      <w:tr w:rsidR="003251C7" w14:paraId="62E6432E" w14:textId="76B1AA7C" w:rsidTr="005A68E4">
        <w:trPr>
          <w:jc w:val="center"/>
        </w:trPr>
        <w:tc>
          <w:tcPr>
            <w:tcW w:w="0" w:type="auto"/>
            <w:hideMark/>
          </w:tcPr>
          <w:p w14:paraId="17E17885" w14:textId="77777777" w:rsidR="003251C7" w:rsidRPr="000D417E" w:rsidRDefault="003251C7" w:rsidP="003251C7">
            <w:pPr>
              <w:pStyle w:val="Compact"/>
              <w:jc w:val="center"/>
              <w:rPr>
                <w:sz w:val="20"/>
                <w:szCs w:val="20"/>
              </w:rPr>
            </w:pPr>
            <w:r w:rsidRPr="000D417E">
              <w:rPr>
                <w:sz w:val="20"/>
                <w:szCs w:val="20"/>
              </w:rPr>
              <w:t>9</w:t>
            </w:r>
          </w:p>
        </w:tc>
        <w:tc>
          <w:tcPr>
            <w:tcW w:w="0" w:type="auto"/>
            <w:hideMark/>
          </w:tcPr>
          <w:p w14:paraId="3FD9451B" w14:textId="77777777" w:rsidR="003251C7" w:rsidRPr="000D417E" w:rsidRDefault="003251C7" w:rsidP="003251C7">
            <w:pPr>
              <w:pStyle w:val="Compact"/>
              <w:jc w:val="center"/>
              <w:rPr>
                <w:sz w:val="20"/>
                <w:szCs w:val="20"/>
              </w:rPr>
            </w:pPr>
            <w:r w:rsidRPr="000D417E">
              <w:rPr>
                <w:sz w:val="20"/>
                <w:szCs w:val="20"/>
              </w:rPr>
              <w:t>0</w:t>
            </w:r>
          </w:p>
        </w:tc>
        <w:tc>
          <w:tcPr>
            <w:tcW w:w="0" w:type="auto"/>
            <w:hideMark/>
          </w:tcPr>
          <w:p w14:paraId="0D3CFEE5" w14:textId="77777777" w:rsidR="003251C7" w:rsidRPr="000D417E" w:rsidRDefault="003251C7" w:rsidP="003251C7">
            <w:pPr>
              <w:pStyle w:val="Compact"/>
              <w:jc w:val="center"/>
              <w:rPr>
                <w:sz w:val="20"/>
                <w:szCs w:val="20"/>
              </w:rPr>
            </w:pPr>
            <w:r w:rsidRPr="000D417E">
              <w:rPr>
                <w:sz w:val="20"/>
                <w:szCs w:val="20"/>
              </w:rPr>
              <w:t>0.35-4.42</w:t>
            </w:r>
          </w:p>
        </w:tc>
        <w:tc>
          <w:tcPr>
            <w:tcW w:w="0" w:type="auto"/>
            <w:hideMark/>
          </w:tcPr>
          <w:p w14:paraId="780B41BF" w14:textId="77777777" w:rsidR="003251C7" w:rsidRPr="000D417E" w:rsidRDefault="003251C7" w:rsidP="003251C7">
            <w:pPr>
              <w:pStyle w:val="Compact"/>
              <w:jc w:val="center"/>
              <w:rPr>
                <w:sz w:val="20"/>
                <w:szCs w:val="20"/>
              </w:rPr>
            </w:pPr>
            <w:r w:rsidRPr="000D417E">
              <w:rPr>
                <w:sz w:val="20"/>
                <w:szCs w:val="20"/>
              </w:rPr>
              <w:t>0-0</w:t>
            </w:r>
          </w:p>
        </w:tc>
        <w:tc>
          <w:tcPr>
            <w:tcW w:w="0" w:type="auto"/>
            <w:vAlign w:val="center"/>
          </w:tcPr>
          <w:p w14:paraId="18E65634" w14:textId="69D60D5E" w:rsidR="003251C7" w:rsidRPr="000D417E" w:rsidRDefault="003251C7" w:rsidP="003251C7">
            <w:pPr>
              <w:pStyle w:val="Compact"/>
              <w:jc w:val="center"/>
              <w:rPr>
                <w:sz w:val="20"/>
                <w:szCs w:val="20"/>
              </w:rPr>
            </w:pPr>
            <w:r>
              <w:rPr>
                <w:color w:val="000000"/>
                <w:sz w:val="20"/>
                <w:szCs w:val="20"/>
              </w:rPr>
              <w:t>0.0817</w:t>
            </w:r>
          </w:p>
        </w:tc>
      </w:tr>
      <w:tr w:rsidR="003251C7" w14:paraId="706AC7EE" w14:textId="5785C5CE" w:rsidTr="005A68E4">
        <w:trPr>
          <w:jc w:val="center"/>
        </w:trPr>
        <w:tc>
          <w:tcPr>
            <w:tcW w:w="0" w:type="auto"/>
            <w:hideMark/>
          </w:tcPr>
          <w:p w14:paraId="36AC3339" w14:textId="77777777" w:rsidR="003251C7" w:rsidRPr="000D417E" w:rsidRDefault="003251C7" w:rsidP="003251C7">
            <w:pPr>
              <w:pStyle w:val="Compact"/>
              <w:jc w:val="center"/>
              <w:rPr>
                <w:sz w:val="20"/>
                <w:szCs w:val="20"/>
              </w:rPr>
            </w:pPr>
            <w:r w:rsidRPr="000D417E">
              <w:rPr>
                <w:sz w:val="20"/>
                <w:szCs w:val="20"/>
              </w:rPr>
              <w:t>10</w:t>
            </w:r>
          </w:p>
        </w:tc>
        <w:tc>
          <w:tcPr>
            <w:tcW w:w="0" w:type="auto"/>
            <w:hideMark/>
          </w:tcPr>
          <w:p w14:paraId="0735E0AF" w14:textId="77777777" w:rsidR="003251C7" w:rsidRPr="000D417E" w:rsidRDefault="003251C7" w:rsidP="003251C7">
            <w:pPr>
              <w:pStyle w:val="Compact"/>
              <w:jc w:val="center"/>
              <w:rPr>
                <w:sz w:val="20"/>
                <w:szCs w:val="20"/>
              </w:rPr>
            </w:pPr>
            <w:r w:rsidRPr="000D417E">
              <w:rPr>
                <w:sz w:val="20"/>
                <w:szCs w:val="20"/>
              </w:rPr>
              <w:t>2.65</w:t>
            </w:r>
          </w:p>
        </w:tc>
        <w:tc>
          <w:tcPr>
            <w:tcW w:w="0" w:type="auto"/>
            <w:hideMark/>
          </w:tcPr>
          <w:p w14:paraId="38F95E49" w14:textId="77777777" w:rsidR="003251C7" w:rsidRPr="000D417E" w:rsidRDefault="003251C7" w:rsidP="003251C7">
            <w:pPr>
              <w:pStyle w:val="Compact"/>
              <w:jc w:val="center"/>
              <w:rPr>
                <w:sz w:val="20"/>
                <w:szCs w:val="20"/>
              </w:rPr>
            </w:pPr>
            <w:r w:rsidRPr="000D417E">
              <w:rPr>
                <w:sz w:val="20"/>
                <w:szCs w:val="20"/>
              </w:rPr>
              <w:t>0.51-4.75</w:t>
            </w:r>
          </w:p>
        </w:tc>
        <w:tc>
          <w:tcPr>
            <w:tcW w:w="0" w:type="auto"/>
            <w:hideMark/>
          </w:tcPr>
          <w:p w14:paraId="51A2DFA6" w14:textId="77777777" w:rsidR="003251C7" w:rsidRPr="000D417E" w:rsidRDefault="003251C7" w:rsidP="003251C7">
            <w:pPr>
              <w:pStyle w:val="Compact"/>
              <w:jc w:val="center"/>
              <w:rPr>
                <w:sz w:val="20"/>
                <w:szCs w:val="20"/>
              </w:rPr>
            </w:pPr>
            <w:r w:rsidRPr="000D417E">
              <w:rPr>
                <w:sz w:val="20"/>
                <w:szCs w:val="20"/>
              </w:rPr>
              <w:t>0-5.62</w:t>
            </w:r>
          </w:p>
        </w:tc>
        <w:tc>
          <w:tcPr>
            <w:tcW w:w="0" w:type="auto"/>
            <w:vAlign w:val="center"/>
          </w:tcPr>
          <w:p w14:paraId="42026387" w14:textId="53CBC54F" w:rsidR="003251C7" w:rsidRPr="000D417E" w:rsidRDefault="003251C7" w:rsidP="003251C7">
            <w:pPr>
              <w:pStyle w:val="Compact"/>
              <w:jc w:val="center"/>
              <w:rPr>
                <w:sz w:val="20"/>
                <w:szCs w:val="20"/>
              </w:rPr>
            </w:pPr>
            <w:r>
              <w:rPr>
                <w:color w:val="000000"/>
                <w:sz w:val="20"/>
                <w:szCs w:val="20"/>
              </w:rPr>
              <w:t>0.2212</w:t>
            </w:r>
          </w:p>
        </w:tc>
      </w:tr>
      <w:tr w:rsidR="003251C7" w14:paraId="07587F32" w14:textId="70B0F6E6" w:rsidTr="005A68E4">
        <w:trPr>
          <w:jc w:val="center"/>
        </w:trPr>
        <w:tc>
          <w:tcPr>
            <w:tcW w:w="0" w:type="auto"/>
            <w:hideMark/>
          </w:tcPr>
          <w:p w14:paraId="4B84F37D" w14:textId="77777777" w:rsidR="003251C7" w:rsidRPr="000D417E" w:rsidRDefault="003251C7" w:rsidP="003251C7">
            <w:pPr>
              <w:pStyle w:val="Compact"/>
              <w:jc w:val="center"/>
              <w:rPr>
                <w:sz w:val="20"/>
                <w:szCs w:val="20"/>
              </w:rPr>
            </w:pPr>
            <w:r w:rsidRPr="000D417E">
              <w:rPr>
                <w:sz w:val="20"/>
                <w:szCs w:val="20"/>
              </w:rPr>
              <w:t>11</w:t>
            </w:r>
          </w:p>
        </w:tc>
        <w:tc>
          <w:tcPr>
            <w:tcW w:w="0" w:type="auto"/>
            <w:hideMark/>
          </w:tcPr>
          <w:p w14:paraId="467DF054" w14:textId="77777777" w:rsidR="003251C7" w:rsidRPr="000D417E" w:rsidRDefault="003251C7" w:rsidP="003251C7">
            <w:pPr>
              <w:pStyle w:val="Compact"/>
              <w:jc w:val="center"/>
              <w:rPr>
                <w:sz w:val="20"/>
                <w:szCs w:val="20"/>
              </w:rPr>
            </w:pPr>
            <w:r w:rsidRPr="000D417E">
              <w:rPr>
                <w:sz w:val="20"/>
                <w:szCs w:val="20"/>
              </w:rPr>
              <w:t>0.88</w:t>
            </w:r>
          </w:p>
        </w:tc>
        <w:tc>
          <w:tcPr>
            <w:tcW w:w="0" w:type="auto"/>
            <w:hideMark/>
          </w:tcPr>
          <w:p w14:paraId="6879B243" w14:textId="77777777" w:rsidR="003251C7" w:rsidRPr="000D417E" w:rsidRDefault="003251C7" w:rsidP="003251C7">
            <w:pPr>
              <w:pStyle w:val="Compact"/>
              <w:jc w:val="center"/>
              <w:rPr>
                <w:sz w:val="20"/>
                <w:szCs w:val="20"/>
              </w:rPr>
            </w:pPr>
            <w:r w:rsidRPr="000D417E">
              <w:rPr>
                <w:sz w:val="20"/>
                <w:szCs w:val="20"/>
              </w:rPr>
              <w:t>0.2-4.84</w:t>
            </w:r>
          </w:p>
        </w:tc>
        <w:tc>
          <w:tcPr>
            <w:tcW w:w="0" w:type="auto"/>
            <w:hideMark/>
          </w:tcPr>
          <w:p w14:paraId="1FB895D3" w14:textId="77777777" w:rsidR="003251C7" w:rsidRPr="000D417E" w:rsidRDefault="003251C7" w:rsidP="003251C7">
            <w:pPr>
              <w:pStyle w:val="Compact"/>
              <w:jc w:val="center"/>
              <w:rPr>
                <w:sz w:val="20"/>
                <w:szCs w:val="20"/>
              </w:rPr>
            </w:pPr>
            <w:r w:rsidRPr="000D417E">
              <w:rPr>
                <w:sz w:val="20"/>
                <w:szCs w:val="20"/>
              </w:rPr>
              <w:t>0-2.61</w:t>
            </w:r>
          </w:p>
        </w:tc>
        <w:tc>
          <w:tcPr>
            <w:tcW w:w="0" w:type="auto"/>
            <w:vAlign w:val="center"/>
          </w:tcPr>
          <w:p w14:paraId="4FFCD2FC" w14:textId="4B5D52B2" w:rsidR="003251C7" w:rsidRPr="000D417E" w:rsidRDefault="003251C7" w:rsidP="003251C7">
            <w:pPr>
              <w:pStyle w:val="Compact"/>
              <w:jc w:val="center"/>
              <w:rPr>
                <w:sz w:val="20"/>
                <w:szCs w:val="20"/>
              </w:rPr>
            </w:pPr>
            <w:r>
              <w:rPr>
                <w:color w:val="000000"/>
                <w:sz w:val="20"/>
                <w:szCs w:val="20"/>
              </w:rPr>
              <w:t>0.1411</w:t>
            </w:r>
          </w:p>
        </w:tc>
      </w:tr>
      <w:tr w:rsidR="003251C7" w14:paraId="4888DA7E" w14:textId="3136EA16" w:rsidTr="00FD655D">
        <w:trPr>
          <w:jc w:val="center"/>
        </w:trPr>
        <w:tc>
          <w:tcPr>
            <w:tcW w:w="0" w:type="auto"/>
            <w:hideMark/>
          </w:tcPr>
          <w:p w14:paraId="691455D6" w14:textId="77777777" w:rsidR="003251C7" w:rsidRPr="000D417E" w:rsidRDefault="003251C7" w:rsidP="003251C7">
            <w:pPr>
              <w:pStyle w:val="Compact"/>
              <w:jc w:val="center"/>
              <w:rPr>
                <w:sz w:val="20"/>
                <w:szCs w:val="20"/>
              </w:rPr>
            </w:pPr>
            <w:r w:rsidRPr="000D417E">
              <w:rPr>
                <w:sz w:val="20"/>
                <w:szCs w:val="20"/>
              </w:rPr>
              <w:t>12</w:t>
            </w:r>
          </w:p>
        </w:tc>
        <w:tc>
          <w:tcPr>
            <w:tcW w:w="0" w:type="auto"/>
            <w:hideMark/>
          </w:tcPr>
          <w:p w14:paraId="4C2DE72E" w14:textId="77777777" w:rsidR="003251C7" w:rsidRPr="000D417E" w:rsidRDefault="003251C7" w:rsidP="003251C7">
            <w:pPr>
              <w:pStyle w:val="Compact"/>
              <w:jc w:val="center"/>
              <w:rPr>
                <w:sz w:val="20"/>
                <w:szCs w:val="20"/>
              </w:rPr>
            </w:pPr>
            <w:r w:rsidRPr="000D417E">
              <w:rPr>
                <w:sz w:val="20"/>
                <w:szCs w:val="20"/>
              </w:rPr>
              <w:t>1.96</w:t>
            </w:r>
          </w:p>
        </w:tc>
        <w:tc>
          <w:tcPr>
            <w:tcW w:w="0" w:type="auto"/>
            <w:hideMark/>
          </w:tcPr>
          <w:p w14:paraId="180AB3E5" w14:textId="77777777" w:rsidR="003251C7" w:rsidRPr="000D417E" w:rsidRDefault="003251C7" w:rsidP="003251C7">
            <w:pPr>
              <w:pStyle w:val="Compact"/>
              <w:jc w:val="center"/>
              <w:rPr>
                <w:sz w:val="20"/>
                <w:szCs w:val="20"/>
              </w:rPr>
            </w:pPr>
            <w:r w:rsidRPr="000D417E">
              <w:rPr>
                <w:sz w:val="20"/>
                <w:szCs w:val="20"/>
              </w:rPr>
              <w:t>0.84-4.63</w:t>
            </w:r>
          </w:p>
        </w:tc>
        <w:tc>
          <w:tcPr>
            <w:tcW w:w="0" w:type="auto"/>
            <w:hideMark/>
          </w:tcPr>
          <w:p w14:paraId="6DA4060C" w14:textId="77777777" w:rsidR="003251C7" w:rsidRPr="000D417E" w:rsidRDefault="003251C7" w:rsidP="003251C7">
            <w:pPr>
              <w:pStyle w:val="Compact"/>
              <w:jc w:val="center"/>
              <w:rPr>
                <w:sz w:val="20"/>
                <w:szCs w:val="20"/>
              </w:rPr>
            </w:pPr>
            <w:r w:rsidRPr="000D417E">
              <w:rPr>
                <w:sz w:val="20"/>
                <w:szCs w:val="20"/>
              </w:rPr>
              <w:t>0-4.65</w:t>
            </w:r>
          </w:p>
        </w:tc>
        <w:tc>
          <w:tcPr>
            <w:tcW w:w="0" w:type="auto"/>
            <w:vAlign w:val="center"/>
          </w:tcPr>
          <w:p w14:paraId="22BF0DFC" w14:textId="7E8B930D" w:rsidR="003251C7" w:rsidRPr="000D417E" w:rsidRDefault="003251C7" w:rsidP="003251C7">
            <w:pPr>
              <w:pStyle w:val="Compact"/>
              <w:jc w:val="center"/>
              <w:rPr>
                <w:sz w:val="20"/>
                <w:szCs w:val="20"/>
              </w:rPr>
            </w:pPr>
            <w:r>
              <w:rPr>
                <w:color w:val="000000"/>
                <w:sz w:val="20"/>
                <w:szCs w:val="20"/>
              </w:rPr>
              <w:t>0.2334</w:t>
            </w:r>
          </w:p>
        </w:tc>
      </w:tr>
      <w:tr w:rsidR="003251C7" w14:paraId="75B6A7BA" w14:textId="168834AC" w:rsidTr="00FD655D">
        <w:trPr>
          <w:jc w:val="center"/>
        </w:trPr>
        <w:tc>
          <w:tcPr>
            <w:tcW w:w="0" w:type="auto"/>
            <w:hideMark/>
          </w:tcPr>
          <w:p w14:paraId="4532EF69" w14:textId="77777777" w:rsidR="003251C7" w:rsidRPr="000D417E" w:rsidRDefault="003251C7" w:rsidP="003251C7">
            <w:pPr>
              <w:pStyle w:val="Compact"/>
              <w:jc w:val="center"/>
              <w:rPr>
                <w:sz w:val="20"/>
                <w:szCs w:val="20"/>
              </w:rPr>
            </w:pPr>
            <w:r w:rsidRPr="000D417E">
              <w:rPr>
                <w:sz w:val="20"/>
                <w:szCs w:val="20"/>
              </w:rPr>
              <w:t>13</w:t>
            </w:r>
          </w:p>
        </w:tc>
        <w:tc>
          <w:tcPr>
            <w:tcW w:w="0" w:type="auto"/>
            <w:hideMark/>
          </w:tcPr>
          <w:p w14:paraId="4E176E9A" w14:textId="77777777" w:rsidR="003251C7" w:rsidRPr="000D417E" w:rsidRDefault="003251C7" w:rsidP="003251C7">
            <w:pPr>
              <w:pStyle w:val="Compact"/>
              <w:jc w:val="center"/>
              <w:rPr>
                <w:sz w:val="20"/>
                <w:szCs w:val="20"/>
              </w:rPr>
            </w:pPr>
            <w:r w:rsidRPr="000D417E">
              <w:rPr>
                <w:sz w:val="20"/>
                <w:szCs w:val="20"/>
              </w:rPr>
              <w:t>0.97</w:t>
            </w:r>
          </w:p>
        </w:tc>
        <w:tc>
          <w:tcPr>
            <w:tcW w:w="0" w:type="auto"/>
            <w:hideMark/>
          </w:tcPr>
          <w:p w14:paraId="73FAF384" w14:textId="77777777" w:rsidR="003251C7" w:rsidRPr="000D417E" w:rsidRDefault="003251C7" w:rsidP="003251C7">
            <w:pPr>
              <w:pStyle w:val="Compact"/>
              <w:jc w:val="center"/>
              <w:rPr>
                <w:sz w:val="20"/>
                <w:szCs w:val="20"/>
              </w:rPr>
            </w:pPr>
            <w:r w:rsidRPr="000D417E">
              <w:rPr>
                <w:sz w:val="20"/>
                <w:szCs w:val="20"/>
              </w:rPr>
              <w:t>0.47-4.36</w:t>
            </w:r>
          </w:p>
        </w:tc>
        <w:tc>
          <w:tcPr>
            <w:tcW w:w="0" w:type="auto"/>
            <w:hideMark/>
          </w:tcPr>
          <w:p w14:paraId="7D5D0C88" w14:textId="77777777" w:rsidR="003251C7" w:rsidRPr="000D417E" w:rsidRDefault="003251C7" w:rsidP="003251C7">
            <w:pPr>
              <w:pStyle w:val="Compact"/>
              <w:jc w:val="center"/>
              <w:rPr>
                <w:sz w:val="20"/>
                <w:szCs w:val="20"/>
              </w:rPr>
            </w:pPr>
            <w:r w:rsidRPr="000D417E">
              <w:rPr>
                <w:sz w:val="20"/>
                <w:szCs w:val="20"/>
              </w:rPr>
              <w:t>0-2.86</w:t>
            </w:r>
          </w:p>
        </w:tc>
        <w:tc>
          <w:tcPr>
            <w:tcW w:w="0" w:type="auto"/>
            <w:vAlign w:val="center"/>
          </w:tcPr>
          <w:p w14:paraId="02595FD6" w14:textId="4B954CAA" w:rsidR="003251C7" w:rsidRPr="000D417E" w:rsidRDefault="003251C7" w:rsidP="003251C7">
            <w:pPr>
              <w:pStyle w:val="Compact"/>
              <w:jc w:val="center"/>
              <w:rPr>
                <w:sz w:val="20"/>
                <w:szCs w:val="20"/>
              </w:rPr>
            </w:pPr>
            <w:r>
              <w:rPr>
                <w:color w:val="000000"/>
                <w:sz w:val="20"/>
                <w:szCs w:val="20"/>
              </w:rPr>
              <w:t>0.1339</w:t>
            </w:r>
          </w:p>
        </w:tc>
      </w:tr>
      <w:tr w:rsidR="003251C7" w14:paraId="6A5F4F35" w14:textId="39BE54CE" w:rsidTr="003251C7">
        <w:trPr>
          <w:jc w:val="center"/>
        </w:trPr>
        <w:tc>
          <w:tcPr>
            <w:tcW w:w="0" w:type="auto"/>
            <w:shd w:val="clear" w:color="auto" w:fill="FFF2CC" w:themeFill="accent4" w:themeFillTint="33"/>
            <w:hideMark/>
          </w:tcPr>
          <w:p w14:paraId="7B4D812E" w14:textId="77777777" w:rsidR="003251C7" w:rsidRPr="000D417E" w:rsidRDefault="003251C7" w:rsidP="003251C7">
            <w:pPr>
              <w:pStyle w:val="Compact"/>
              <w:jc w:val="center"/>
              <w:rPr>
                <w:sz w:val="20"/>
                <w:szCs w:val="20"/>
              </w:rPr>
            </w:pPr>
            <w:r w:rsidRPr="000D417E">
              <w:rPr>
                <w:sz w:val="20"/>
                <w:szCs w:val="20"/>
              </w:rPr>
              <w:t>14</w:t>
            </w:r>
          </w:p>
        </w:tc>
        <w:tc>
          <w:tcPr>
            <w:tcW w:w="0" w:type="auto"/>
            <w:shd w:val="clear" w:color="auto" w:fill="FFF2CC" w:themeFill="accent4" w:themeFillTint="33"/>
            <w:hideMark/>
          </w:tcPr>
          <w:p w14:paraId="6761B03A" w14:textId="77777777" w:rsidR="003251C7" w:rsidRPr="000D417E" w:rsidRDefault="003251C7" w:rsidP="003251C7">
            <w:pPr>
              <w:pStyle w:val="Compact"/>
              <w:jc w:val="center"/>
              <w:rPr>
                <w:sz w:val="20"/>
                <w:szCs w:val="20"/>
              </w:rPr>
            </w:pPr>
            <w:r w:rsidRPr="000D417E">
              <w:rPr>
                <w:sz w:val="20"/>
                <w:szCs w:val="20"/>
              </w:rPr>
              <w:t>7.59</w:t>
            </w:r>
          </w:p>
        </w:tc>
        <w:tc>
          <w:tcPr>
            <w:tcW w:w="0" w:type="auto"/>
            <w:shd w:val="clear" w:color="auto" w:fill="FFF2CC" w:themeFill="accent4" w:themeFillTint="33"/>
            <w:hideMark/>
          </w:tcPr>
          <w:p w14:paraId="29B29E47" w14:textId="77777777" w:rsidR="003251C7" w:rsidRPr="000D417E" w:rsidRDefault="003251C7" w:rsidP="003251C7">
            <w:pPr>
              <w:pStyle w:val="Compact"/>
              <w:jc w:val="center"/>
              <w:rPr>
                <w:sz w:val="20"/>
                <w:szCs w:val="20"/>
              </w:rPr>
            </w:pPr>
            <w:r w:rsidRPr="000D417E">
              <w:rPr>
                <w:sz w:val="20"/>
                <w:szCs w:val="20"/>
              </w:rPr>
              <w:t>0.78-4.82</w:t>
            </w:r>
          </w:p>
        </w:tc>
        <w:tc>
          <w:tcPr>
            <w:tcW w:w="0" w:type="auto"/>
            <w:shd w:val="clear" w:color="auto" w:fill="FFF2CC" w:themeFill="accent4" w:themeFillTint="33"/>
            <w:hideMark/>
          </w:tcPr>
          <w:p w14:paraId="446ED146" w14:textId="77777777" w:rsidR="003251C7" w:rsidRPr="000D417E" w:rsidRDefault="003251C7" w:rsidP="003251C7">
            <w:pPr>
              <w:pStyle w:val="Compact"/>
              <w:jc w:val="center"/>
              <w:rPr>
                <w:sz w:val="20"/>
                <w:szCs w:val="20"/>
              </w:rPr>
            </w:pPr>
            <w:r w:rsidRPr="000D417E">
              <w:rPr>
                <w:sz w:val="20"/>
                <w:szCs w:val="20"/>
              </w:rPr>
              <w:t>1.75-13.44</w:t>
            </w:r>
          </w:p>
        </w:tc>
        <w:tc>
          <w:tcPr>
            <w:tcW w:w="0" w:type="auto"/>
            <w:shd w:val="clear" w:color="auto" w:fill="FFF2CC" w:themeFill="accent4" w:themeFillTint="33"/>
            <w:vAlign w:val="center"/>
          </w:tcPr>
          <w:p w14:paraId="55C8484A" w14:textId="39AAE1D0" w:rsidR="003251C7" w:rsidRPr="000D417E" w:rsidRDefault="003251C7" w:rsidP="003251C7">
            <w:pPr>
              <w:pStyle w:val="Compact"/>
              <w:jc w:val="center"/>
              <w:rPr>
                <w:sz w:val="20"/>
                <w:szCs w:val="20"/>
              </w:rPr>
            </w:pPr>
            <w:r>
              <w:rPr>
                <w:color w:val="000000"/>
                <w:sz w:val="20"/>
                <w:szCs w:val="20"/>
              </w:rPr>
              <w:t>0.0214</w:t>
            </w:r>
          </w:p>
        </w:tc>
      </w:tr>
      <w:tr w:rsidR="003251C7" w14:paraId="03E8FD3A" w14:textId="7F8A2D79" w:rsidTr="00FD655D">
        <w:trPr>
          <w:jc w:val="center"/>
        </w:trPr>
        <w:tc>
          <w:tcPr>
            <w:tcW w:w="0" w:type="auto"/>
            <w:hideMark/>
          </w:tcPr>
          <w:p w14:paraId="656E89DB" w14:textId="77777777" w:rsidR="003251C7" w:rsidRPr="000D417E" w:rsidRDefault="003251C7" w:rsidP="003251C7">
            <w:pPr>
              <w:pStyle w:val="Compact"/>
              <w:jc w:val="center"/>
              <w:rPr>
                <w:sz w:val="20"/>
                <w:szCs w:val="20"/>
              </w:rPr>
            </w:pPr>
            <w:r w:rsidRPr="000D417E">
              <w:rPr>
                <w:sz w:val="20"/>
                <w:szCs w:val="20"/>
              </w:rPr>
              <w:t>15</w:t>
            </w:r>
          </w:p>
        </w:tc>
        <w:tc>
          <w:tcPr>
            <w:tcW w:w="0" w:type="auto"/>
            <w:hideMark/>
          </w:tcPr>
          <w:p w14:paraId="5CAB7C16" w14:textId="77777777" w:rsidR="003251C7" w:rsidRPr="000D417E" w:rsidRDefault="003251C7" w:rsidP="003251C7">
            <w:pPr>
              <w:pStyle w:val="Compact"/>
              <w:jc w:val="center"/>
              <w:rPr>
                <w:sz w:val="20"/>
                <w:szCs w:val="20"/>
              </w:rPr>
            </w:pPr>
            <w:r w:rsidRPr="000D417E">
              <w:rPr>
                <w:sz w:val="20"/>
                <w:szCs w:val="20"/>
              </w:rPr>
              <w:t>2.3</w:t>
            </w:r>
          </w:p>
        </w:tc>
        <w:tc>
          <w:tcPr>
            <w:tcW w:w="0" w:type="auto"/>
            <w:hideMark/>
          </w:tcPr>
          <w:p w14:paraId="39C4368D" w14:textId="77777777" w:rsidR="003251C7" w:rsidRPr="000D417E" w:rsidRDefault="003251C7" w:rsidP="003251C7">
            <w:pPr>
              <w:pStyle w:val="Compact"/>
              <w:jc w:val="center"/>
              <w:rPr>
                <w:sz w:val="20"/>
                <w:szCs w:val="20"/>
              </w:rPr>
            </w:pPr>
            <w:r w:rsidRPr="000D417E">
              <w:rPr>
                <w:sz w:val="20"/>
                <w:szCs w:val="20"/>
              </w:rPr>
              <w:t>0.48-3.87</w:t>
            </w:r>
          </w:p>
        </w:tc>
        <w:tc>
          <w:tcPr>
            <w:tcW w:w="0" w:type="auto"/>
            <w:hideMark/>
          </w:tcPr>
          <w:p w14:paraId="376DA1E7" w14:textId="77777777" w:rsidR="003251C7" w:rsidRPr="000D417E" w:rsidRDefault="003251C7" w:rsidP="003251C7">
            <w:pPr>
              <w:pStyle w:val="Compact"/>
              <w:jc w:val="center"/>
              <w:rPr>
                <w:sz w:val="20"/>
                <w:szCs w:val="20"/>
              </w:rPr>
            </w:pPr>
            <w:r w:rsidRPr="000D417E">
              <w:rPr>
                <w:sz w:val="20"/>
                <w:szCs w:val="20"/>
              </w:rPr>
              <w:t>0-5.45</w:t>
            </w:r>
          </w:p>
        </w:tc>
        <w:tc>
          <w:tcPr>
            <w:tcW w:w="0" w:type="auto"/>
            <w:vAlign w:val="center"/>
          </w:tcPr>
          <w:p w14:paraId="72FF7F0E" w14:textId="6BA5AA0C" w:rsidR="003251C7" w:rsidRPr="000D417E" w:rsidRDefault="003251C7" w:rsidP="003251C7">
            <w:pPr>
              <w:pStyle w:val="Compact"/>
              <w:jc w:val="center"/>
              <w:rPr>
                <w:sz w:val="20"/>
                <w:szCs w:val="20"/>
              </w:rPr>
            </w:pPr>
            <w:r>
              <w:rPr>
                <w:color w:val="000000"/>
                <w:sz w:val="20"/>
                <w:szCs w:val="20"/>
              </w:rPr>
              <w:t>0.2717</w:t>
            </w:r>
          </w:p>
        </w:tc>
      </w:tr>
      <w:tr w:rsidR="003251C7" w14:paraId="22C76CE8" w14:textId="4EBA1EEA" w:rsidTr="00FD655D">
        <w:trPr>
          <w:jc w:val="center"/>
        </w:trPr>
        <w:tc>
          <w:tcPr>
            <w:tcW w:w="0" w:type="auto"/>
            <w:hideMark/>
          </w:tcPr>
          <w:p w14:paraId="1C475989" w14:textId="77777777" w:rsidR="003251C7" w:rsidRPr="000D417E" w:rsidRDefault="003251C7" w:rsidP="003251C7">
            <w:pPr>
              <w:pStyle w:val="Compact"/>
              <w:jc w:val="center"/>
              <w:rPr>
                <w:sz w:val="20"/>
                <w:szCs w:val="20"/>
              </w:rPr>
            </w:pPr>
            <w:r w:rsidRPr="000D417E">
              <w:rPr>
                <w:sz w:val="20"/>
                <w:szCs w:val="20"/>
              </w:rPr>
              <w:t>16</w:t>
            </w:r>
          </w:p>
        </w:tc>
        <w:tc>
          <w:tcPr>
            <w:tcW w:w="0" w:type="auto"/>
            <w:hideMark/>
          </w:tcPr>
          <w:p w14:paraId="7842B0D6" w14:textId="77777777" w:rsidR="003251C7" w:rsidRPr="000D417E" w:rsidRDefault="003251C7" w:rsidP="003251C7">
            <w:pPr>
              <w:pStyle w:val="Compact"/>
              <w:jc w:val="center"/>
              <w:rPr>
                <w:sz w:val="20"/>
                <w:szCs w:val="20"/>
              </w:rPr>
            </w:pPr>
            <w:r w:rsidRPr="000D417E">
              <w:rPr>
                <w:sz w:val="20"/>
                <w:szCs w:val="20"/>
              </w:rPr>
              <w:t>3.48</w:t>
            </w:r>
          </w:p>
        </w:tc>
        <w:tc>
          <w:tcPr>
            <w:tcW w:w="0" w:type="auto"/>
            <w:hideMark/>
          </w:tcPr>
          <w:p w14:paraId="3186FA4E" w14:textId="77777777" w:rsidR="003251C7" w:rsidRPr="000D417E" w:rsidRDefault="003251C7" w:rsidP="003251C7">
            <w:pPr>
              <w:pStyle w:val="Compact"/>
              <w:jc w:val="center"/>
              <w:rPr>
                <w:sz w:val="20"/>
                <w:szCs w:val="20"/>
              </w:rPr>
            </w:pPr>
            <w:r w:rsidRPr="000D417E">
              <w:rPr>
                <w:sz w:val="20"/>
                <w:szCs w:val="20"/>
              </w:rPr>
              <w:t>0.74-5.55</w:t>
            </w:r>
          </w:p>
        </w:tc>
        <w:tc>
          <w:tcPr>
            <w:tcW w:w="0" w:type="auto"/>
            <w:hideMark/>
          </w:tcPr>
          <w:p w14:paraId="223D3FDB" w14:textId="77777777" w:rsidR="003251C7" w:rsidRPr="000D417E" w:rsidRDefault="003251C7" w:rsidP="003251C7">
            <w:pPr>
              <w:pStyle w:val="Compact"/>
              <w:jc w:val="center"/>
              <w:rPr>
                <w:sz w:val="20"/>
                <w:szCs w:val="20"/>
              </w:rPr>
            </w:pPr>
            <w:r w:rsidRPr="000D417E">
              <w:rPr>
                <w:sz w:val="20"/>
                <w:szCs w:val="20"/>
              </w:rPr>
              <w:t>0.13-6.83</w:t>
            </w:r>
          </w:p>
        </w:tc>
        <w:tc>
          <w:tcPr>
            <w:tcW w:w="0" w:type="auto"/>
            <w:vAlign w:val="center"/>
          </w:tcPr>
          <w:p w14:paraId="5540E753" w14:textId="4D79851F" w:rsidR="003251C7" w:rsidRPr="000D417E" w:rsidRDefault="003251C7" w:rsidP="003251C7">
            <w:pPr>
              <w:pStyle w:val="Compact"/>
              <w:jc w:val="center"/>
              <w:rPr>
                <w:sz w:val="20"/>
                <w:szCs w:val="20"/>
              </w:rPr>
            </w:pPr>
            <w:r>
              <w:rPr>
                <w:color w:val="000000"/>
                <w:sz w:val="20"/>
                <w:szCs w:val="20"/>
              </w:rPr>
              <w:t>0.1776</w:t>
            </w:r>
          </w:p>
        </w:tc>
      </w:tr>
      <w:tr w:rsidR="003251C7" w14:paraId="6172DE41" w14:textId="35F73FB5" w:rsidTr="003251C7">
        <w:trPr>
          <w:jc w:val="center"/>
        </w:trPr>
        <w:tc>
          <w:tcPr>
            <w:tcW w:w="0" w:type="auto"/>
            <w:shd w:val="clear" w:color="auto" w:fill="FFF2CC" w:themeFill="accent4" w:themeFillTint="33"/>
            <w:hideMark/>
          </w:tcPr>
          <w:p w14:paraId="57A9CA89" w14:textId="77777777" w:rsidR="003251C7" w:rsidRPr="000D417E" w:rsidRDefault="003251C7" w:rsidP="003251C7">
            <w:pPr>
              <w:pStyle w:val="Compact"/>
              <w:jc w:val="center"/>
              <w:rPr>
                <w:sz w:val="20"/>
                <w:szCs w:val="20"/>
              </w:rPr>
            </w:pPr>
            <w:r w:rsidRPr="000D417E">
              <w:rPr>
                <w:sz w:val="20"/>
                <w:szCs w:val="20"/>
              </w:rPr>
              <w:t>17</w:t>
            </w:r>
          </w:p>
        </w:tc>
        <w:tc>
          <w:tcPr>
            <w:tcW w:w="0" w:type="auto"/>
            <w:shd w:val="clear" w:color="auto" w:fill="FFF2CC" w:themeFill="accent4" w:themeFillTint="33"/>
            <w:hideMark/>
          </w:tcPr>
          <w:p w14:paraId="27CBC3D6" w14:textId="77777777" w:rsidR="003251C7" w:rsidRPr="000D417E" w:rsidRDefault="003251C7" w:rsidP="003251C7">
            <w:pPr>
              <w:pStyle w:val="Compact"/>
              <w:jc w:val="center"/>
              <w:rPr>
                <w:sz w:val="20"/>
                <w:szCs w:val="20"/>
              </w:rPr>
            </w:pPr>
            <w:r w:rsidRPr="000D417E">
              <w:rPr>
                <w:sz w:val="20"/>
                <w:szCs w:val="20"/>
              </w:rPr>
              <w:t>11.49</w:t>
            </w:r>
          </w:p>
        </w:tc>
        <w:tc>
          <w:tcPr>
            <w:tcW w:w="0" w:type="auto"/>
            <w:shd w:val="clear" w:color="auto" w:fill="FFF2CC" w:themeFill="accent4" w:themeFillTint="33"/>
            <w:hideMark/>
          </w:tcPr>
          <w:p w14:paraId="4F24A8F5" w14:textId="77777777" w:rsidR="003251C7" w:rsidRPr="000D417E" w:rsidRDefault="003251C7" w:rsidP="003251C7">
            <w:pPr>
              <w:pStyle w:val="Compact"/>
              <w:jc w:val="center"/>
              <w:rPr>
                <w:sz w:val="20"/>
                <w:szCs w:val="20"/>
              </w:rPr>
            </w:pPr>
            <w:r w:rsidRPr="000D417E">
              <w:rPr>
                <w:sz w:val="20"/>
                <w:szCs w:val="20"/>
              </w:rPr>
              <w:t>0.4-5.07</w:t>
            </w:r>
          </w:p>
        </w:tc>
        <w:tc>
          <w:tcPr>
            <w:tcW w:w="0" w:type="auto"/>
            <w:shd w:val="clear" w:color="auto" w:fill="FFF2CC" w:themeFill="accent4" w:themeFillTint="33"/>
            <w:hideMark/>
          </w:tcPr>
          <w:p w14:paraId="4C728C08" w14:textId="77777777" w:rsidR="003251C7" w:rsidRPr="000D417E" w:rsidRDefault="003251C7" w:rsidP="003251C7">
            <w:pPr>
              <w:pStyle w:val="Compact"/>
              <w:jc w:val="center"/>
              <w:rPr>
                <w:sz w:val="20"/>
                <w:szCs w:val="20"/>
              </w:rPr>
            </w:pPr>
            <w:r w:rsidRPr="000D417E">
              <w:rPr>
                <w:sz w:val="20"/>
                <w:szCs w:val="20"/>
              </w:rPr>
              <w:t>4.79-18.2</w:t>
            </w:r>
          </w:p>
        </w:tc>
        <w:tc>
          <w:tcPr>
            <w:tcW w:w="0" w:type="auto"/>
            <w:shd w:val="clear" w:color="auto" w:fill="FFF2CC" w:themeFill="accent4" w:themeFillTint="33"/>
            <w:vAlign w:val="center"/>
          </w:tcPr>
          <w:p w14:paraId="6953D373" w14:textId="49F4CC5B" w:rsidR="003251C7" w:rsidRPr="000D417E" w:rsidRDefault="003251C7" w:rsidP="003251C7">
            <w:pPr>
              <w:pStyle w:val="Compact"/>
              <w:jc w:val="center"/>
              <w:rPr>
                <w:sz w:val="20"/>
                <w:szCs w:val="20"/>
              </w:rPr>
            </w:pPr>
            <w:r>
              <w:rPr>
                <w:color w:val="000000"/>
                <w:sz w:val="20"/>
                <w:szCs w:val="20"/>
              </w:rPr>
              <w:t>&lt; 0.0001</w:t>
            </w:r>
          </w:p>
        </w:tc>
      </w:tr>
      <w:tr w:rsidR="003251C7" w14:paraId="108F1B01" w14:textId="4FE3D4AB" w:rsidTr="00FD655D">
        <w:trPr>
          <w:jc w:val="center"/>
        </w:trPr>
        <w:tc>
          <w:tcPr>
            <w:tcW w:w="0" w:type="auto"/>
            <w:hideMark/>
          </w:tcPr>
          <w:p w14:paraId="0EC54B2B" w14:textId="77777777" w:rsidR="003251C7" w:rsidRPr="000D417E" w:rsidRDefault="003251C7" w:rsidP="003251C7">
            <w:pPr>
              <w:pStyle w:val="Compact"/>
              <w:jc w:val="center"/>
              <w:rPr>
                <w:sz w:val="20"/>
                <w:szCs w:val="20"/>
              </w:rPr>
            </w:pPr>
            <w:r w:rsidRPr="000D417E">
              <w:rPr>
                <w:sz w:val="20"/>
                <w:szCs w:val="20"/>
              </w:rPr>
              <w:t>18</w:t>
            </w:r>
          </w:p>
        </w:tc>
        <w:tc>
          <w:tcPr>
            <w:tcW w:w="0" w:type="auto"/>
            <w:hideMark/>
          </w:tcPr>
          <w:p w14:paraId="41E16525" w14:textId="77777777" w:rsidR="003251C7" w:rsidRPr="000D417E" w:rsidRDefault="003251C7" w:rsidP="003251C7">
            <w:pPr>
              <w:pStyle w:val="Compact"/>
              <w:jc w:val="center"/>
              <w:rPr>
                <w:sz w:val="20"/>
                <w:szCs w:val="20"/>
              </w:rPr>
            </w:pPr>
            <w:r w:rsidRPr="000D417E">
              <w:rPr>
                <w:sz w:val="20"/>
                <w:szCs w:val="20"/>
              </w:rPr>
              <w:t>0</w:t>
            </w:r>
          </w:p>
        </w:tc>
        <w:tc>
          <w:tcPr>
            <w:tcW w:w="0" w:type="auto"/>
            <w:hideMark/>
          </w:tcPr>
          <w:p w14:paraId="7EF222F1" w14:textId="77777777" w:rsidR="003251C7" w:rsidRPr="000D417E" w:rsidRDefault="003251C7" w:rsidP="003251C7">
            <w:pPr>
              <w:pStyle w:val="Compact"/>
              <w:jc w:val="center"/>
              <w:rPr>
                <w:sz w:val="20"/>
                <w:szCs w:val="20"/>
              </w:rPr>
            </w:pPr>
            <w:r w:rsidRPr="000D417E">
              <w:rPr>
                <w:sz w:val="20"/>
                <w:szCs w:val="20"/>
              </w:rPr>
              <w:t>0.2-4.86</w:t>
            </w:r>
          </w:p>
        </w:tc>
        <w:tc>
          <w:tcPr>
            <w:tcW w:w="0" w:type="auto"/>
            <w:hideMark/>
          </w:tcPr>
          <w:p w14:paraId="2A3363F9" w14:textId="77777777" w:rsidR="003251C7" w:rsidRPr="000D417E" w:rsidRDefault="003251C7" w:rsidP="003251C7">
            <w:pPr>
              <w:pStyle w:val="Compact"/>
              <w:jc w:val="center"/>
              <w:rPr>
                <w:sz w:val="20"/>
                <w:szCs w:val="20"/>
              </w:rPr>
            </w:pPr>
            <w:r w:rsidRPr="000D417E">
              <w:rPr>
                <w:sz w:val="20"/>
                <w:szCs w:val="20"/>
              </w:rPr>
              <w:t>0-0</w:t>
            </w:r>
          </w:p>
        </w:tc>
        <w:tc>
          <w:tcPr>
            <w:tcW w:w="0" w:type="auto"/>
            <w:vAlign w:val="center"/>
          </w:tcPr>
          <w:p w14:paraId="7262818E" w14:textId="4F508D95" w:rsidR="003251C7" w:rsidRPr="000D417E" w:rsidRDefault="003251C7" w:rsidP="003251C7">
            <w:pPr>
              <w:pStyle w:val="Compact"/>
              <w:jc w:val="center"/>
              <w:rPr>
                <w:sz w:val="20"/>
                <w:szCs w:val="20"/>
              </w:rPr>
            </w:pPr>
            <w:r>
              <w:rPr>
                <w:color w:val="000000"/>
                <w:sz w:val="20"/>
                <w:szCs w:val="20"/>
              </w:rPr>
              <w:t>0.1476</w:t>
            </w:r>
          </w:p>
        </w:tc>
      </w:tr>
      <w:tr w:rsidR="003251C7" w14:paraId="7A6BA438" w14:textId="481111D5" w:rsidTr="00FD655D">
        <w:trPr>
          <w:jc w:val="center"/>
        </w:trPr>
        <w:tc>
          <w:tcPr>
            <w:tcW w:w="0" w:type="auto"/>
            <w:hideMark/>
          </w:tcPr>
          <w:p w14:paraId="5D0BBD25" w14:textId="77777777" w:rsidR="003251C7" w:rsidRPr="000D417E" w:rsidRDefault="003251C7" w:rsidP="003251C7">
            <w:pPr>
              <w:pStyle w:val="Compact"/>
              <w:jc w:val="center"/>
              <w:rPr>
                <w:sz w:val="20"/>
                <w:szCs w:val="20"/>
              </w:rPr>
            </w:pPr>
            <w:r w:rsidRPr="000D417E">
              <w:rPr>
                <w:sz w:val="20"/>
                <w:szCs w:val="20"/>
              </w:rPr>
              <w:t>19</w:t>
            </w:r>
          </w:p>
        </w:tc>
        <w:tc>
          <w:tcPr>
            <w:tcW w:w="0" w:type="auto"/>
            <w:hideMark/>
          </w:tcPr>
          <w:p w14:paraId="26640EBB" w14:textId="77777777" w:rsidR="003251C7" w:rsidRPr="000D417E" w:rsidRDefault="003251C7" w:rsidP="003251C7">
            <w:pPr>
              <w:pStyle w:val="Compact"/>
              <w:jc w:val="center"/>
              <w:rPr>
                <w:sz w:val="20"/>
                <w:szCs w:val="20"/>
              </w:rPr>
            </w:pPr>
            <w:r w:rsidRPr="000D417E">
              <w:rPr>
                <w:sz w:val="20"/>
                <w:szCs w:val="20"/>
              </w:rPr>
              <w:t>0</w:t>
            </w:r>
          </w:p>
        </w:tc>
        <w:tc>
          <w:tcPr>
            <w:tcW w:w="0" w:type="auto"/>
            <w:hideMark/>
          </w:tcPr>
          <w:p w14:paraId="6795F10D" w14:textId="77777777" w:rsidR="003251C7" w:rsidRPr="000D417E" w:rsidRDefault="003251C7" w:rsidP="003251C7">
            <w:pPr>
              <w:pStyle w:val="Compact"/>
              <w:jc w:val="center"/>
              <w:rPr>
                <w:sz w:val="20"/>
                <w:szCs w:val="20"/>
              </w:rPr>
            </w:pPr>
            <w:r w:rsidRPr="000D417E">
              <w:rPr>
                <w:sz w:val="20"/>
                <w:szCs w:val="20"/>
              </w:rPr>
              <w:t>0.57-4.77</w:t>
            </w:r>
          </w:p>
        </w:tc>
        <w:tc>
          <w:tcPr>
            <w:tcW w:w="0" w:type="auto"/>
            <w:hideMark/>
          </w:tcPr>
          <w:p w14:paraId="7E4D66BF" w14:textId="77777777" w:rsidR="003251C7" w:rsidRPr="000D417E" w:rsidRDefault="003251C7" w:rsidP="003251C7">
            <w:pPr>
              <w:pStyle w:val="Compact"/>
              <w:jc w:val="center"/>
              <w:rPr>
                <w:sz w:val="20"/>
                <w:szCs w:val="20"/>
              </w:rPr>
            </w:pPr>
            <w:r w:rsidRPr="000D417E">
              <w:rPr>
                <w:sz w:val="20"/>
                <w:szCs w:val="20"/>
              </w:rPr>
              <w:t>0-0</w:t>
            </w:r>
          </w:p>
        </w:tc>
        <w:tc>
          <w:tcPr>
            <w:tcW w:w="0" w:type="auto"/>
            <w:vAlign w:val="center"/>
          </w:tcPr>
          <w:p w14:paraId="51E5EBEC" w14:textId="605474C1" w:rsidR="003251C7" w:rsidRPr="000D417E" w:rsidRDefault="003251C7" w:rsidP="003251C7">
            <w:pPr>
              <w:pStyle w:val="Compact"/>
              <w:jc w:val="center"/>
              <w:rPr>
                <w:sz w:val="20"/>
                <w:szCs w:val="20"/>
              </w:rPr>
            </w:pPr>
            <w:r>
              <w:rPr>
                <w:color w:val="000000"/>
                <w:sz w:val="20"/>
                <w:szCs w:val="20"/>
              </w:rPr>
              <w:t>0.0808</w:t>
            </w:r>
          </w:p>
        </w:tc>
      </w:tr>
      <w:tr w:rsidR="003251C7" w14:paraId="50C7E16F" w14:textId="7C98AAE0" w:rsidTr="00FD655D">
        <w:trPr>
          <w:jc w:val="center"/>
        </w:trPr>
        <w:tc>
          <w:tcPr>
            <w:tcW w:w="0" w:type="auto"/>
            <w:hideMark/>
          </w:tcPr>
          <w:p w14:paraId="0E87FBD9" w14:textId="77777777" w:rsidR="003251C7" w:rsidRPr="000D417E" w:rsidRDefault="003251C7" w:rsidP="003251C7">
            <w:pPr>
              <w:pStyle w:val="Compact"/>
              <w:jc w:val="center"/>
              <w:rPr>
                <w:sz w:val="20"/>
                <w:szCs w:val="20"/>
              </w:rPr>
            </w:pPr>
            <w:r w:rsidRPr="000D417E">
              <w:rPr>
                <w:sz w:val="20"/>
                <w:szCs w:val="20"/>
              </w:rPr>
              <w:lastRenderedPageBreak/>
              <w:t>20</w:t>
            </w:r>
          </w:p>
        </w:tc>
        <w:tc>
          <w:tcPr>
            <w:tcW w:w="0" w:type="auto"/>
            <w:hideMark/>
          </w:tcPr>
          <w:p w14:paraId="11D55EEB" w14:textId="77777777" w:rsidR="003251C7" w:rsidRPr="000D417E" w:rsidRDefault="003251C7" w:rsidP="003251C7">
            <w:pPr>
              <w:pStyle w:val="Compact"/>
              <w:jc w:val="center"/>
              <w:rPr>
                <w:sz w:val="20"/>
                <w:szCs w:val="20"/>
              </w:rPr>
            </w:pPr>
            <w:r w:rsidRPr="000D417E">
              <w:rPr>
                <w:sz w:val="20"/>
                <w:szCs w:val="20"/>
              </w:rPr>
              <w:t>1.08</w:t>
            </w:r>
          </w:p>
        </w:tc>
        <w:tc>
          <w:tcPr>
            <w:tcW w:w="0" w:type="auto"/>
            <w:hideMark/>
          </w:tcPr>
          <w:p w14:paraId="41A721DB" w14:textId="77777777" w:rsidR="003251C7" w:rsidRPr="000D417E" w:rsidRDefault="003251C7" w:rsidP="003251C7">
            <w:pPr>
              <w:pStyle w:val="Compact"/>
              <w:jc w:val="center"/>
              <w:rPr>
                <w:sz w:val="20"/>
                <w:szCs w:val="20"/>
              </w:rPr>
            </w:pPr>
            <w:r w:rsidRPr="000D417E">
              <w:rPr>
                <w:sz w:val="20"/>
                <w:szCs w:val="20"/>
              </w:rPr>
              <w:t>0.97-4.92</w:t>
            </w:r>
          </w:p>
        </w:tc>
        <w:tc>
          <w:tcPr>
            <w:tcW w:w="0" w:type="auto"/>
            <w:hideMark/>
          </w:tcPr>
          <w:p w14:paraId="43CAA926" w14:textId="77777777" w:rsidR="003251C7" w:rsidRPr="000D417E" w:rsidRDefault="003251C7" w:rsidP="003251C7">
            <w:pPr>
              <w:pStyle w:val="Compact"/>
              <w:jc w:val="center"/>
              <w:rPr>
                <w:sz w:val="20"/>
                <w:szCs w:val="20"/>
              </w:rPr>
            </w:pPr>
            <w:r w:rsidRPr="000D417E">
              <w:rPr>
                <w:sz w:val="20"/>
                <w:szCs w:val="20"/>
              </w:rPr>
              <w:t>0-3.17</w:t>
            </w:r>
          </w:p>
        </w:tc>
        <w:tc>
          <w:tcPr>
            <w:tcW w:w="0" w:type="auto"/>
            <w:vAlign w:val="center"/>
          </w:tcPr>
          <w:p w14:paraId="07E05408" w14:textId="230FF1F9" w:rsidR="003251C7" w:rsidRPr="000D417E" w:rsidRDefault="003251C7" w:rsidP="003251C7">
            <w:pPr>
              <w:pStyle w:val="Compact"/>
              <w:jc w:val="center"/>
              <w:rPr>
                <w:sz w:val="20"/>
                <w:szCs w:val="20"/>
              </w:rPr>
            </w:pPr>
            <w:r>
              <w:rPr>
                <w:color w:val="000000"/>
                <w:sz w:val="20"/>
                <w:szCs w:val="20"/>
              </w:rPr>
              <w:t>0.1975</w:t>
            </w:r>
          </w:p>
        </w:tc>
      </w:tr>
      <w:tr w:rsidR="003251C7" w14:paraId="073DDBC1" w14:textId="440465BD" w:rsidTr="003251C7">
        <w:trPr>
          <w:jc w:val="center"/>
        </w:trPr>
        <w:tc>
          <w:tcPr>
            <w:tcW w:w="0" w:type="auto"/>
            <w:shd w:val="clear" w:color="auto" w:fill="FFF2CC" w:themeFill="accent4" w:themeFillTint="33"/>
            <w:hideMark/>
          </w:tcPr>
          <w:p w14:paraId="1F2035DE" w14:textId="77777777" w:rsidR="003251C7" w:rsidRPr="000D417E" w:rsidRDefault="003251C7" w:rsidP="003251C7">
            <w:pPr>
              <w:pStyle w:val="Compact"/>
              <w:jc w:val="center"/>
              <w:rPr>
                <w:sz w:val="20"/>
                <w:szCs w:val="20"/>
              </w:rPr>
            </w:pPr>
            <w:r w:rsidRPr="000D417E">
              <w:rPr>
                <w:sz w:val="20"/>
                <w:szCs w:val="20"/>
              </w:rPr>
              <w:t>21</w:t>
            </w:r>
          </w:p>
        </w:tc>
        <w:tc>
          <w:tcPr>
            <w:tcW w:w="0" w:type="auto"/>
            <w:shd w:val="clear" w:color="auto" w:fill="FFF2CC" w:themeFill="accent4" w:themeFillTint="33"/>
            <w:hideMark/>
          </w:tcPr>
          <w:p w14:paraId="31BF579F" w14:textId="77777777" w:rsidR="003251C7" w:rsidRPr="000D417E" w:rsidRDefault="003251C7" w:rsidP="003251C7">
            <w:pPr>
              <w:pStyle w:val="Compact"/>
              <w:jc w:val="center"/>
              <w:rPr>
                <w:sz w:val="20"/>
                <w:szCs w:val="20"/>
              </w:rPr>
            </w:pPr>
            <w:r w:rsidRPr="000D417E">
              <w:rPr>
                <w:sz w:val="20"/>
                <w:szCs w:val="20"/>
              </w:rPr>
              <w:t>9.52</w:t>
            </w:r>
          </w:p>
        </w:tc>
        <w:tc>
          <w:tcPr>
            <w:tcW w:w="0" w:type="auto"/>
            <w:shd w:val="clear" w:color="auto" w:fill="FFF2CC" w:themeFill="accent4" w:themeFillTint="33"/>
            <w:hideMark/>
          </w:tcPr>
          <w:p w14:paraId="14913DAA" w14:textId="77777777" w:rsidR="003251C7" w:rsidRPr="000D417E" w:rsidRDefault="003251C7" w:rsidP="003251C7">
            <w:pPr>
              <w:pStyle w:val="Compact"/>
              <w:jc w:val="center"/>
              <w:rPr>
                <w:sz w:val="20"/>
                <w:szCs w:val="20"/>
              </w:rPr>
            </w:pPr>
            <w:r w:rsidRPr="000D417E">
              <w:rPr>
                <w:sz w:val="20"/>
                <w:szCs w:val="20"/>
              </w:rPr>
              <w:t>0.94-5.32</w:t>
            </w:r>
          </w:p>
        </w:tc>
        <w:tc>
          <w:tcPr>
            <w:tcW w:w="0" w:type="auto"/>
            <w:shd w:val="clear" w:color="auto" w:fill="FFF2CC" w:themeFill="accent4" w:themeFillTint="33"/>
            <w:hideMark/>
          </w:tcPr>
          <w:p w14:paraId="22F76080" w14:textId="77777777" w:rsidR="003251C7" w:rsidRPr="000D417E" w:rsidRDefault="003251C7" w:rsidP="003251C7">
            <w:pPr>
              <w:pStyle w:val="Compact"/>
              <w:jc w:val="center"/>
              <w:rPr>
                <w:sz w:val="20"/>
                <w:szCs w:val="20"/>
              </w:rPr>
            </w:pPr>
            <w:r w:rsidRPr="000D417E">
              <w:rPr>
                <w:sz w:val="20"/>
                <w:szCs w:val="20"/>
              </w:rPr>
              <w:t>3.91-15.14</w:t>
            </w:r>
          </w:p>
        </w:tc>
        <w:tc>
          <w:tcPr>
            <w:tcW w:w="0" w:type="auto"/>
            <w:shd w:val="clear" w:color="auto" w:fill="FFF2CC" w:themeFill="accent4" w:themeFillTint="33"/>
            <w:vAlign w:val="center"/>
          </w:tcPr>
          <w:p w14:paraId="77BFCB4A" w14:textId="35C2997A" w:rsidR="003251C7" w:rsidRPr="000D417E" w:rsidRDefault="003251C7" w:rsidP="003251C7">
            <w:pPr>
              <w:pStyle w:val="Compact"/>
              <w:jc w:val="center"/>
              <w:rPr>
                <w:sz w:val="20"/>
                <w:szCs w:val="20"/>
              </w:rPr>
            </w:pPr>
            <w:r>
              <w:rPr>
                <w:color w:val="000000"/>
                <w:sz w:val="20"/>
                <w:szCs w:val="20"/>
              </w:rPr>
              <w:t>0.0013</w:t>
            </w:r>
          </w:p>
        </w:tc>
      </w:tr>
      <w:tr w:rsidR="003251C7" w14:paraId="75987327" w14:textId="13E6C89A" w:rsidTr="00FD655D">
        <w:trPr>
          <w:jc w:val="center"/>
        </w:trPr>
        <w:tc>
          <w:tcPr>
            <w:tcW w:w="0" w:type="auto"/>
            <w:hideMark/>
          </w:tcPr>
          <w:p w14:paraId="6B243900" w14:textId="77777777" w:rsidR="003251C7" w:rsidRPr="000D417E" w:rsidRDefault="003251C7" w:rsidP="003251C7">
            <w:pPr>
              <w:pStyle w:val="Compact"/>
              <w:jc w:val="center"/>
              <w:rPr>
                <w:sz w:val="20"/>
                <w:szCs w:val="20"/>
              </w:rPr>
            </w:pPr>
            <w:r w:rsidRPr="000D417E">
              <w:rPr>
                <w:sz w:val="20"/>
                <w:szCs w:val="20"/>
              </w:rPr>
              <w:t>22</w:t>
            </w:r>
          </w:p>
        </w:tc>
        <w:tc>
          <w:tcPr>
            <w:tcW w:w="0" w:type="auto"/>
            <w:hideMark/>
          </w:tcPr>
          <w:p w14:paraId="67ABB68D" w14:textId="77777777" w:rsidR="003251C7" w:rsidRPr="000D417E" w:rsidRDefault="003251C7" w:rsidP="003251C7">
            <w:pPr>
              <w:pStyle w:val="Compact"/>
              <w:jc w:val="center"/>
              <w:rPr>
                <w:sz w:val="20"/>
                <w:szCs w:val="20"/>
              </w:rPr>
            </w:pPr>
            <w:r w:rsidRPr="000D417E">
              <w:rPr>
                <w:sz w:val="20"/>
                <w:szCs w:val="20"/>
              </w:rPr>
              <w:t>2.97</w:t>
            </w:r>
          </w:p>
        </w:tc>
        <w:tc>
          <w:tcPr>
            <w:tcW w:w="0" w:type="auto"/>
            <w:hideMark/>
          </w:tcPr>
          <w:p w14:paraId="41871B4F" w14:textId="77777777" w:rsidR="003251C7" w:rsidRPr="000D417E" w:rsidRDefault="003251C7" w:rsidP="003251C7">
            <w:pPr>
              <w:pStyle w:val="Compact"/>
              <w:jc w:val="center"/>
              <w:rPr>
                <w:sz w:val="20"/>
                <w:szCs w:val="20"/>
              </w:rPr>
            </w:pPr>
            <w:r w:rsidRPr="000D417E">
              <w:rPr>
                <w:sz w:val="20"/>
                <w:szCs w:val="20"/>
              </w:rPr>
              <w:t>0.34-5.6</w:t>
            </w:r>
          </w:p>
        </w:tc>
        <w:tc>
          <w:tcPr>
            <w:tcW w:w="0" w:type="auto"/>
            <w:hideMark/>
          </w:tcPr>
          <w:p w14:paraId="772F889A" w14:textId="77777777" w:rsidR="003251C7" w:rsidRPr="000D417E" w:rsidRDefault="003251C7" w:rsidP="003251C7">
            <w:pPr>
              <w:pStyle w:val="Compact"/>
              <w:jc w:val="center"/>
              <w:rPr>
                <w:sz w:val="20"/>
                <w:szCs w:val="20"/>
              </w:rPr>
            </w:pPr>
            <w:r w:rsidRPr="000D417E">
              <w:rPr>
                <w:sz w:val="20"/>
                <w:szCs w:val="20"/>
              </w:rPr>
              <w:t>0-6.28</w:t>
            </w:r>
          </w:p>
        </w:tc>
        <w:tc>
          <w:tcPr>
            <w:tcW w:w="0" w:type="auto"/>
            <w:vAlign w:val="center"/>
          </w:tcPr>
          <w:p w14:paraId="17AA7305" w14:textId="0586A3C2" w:rsidR="003251C7" w:rsidRPr="000D417E" w:rsidRDefault="003251C7" w:rsidP="003251C7">
            <w:pPr>
              <w:pStyle w:val="Compact"/>
              <w:jc w:val="center"/>
              <w:rPr>
                <w:sz w:val="20"/>
                <w:szCs w:val="20"/>
              </w:rPr>
            </w:pPr>
            <w:r>
              <w:rPr>
                <w:color w:val="000000"/>
                <w:sz w:val="20"/>
                <w:szCs w:val="20"/>
              </w:rPr>
              <w:t>0.2047</w:t>
            </w:r>
          </w:p>
        </w:tc>
      </w:tr>
      <w:tr w:rsidR="003251C7" w14:paraId="46CDE0BF" w14:textId="010B4DB4" w:rsidTr="006A7645">
        <w:trPr>
          <w:jc w:val="center"/>
        </w:trPr>
        <w:tc>
          <w:tcPr>
            <w:tcW w:w="0" w:type="auto"/>
            <w:hideMark/>
          </w:tcPr>
          <w:p w14:paraId="74869F11" w14:textId="77777777" w:rsidR="003251C7" w:rsidRPr="000D417E" w:rsidRDefault="003251C7" w:rsidP="003251C7">
            <w:pPr>
              <w:pStyle w:val="Compact"/>
              <w:jc w:val="center"/>
              <w:rPr>
                <w:sz w:val="20"/>
                <w:szCs w:val="20"/>
              </w:rPr>
            </w:pPr>
            <w:r w:rsidRPr="000D417E">
              <w:rPr>
                <w:sz w:val="20"/>
                <w:szCs w:val="20"/>
              </w:rPr>
              <w:t>23</w:t>
            </w:r>
          </w:p>
        </w:tc>
        <w:tc>
          <w:tcPr>
            <w:tcW w:w="0" w:type="auto"/>
            <w:hideMark/>
          </w:tcPr>
          <w:p w14:paraId="6B9151C6" w14:textId="77777777" w:rsidR="003251C7" w:rsidRPr="000D417E" w:rsidRDefault="003251C7" w:rsidP="003251C7">
            <w:pPr>
              <w:pStyle w:val="Compact"/>
              <w:jc w:val="center"/>
              <w:rPr>
                <w:sz w:val="20"/>
                <w:szCs w:val="20"/>
              </w:rPr>
            </w:pPr>
            <w:r w:rsidRPr="000D417E">
              <w:rPr>
                <w:sz w:val="20"/>
                <w:szCs w:val="20"/>
              </w:rPr>
              <w:t>5.22</w:t>
            </w:r>
          </w:p>
        </w:tc>
        <w:tc>
          <w:tcPr>
            <w:tcW w:w="0" w:type="auto"/>
            <w:hideMark/>
          </w:tcPr>
          <w:p w14:paraId="40FB09D9" w14:textId="77777777" w:rsidR="003251C7" w:rsidRPr="000D417E" w:rsidRDefault="003251C7" w:rsidP="003251C7">
            <w:pPr>
              <w:pStyle w:val="Compact"/>
              <w:jc w:val="center"/>
              <w:rPr>
                <w:sz w:val="20"/>
                <w:szCs w:val="20"/>
              </w:rPr>
            </w:pPr>
            <w:r w:rsidRPr="000D417E">
              <w:rPr>
                <w:sz w:val="20"/>
                <w:szCs w:val="20"/>
              </w:rPr>
              <w:t>0.09-4.13</w:t>
            </w:r>
          </w:p>
        </w:tc>
        <w:tc>
          <w:tcPr>
            <w:tcW w:w="0" w:type="auto"/>
            <w:hideMark/>
          </w:tcPr>
          <w:p w14:paraId="79B5997A" w14:textId="77777777" w:rsidR="003251C7" w:rsidRPr="000D417E" w:rsidRDefault="003251C7" w:rsidP="003251C7">
            <w:pPr>
              <w:pStyle w:val="Compact"/>
              <w:jc w:val="center"/>
              <w:rPr>
                <w:sz w:val="20"/>
                <w:szCs w:val="20"/>
              </w:rPr>
            </w:pPr>
            <w:r w:rsidRPr="000D417E">
              <w:rPr>
                <w:sz w:val="20"/>
                <w:szCs w:val="20"/>
              </w:rPr>
              <w:t>1.15-9.28</w:t>
            </w:r>
          </w:p>
        </w:tc>
        <w:tc>
          <w:tcPr>
            <w:tcW w:w="0" w:type="auto"/>
            <w:vAlign w:val="center"/>
          </w:tcPr>
          <w:p w14:paraId="29B09F6D" w14:textId="09D86704" w:rsidR="003251C7" w:rsidRPr="000D417E" w:rsidRDefault="003251C7" w:rsidP="003251C7">
            <w:pPr>
              <w:pStyle w:val="Compact"/>
              <w:jc w:val="center"/>
              <w:rPr>
                <w:sz w:val="20"/>
                <w:szCs w:val="20"/>
              </w:rPr>
            </w:pPr>
            <w:r>
              <w:rPr>
                <w:color w:val="000000"/>
                <w:sz w:val="20"/>
                <w:szCs w:val="20"/>
              </w:rPr>
              <w:t>0.0647</w:t>
            </w:r>
          </w:p>
        </w:tc>
      </w:tr>
      <w:tr w:rsidR="003251C7" w14:paraId="66235DC6" w14:textId="77E0D271" w:rsidTr="006A7645">
        <w:trPr>
          <w:jc w:val="center"/>
        </w:trPr>
        <w:tc>
          <w:tcPr>
            <w:tcW w:w="0" w:type="auto"/>
            <w:hideMark/>
          </w:tcPr>
          <w:p w14:paraId="6333C9F0" w14:textId="77777777" w:rsidR="003251C7" w:rsidRPr="000D417E" w:rsidRDefault="003251C7" w:rsidP="003251C7">
            <w:pPr>
              <w:pStyle w:val="Compact"/>
              <w:jc w:val="center"/>
              <w:rPr>
                <w:sz w:val="20"/>
                <w:szCs w:val="20"/>
              </w:rPr>
            </w:pPr>
            <w:r w:rsidRPr="000D417E">
              <w:rPr>
                <w:sz w:val="20"/>
                <w:szCs w:val="20"/>
              </w:rPr>
              <w:t>24</w:t>
            </w:r>
          </w:p>
        </w:tc>
        <w:tc>
          <w:tcPr>
            <w:tcW w:w="0" w:type="auto"/>
            <w:hideMark/>
          </w:tcPr>
          <w:p w14:paraId="54D6F220" w14:textId="77777777" w:rsidR="003251C7" w:rsidRPr="000D417E" w:rsidRDefault="003251C7" w:rsidP="003251C7">
            <w:pPr>
              <w:pStyle w:val="Compact"/>
              <w:jc w:val="center"/>
              <w:rPr>
                <w:sz w:val="20"/>
                <w:szCs w:val="20"/>
              </w:rPr>
            </w:pPr>
            <w:r w:rsidRPr="000D417E">
              <w:rPr>
                <w:sz w:val="20"/>
                <w:szCs w:val="20"/>
              </w:rPr>
              <w:t>1.01</w:t>
            </w:r>
          </w:p>
        </w:tc>
        <w:tc>
          <w:tcPr>
            <w:tcW w:w="0" w:type="auto"/>
            <w:hideMark/>
          </w:tcPr>
          <w:p w14:paraId="55138BB7" w14:textId="77777777" w:rsidR="003251C7" w:rsidRPr="000D417E" w:rsidRDefault="003251C7" w:rsidP="003251C7">
            <w:pPr>
              <w:pStyle w:val="Compact"/>
              <w:jc w:val="center"/>
              <w:rPr>
                <w:sz w:val="20"/>
                <w:szCs w:val="20"/>
              </w:rPr>
            </w:pPr>
            <w:r w:rsidRPr="000D417E">
              <w:rPr>
                <w:sz w:val="20"/>
                <w:szCs w:val="20"/>
              </w:rPr>
              <w:t>0.54-4.39</w:t>
            </w:r>
          </w:p>
        </w:tc>
        <w:tc>
          <w:tcPr>
            <w:tcW w:w="0" w:type="auto"/>
            <w:hideMark/>
          </w:tcPr>
          <w:p w14:paraId="69E3E05E" w14:textId="77777777" w:rsidR="003251C7" w:rsidRPr="000D417E" w:rsidRDefault="003251C7" w:rsidP="003251C7">
            <w:pPr>
              <w:pStyle w:val="Compact"/>
              <w:jc w:val="center"/>
              <w:rPr>
                <w:sz w:val="20"/>
                <w:szCs w:val="20"/>
              </w:rPr>
            </w:pPr>
            <w:r w:rsidRPr="000D417E">
              <w:rPr>
                <w:sz w:val="20"/>
                <w:szCs w:val="20"/>
              </w:rPr>
              <w:t>0-2.98</w:t>
            </w:r>
          </w:p>
        </w:tc>
        <w:tc>
          <w:tcPr>
            <w:tcW w:w="0" w:type="auto"/>
            <w:vAlign w:val="center"/>
          </w:tcPr>
          <w:p w14:paraId="06F62716" w14:textId="4DF4A8F1" w:rsidR="003251C7" w:rsidRPr="000D417E" w:rsidRDefault="003251C7" w:rsidP="003251C7">
            <w:pPr>
              <w:pStyle w:val="Compact"/>
              <w:jc w:val="center"/>
              <w:rPr>
                <w:sz w:val="20"/>
                <w:szCs w:val="20"/>
              </w:rPr>
            </w:pPr>
            <w:r>
              <w:rPr>
                <w:color w:val="000000"/>
                <w:sz w:val="20"/>
                <w:szCs w:val="20"/>
              </w:rPr>
              <w:t>0.1584</w:t>
            </w:r>
          </w:p>
        </w:tc>
      </w:tr>
      <w:tr w:rsidR="003251C7" w14:paraId="6D8A2EC5" w14:textId="2C4633C3" w:rsidTr="006A7645">
        <w:trPr>
          <w:jc w:val="center"/>
        </w:trPr>
        <w:tc>
          <w:tcPr>
            <w:tcW w:w="0" w:type="auto"/>
            <w:hideMark/>
          </w:tcPr>
          <w:p w14:paraId="75D156C8" w14:textId="77777777" w:rsidR="003251C7" w:rsidRPr="000D417E" w:rsidRDefault="003251C7" w:rsidP="003251C7">
            <w:pPr>
              <w:pStyle w:val="Compact"/>
              <w:jc w:val="center"/>
              <w:rPr>
                <w:sz w:val="20"/>
                <w:szCs w:val="20"/>
              </w:rPr>
            </w:pPr>
            <w:r w:rsidRPr="000D417E">
              <w:rPr>
                <w:sz w:val="20"/>
                <w:szCs w:val="20"/>
              </w:rPr>
              <w:t>25</w:t>
            </w:r>
          </w:p>
        </w:tc>
        <w:tc>
          <w:tcPr>
            <w:tcW w:w="0" w:type="auto"/>
            <w:hideMark/>
          </w:tcPr>
          <w:p w14:paraId="7AFB3F66" w14:textId="77777777" w:rsidR="003251C7" w:rsidRPr="000D417E" w:rsidRDefault="003251C7" w:rsidP="003251C7">
            <w:pPr>
              <w:pStyle w:val="Compact"/>
              <w:jc w:val="center"/>
              <w:rPr>
                <w:sz w:val="20"/>
                <w:szCs w:val="20"/>
              </w:rPr>
            </w:pPr>
            <w:r w:rsidRPr="000D417E">
              <w:rPr>
                <w:sz w:val="20"/>
                <w:szCs w:val="20"/>
              </w:rPr>
              <w:t>0</w:t>
            </w:r>
          </w:p>
        </w:tc>
        <w:tc>
          <w:tcPr>
            <w:tcW w:w="0" w:type="auto"/>
            <w:hideMark/>
          </w:tcPr>
          <w:p w14:paraId="13BC18EE" w14:textId="77777777" w:rsidR="003251C7" w:rsidRPr="000D417E" w:rsidRDefault="003251C7" w:rsidP="003251C7">
            <w:pPr>
              <w:pStyle w:val="Compact"/>
              <w:jc w:val="center"/>
              <w:rPr>
                <w:sz w:val="20"/>
                <w:szCs w:val="20"/>
              </w:rPr>
            </w:pPr>
            <w:r w:rsidRPr="000D417E">
              <w:rPr>
                <w:sz w:val="20"/>
                <w:szCs w:val="20"/>
              </w:rPr>
              <w:t>0.17-4.48</w:t>
            </w:r>
          </w:p>
        </w:tc>
        <w:tc>
          <w:tcPr>
            <w:tcW w:w="0" w:type="auto"/>
            <w:hideMark/>
          </w:tcPr>
          <w:p w14:paraId="32151317" w14:textId="77777777" w:rsidR="003251C7" w:rsidRPr="000D417E" w:rsidRDefault="003251C7" w:rsidP="003251C7">
            <w:pPr>
              <w:pStyle w:val="Compact"/>
              <w:jc w:val="center"/>
              <w:rPr>
                <w:sz w:val="20"/>
                <w:szCs w:val="20"/>
              </w:rPr>
            </w:pPr>
            <w:r w:rsidRPr="000D417E">
              <w:rPr>
                <w:sz w:val="20"/>
                <w:szCs w:val="20"/>
              </w:rPr>
              <w:t>0-0</w:t>
            </w:r>
          </w:p>
        </w:tc>
        <w:tc>
          <w:tcPr>
            <w:tcW w:w="0" w:type="auto"/>
            <w:vAlign w:val="center"/>
          </w:tcPr>
          <w:p w14:paraId="1C3C7F3B" w14:textId="3E021100" w:rsidR="003251C7" w:rsidRPr="000D417E" w:rsidRDefault="003251C7" w:rsidP="003251C7">
            <w:pPr>
              <w:pStyle w:val="Compact"/>
              <w:jc w:val="center"/>
              <w:rPr>
                <w:sz w:val="20"/>
                <w:szCs w:val="20"/>
              </w:rPr>
            </w:pPr>
            <w:r>
              <w:rPr>
                <w:color w:val="000000"/>
                <w:sz w:val="20"/>
                <w:szCs w:val="20"/>
              </w:rPr>
              <w:t>0.1089</w:t>
            </w:r>
          </w:p>
        </w:tc>
      </w:tr>
      <w:tr w:rsidR="003251C7" w14:paraId="159CF705" w14:textId="57E9C789" w:rsidTr="006A7645">
        <w:trPr>
          <w:jc w:val="center"/>
        </w:trPr>
        <w:tc>
          <w:tcPr>
            <w:tcW w:w="0" w:type="auto"/>
            <w:hideMark/>
          </w:tcPr>
          <w:p w14:paraId="69313E77" w14:textId="77777777" w:rsidR="003251C7" w:rsidRPr="000D417E" w:rsidRDefault="003251C7" w:rsidP="003251C7">
            <w:pPr>
              <w:pStyle w:val="Compact"/>
              <w:jc w:val="center"/>
              <w:rPr>
                <w:sz w:val="20"/>
                <w:szCs w:val="20"/>
              </w:rPr>
            </w:pPr>
            <w:r w:rsidRPr="000D417E">
              <w:rPr>
                <w:sz w:val="20"/>
                <w:szCs w:val="20"/>
              </w:rPr>
              <w:t>26</w:t>
            </w:r>
          </w:p>
        </w:tc>
        <w:tc>
          <w:tcPr>
            <w:tcW w:w="0" w:type="auto"/>
            <w:hideMark/>
          </w:tcPr>
          <w:p w14:paraId="213641A9" w14:textId="77777777" w:rsidR="003251C7" w:rsidRPr="000D417E" w:rsidRDefault="003251C7" w:rsidP="003251C7">
            <w:pPr>
              <w:pStyle w:val="Compact"/>
              <w:jc w:val="center"/>
              <w:rPr>
                <w:sz w:val="20"/>
                <w:szCs w:val="20"/>
              </w:rPr>
            </w:pPr>
            <w:r w:rsidRPr="000D417E">
              <w:rPr>
                <w:sz w:val="20"/>
                <w:szCs w:val="20"/>
              </w:rPr>
              <w:t>1.75</w:t>
            </w:r>
          </w:p>
        </w:tc>
        <w:tc>
          <w:tcPr>
            <w:tcW w:w="0" w:type="auto"/>
            <w:hideMark/>
          </w:tcPr>
          <w:p w14:paraId="3981AF7C" w14:textId="77777777" w:rsidR="003251C7" w:rsidRPr="000D417E" w:rsidRDefault="003251C7" w:rsidP="003251C7">
            <w:pPr>
              <w:pStyle w:val="Compact"/>
              <w:jc w:val="center"/>
              <w:rPr>
                <w:sz w:val="20"/>
                <w:szCs w:val="20"/>
              </w:rPr>
            </w:pPr>
            <w:r w:rsidRPr="000D417E">
              <w:rPr>
                <w:sz w:val="20"/>
                <w:szCs w:val="20"/>
              </w:rPr>
              <w:t>0.05-5.22</w:t>
            </w:r>
          </w:p>
        </w:tc>
        <w:tc>
          <w:tcPr>
            <w:tcW w:w="0" w:type="auto"/>
            <w:hideMark/>
          </w:tcPr>
          <w:p w14:paraId="3F35FFA3" w14:textId="77777777" w:rsidR="003251C7" w:rsidRPr="000D417E" w:rsidRDefault="003251C7" w:rsidP="003251C7">
            <w:pPr>
              <w:pStyle w:val="Compact"/>
              <w:jc w:val="center"/>
              <w:rPr>
                <w:sz w:val="20"/>
                <w:szCs w:val="20"/>
              </w:rPr>
            </w:pPr>
            <w:r w:rsidRPr="000D417E">
              <w:rPr>
                <w:sz w:val="20"/>
                <w:szCs w:val="20"/>
              </w:rPr>
              <w:t>0-4.16</w:t>
            </w:r>
          </w:p>
        </w:tc>
        <w:tc>
          <w:tcPr>
            <w:tcW w:w="0" w:type="auto"/>
            <w:vAlign w:val="center"/>
          </w:tcPr>
          <w:p w14:paraId="3E98A916" w14:textId="7052F29B" w:rsidR="003251C7" w:rsidRPr="000D417E" w:rsidRDefault="003251C7" w:rsidP="003251C7">
            <w:pPr>
              <w:pStyle w:val="Compact"/>
              <w:jc w:val="center"/>
              <w:rPr>
                <w:sz w:val="20"/>
                <w:szCs w:val="20"/>
              </w:rPr>
            </w:pPr>
            <w:r>
              <w:rPr>
                <w:color w:val="000000"/>
                <w:sz w:val="20"/>
                <w:szCs w:val="20"/>
              </w:rPr>
              <w:t>0.1749</w:t>
            </w:r>
          </w:p>
        </w:tc>
      </w:tr>
      <w:tr w:rsidR="003251C7" w14:paraId="2C2222C8" w14:textId="019B946D" w:rsidTr="006A7645">
        <w:trPr>
          <w:jc w:val="center"/>
        </w:trPr>
        <w:tc>
          <w:tcPr>
            <w:tcW w:w="0" w:type="auto"/>
            <w:hideMark/>
          </w:tcPr>
          <w:p w14:paraId="41BD3662" w14:textId="77777777" w:rsidR="003251C7" w:rsidRPr="000D417E" w:rsidRDefault="003251C7" w:rsidP="003251C7">
            <w:pPr>
              <w:pStyle w:val="Compact"/>
              <w:jc w:val="center"/>
              <w:rPr>
                <w:sz w:val="20"/>
                <w:szCs w:val="20"/>
              </w:rPr>
            </w:pPr>
            <w:r w:rsidRPr="000D417E">
              <w:rPr>
                <w:sz w:val="20"/>
                <w:szCs w:val="20"/>
              </w:rPr>
              <w:t>27</w:t>
            </w:r>
          </w:p>
        </w:tc>
        <w:tc>
          <w:tcPr>
            <w:tcW w:w="0" w:type="auto"/>
            <w:hideMark/>
          </w:tcPr>
          <w:p w14:paraId="12DC36F4" w14:textId="77777777" w:rsidR="003251C7" w:rsidRPr="000D417E" w:rsidRDefault="003251C7" w:rsidP="003251C7">
            <w:pPr>
              <w:pStyle w:val="Compact"/>
              <w:jc w:val="center"/>
              <w:rPr>
                <w:sz w:val="20"/>
                <w:szCs w:val="20"/>
              </w:rPr>
            </w:pPr>
            <w:r w:rsidRPr="000D417E">
              <w:rPr>
                <w:sz w:val="20"/>
                <w:szCs w:val="20"/>
              </w:rPr>
              <w:t>0</w:t>
            </w:r>
          </w:p>
        </w:tc>
        <w:tc>
          <w:tcPr>
            <w:tcW w:w="0" w:type="auto"/>
            <w:hideMark/>
          </w:tcPr>
          <w:p w14:paraId="2534F0F4" w14:textId="77777777" w:rsidR="003251C7" w:rsidRPr="000D417E" w:rsidRDefault="003251C7" w:rsidP="003251C7">
            <w:pPr>
              <w:pStyle w:val="Compact"/>
              <w:jc w:val="center"/>
              <w:rPr>
                <w:sz w:val="20"/>
                <w:szCs w:val="20"/>
              </w:rPr>
            </w:pPr>
            <w:r w:rsidRPr="000D417E">
              <w:rPr>
                <w:sz w:val="20"/>
                <w:szCs w:val="20"/>
              </w:rPr>
              <w:t>0.58-4.99</w:t>
            </w:r>
          </w:p>
        </w:tc>
        <w:tc>
          <w:tcPr>
            <w:tcW w:w="0" w:type="auto"/>
            <w:hideMark/>
          </w:tcPr>
          <w:p w14:paraId="7B0C90F6" w14:textId="77777777" w:rsidR="003251C7" w:rsidRPr="000D417E" w:rsidRDefault="003251C7" w:rsidP="003251C7">
            <w:pPr>
              <w:pStyle w:val="Compact"/>
              <w:jc w:val="center"/>
              <w:rPr>
                <w:sz w:val="20"/>
                <w:szCs w:val="20"/>
              </w:rPr>
            </w:pPr>
            <w:r w:rsidRPr="000D417E">
              <w:rPr>
                <w:sz w:val="20"/>
                <w:szCs w:val="20"/>
              </w:rPr>
              <w:t>0-0</w:t>
            </w:r>
          </w:p>
        </w:tc>
        <w:tc>
          <w:tcPr>
            <w:tcW w:w="0" w:type="auto"/>
            <w:vAlign w:val="center"/>
          </w:tcPr>
          <w:p w14:paraId="4899CE7F" w14:textId="39321AB2" w:rsidR="003251C7" w:rsidRPr="000D417E" w:rsidRDefault="003251C7" w:rsidP="003251C7">
            <w:pPr>
              <w:pStyle w:val="Compact"/>
              <w:jc w:val="center"/>
              <w:rPr>
                <w:sz w:val="20"/>
                <w:szCs w:val="20"/>
              </w:rPr>
            </w:pPr>
            <w:r>
              <w:rPr>
                <w:color w:val="000000"/>
                <w:sz w:val="20"/>
                <w:szCs w:val="20"/>
              </w:rPr>
              <w:t>0.0767</w:t>
            </w:r>
          </w:p>
        </w:tc>
      </w:tr>
      <w:tr w:rsidR="003251C7" w14:paraId="2ACE9203" w14:textId="4F93C11E" w:rsidTr="006A7645">
        <w:trPr>
          <w:jc w:val="center"/>
        </w:trPr>
        <w:tc>
          <w:tcPr>
            <w:tcW w:w="0" w:type="auto"/>
            <w:hideMark/>
          </w:tcPr>
          <w:p w14:paraId="349D1E69" w14:textId="77777777" w:rsidR="003251C7" w:rsidRPr="000D417E" w:rsidRDefault="003251C7" w:rsidP="003251C7">
            <w:pPr>
              <w:pStyle w:val="Compact"/>
              <w:jc w:val="center"/>
              <w:rPr>
                <w:sz w:val="20"/>
                <w:szCs w:val="20"/>
              </w:rPr>
            </w:pPr>
            <w:r w:rsidRPr="000D417E">
              <w:rPr>
                <w:sz w:val="20"/>
                <w:szCs w:val="20"/>
              </w:rPr>
              <w:t>28</w:t>
            </w:r>
          </w:p>
        </w:tc>
        <w:tc>
          <w:tcPr>
            <w:tcW w:w="0" w:type="auto"/>
            <w:hideMark/>
          </w:tcPr>
          <w:p w14:paraId="0AA46E20" w14:textId="77777777" w:rsidR="003251C7" w:rsidRPr="000D417E" w:rsidRDefault="003251C7" w:rsidP="003251C7">
            <w:pPr>
              <w:pStyle w:val="Compact"/>
              <w:jc w:val="center"/>
              <w:rPr>
                <w:sz w:val="20"/>
                <w:szCs w:val="20"/>
              </w:rPr>
            </w:pPr>
            <w:r w:rsidRPr="000D417E">
              <w:rPr>
                <w:sz w:val="20"/>
                <w:szCs w:val="20"/>
              </w:rPr>
              <w:t>3.77</w:t>
            </w:r>
          </w:p>
        </w:tc>
        <w:tc>
          <w:tcPr>
            <w:tcW w:w="0" w:type="auto"/>
            <w:hideMark/>
          </w:tcPr>
          <w:p w14:paraId="61217C24" w14:textId="77777777" w:rsidR="003251C7" w:rsidRPr="000D417E" w:rsidRDefault="003251C7" w:rsidP="003251C7">
            <w:pPr>
              <w:pStyle w:val="Compact"/>
              <w:jc w:val="center"/>
              <w:rPr>
                <w:sz w:val="20"/>
                <w:szCs w:val="20"/>
              </w:rPr>
            </w:pPr>
            <w:r w:rsidRPr="000D417E">
              <w:rPr>
                <w:sz w:val="20"/>
                <w:szCs w:val="20"/>
              </w:rPr>
              <w:t>0.36-4.83</w:t>
            </w:r>
          </w:p>
        </w:tc>
        <w:tc>
          <w:tcPr>
            <w:tcW w:w="0" w:type="auto"/>
            <w:hideMark/>
          </w:tcPr>
          <w:p w14:paraId="5CA46BF6" w14:textId="77777777" w:rsidR="003251C7" w:rsidRPr="000D417E" w:rsidRDefault="003251C7" w:rsidP="003251C7">
            <w:pPr>
              <w:pStyle w:val="Compact"/>
              <w:jc w:val="center"/>
              <w:rPr>
                <w:sz w:val="20"/>
                <w:szCs w:val="20"/>
              </w:rPr>
            </w:pPr>
            <w:r w:rsidRPr="000D417E">
              <w:rPr>
                <w:sz w:val="20"/>
                <w:szCs w:val="20"/>
              </w:rPr>
              <w:t>0.15-7.4</w:t>
            </w:r>
          </w:p>
        </w:tc>
        <w:tc>
          <w:tcPr>
            <w:tcW w:w="0" w:type="auto"/>
            <w:vAlign w:val="center"/>
          </w:tcPr>
          <w:p w14:paraId="72647F2D" w14:textId="5236F834" w:rsidR="003251C7" w:rsidRPr="000D417E" w:rsidRDefault="003251C7" w:rsidP="003251C7">
            <w:pPr>
              <w:pStyle w:val="Compact"/>
              <w:jc w:val="center"/>
              <w:rPr>
                <w:sz w:val="20"/>
                <w:szCs w:val="20"/>
              </w:rPr>
            </w:pPr>
            <w:r>
              <w:rPr>
                <w:color w:val="000000"/>
                <w:sz w:val="20"/>
                <w:szCs w:val="20"/>
              </w:rPr>
              <w:t>0.1523</w:t>
            </w:r>
          </w:p>
        </w:tc>
      </w:tr>
      <w:tr w:rsidR="003251C7" w14:paraId="6B934D4F" w14:textId="146FD50A" w:rsidTr="006A7645">
        <w:trPr>
          <w:jc w:val="center"/>
        </w:trPr>
        <w:tc>
          <w:tcPr>
            <w:tcW w:w="0" w:type="auto"/>
            <w:hideMark/>
          </w:tcPr>
          <w:p w14:paraId="51C4482B" w14:textId="77777777" w:rsidR="003251C7" w:rsidRPr="000D417E" w:rsidRDefault="003251C7" w:rsidP="003251C7">
            <w:pPr>
              <w:pStyle w:val="Compact"/>
              <w:jc w:val="center"/>
              <w:rPr>
                <w:sz w:val="20"/>
                <w:szCs w:val="20"/>
              </w:rPr>
            </w:pPr>
            <w:r w:rsidRPr="000D417E">
              <w:rPr>
                <w:sz w:val="20"/>
                <w:szCs w:val="20"/>
              </w:rPr>
              <w:t>29</w:t>
            </w:r>
          </w:p>
        </w:tc>
        <w:tc>
          <w:tcPr>
            <w:tcW w:w="0" w:type="auto"/>
            <w:hideMark/>
          </w:tcPr>
          <w:p w14:paraId="7211739B" w14:textId="77777777" w:rsidR="003251C7" w:rsidRPr="000D417E" w:rsidRDefault="003251C7" w:rsidP="003251C7">
            <w:pPr>
              <w:pStyle w:val="Compact"/>
              <w:jc w:val="center"/>
              <w:rPr>
                <w:sz w:val="20"/>
                <w:szCs w:val="20"/>
              </w:rPr>
            </w:pPr>
            <w:r w:rsidRPr="000D417E">
              <w:rPr>
                <w:sz w:val="20"/>
                <w:szCs w:val="20"/>
              </w:rPr>
              <w:t>3.66</w:t>
            </w:r>
          </w:p>
        </w:tc>
        <w:tc>
          <w:tcPr>
            <w:tcW w:w="0" w:type="auto"/>
            <w:hideMark/>
          </w:tcPr>
          <w:p w14:paraId="228D0748" w14:textId="77777777" w:rsidR="003251C7" w:rsidRPr="000D417E" w:rsidRDefault="003251C7" w:rsidP="003251C7">
            <w:pPr>
              <w:pStyle w:val="Compact"/>
              <w:jc w:val="center"/>
              <w:rPr>
                <w:sz w:val="20"/>
                <w:szCs w:val="20"/>
              </w:rPr>
            </w:pPr>
            <w:r w:rsidRPr="000D417E">
              <w:rPr>
                <w:sz w:val="20"/>
                <w:szCs w:val="20"/>
              </w:rPr>
              <w:t>0.58-3.88</w:t>
            </w:r>
          </w:p>
        </w:tc>
        <w:tc>
          <w:tcPr>
            <w:tcW w:w="0" w:type="auto"/>
            <w:hideMark/>
          </w:tcPr>
          <w:p w14:paraId="175D264E" w14:textId="77777777" w:rsidR="003251C7" w:rsidRPr="000D417E" w:rsidRDefault="003251C7" w:rsidP="003251C7">
            <w:pPr>
              <w:pStyle w:val="Compact"/>
              <w:jc w:val="center"/>
              <w:rPr>
                <w:sz w:val="20"/>
                <w:szCs w:val="20"/>
              </w:rPr>
            </w:pPr>
            <w:r w:rsidRPr="000D417E">
              <w:rPr>
                <w:sz w:val="20"/>
                <w:szCs w:val="20"/>
              </w:rPr>
              <w:t>0-7.72</w:t>
            </w:r>
          </w:p>
        </w:tc>
        <w:tc>
          <w:tcPr>
            <w:tcW w:w="0" w:type="auto"/>
            <w:vAlign w:val="center"/>
          </w:tcPr>
          <w:p w14:paraId="214CA57E" w14:textId="21DCBF0E" w:rsidR="003251C7" w:rsidRPr="000D417E" w:rsidRDefault="003251C7" w:rsidP="003251C7">
            <w:pPr>
              <w:pStyle w:val="Compact"/>
              <w:jc w:val="center"/>
              <w:rPr>
                <w:sz w:val="20"/>
                <w:szCs w:val="20"/>
              </w:rPr>
            </w:pPr>
            <w:r>
              <w:rPr>
                <w:color w:val="000000"/>
                <w:sz w:val="20"/>
                <w:szCs w:val="20"/>
              </w:rPr>
              <w:t>0.1966</w:t>
            </w:r>
          </w:p>
        </w:tc>
      </w:tr>
      <w:tr w:rsidR="003251C7" w14:paraId="067C0D83" w14:textId="1475A9D8" w:rsidTr="006A7645">
        <w:trPr>
          <w:jc w:val="center"/>
        </w:trPr>
        <w:tc>
          <w:tcPr>
            <w:tcW w:w="0" w:type="auto"/>
            <w:hideMark/>
          </w:tcPr>
          <w:p w14:paraId="0D09BAC6" w14:textId="77777777" w:rsidR="003251C7" w:rsidRPr="000D417E" w:rsidRDefault="003251C7" w:rsidP="003251C7">
            <w:pPr>
              <w:pStyle w:val="Compact"/>
              <w:jc w:val="center"/>
              <w:rPr>
                <w:sz w:val="20"/>
                <w:szCs w:val="20"/>
              </w:rPr>
            </w:pPr>
            <w:r w:rsidRPr="000D417E">
              <w:rPr>
                <w:sz w:val="20"/>
                <w:szCs w:val="20"/>
              </w:rPr>
              <w:t>30</w:t>
            </w:r>
          </w:p>
        </w:tc>
        <w:tc>
          <w:tcPr>
            <w:tcW w:w="0" w:type="auto"/>
            <w:hideMark/>
          </w:tcPr>
          <w:p w14:paraId="494F0722" w14:textId="77777777" w:rsidR="003251C7" w:rsidRPr="000D417E" w:rsidRDefault="003251C7" w:rsidP="003251C7">
            <w:pPr>
              <w:pStyle w:val="Compact"/>
              <w:jc w:val="center"/>
              <w:rPr>
                <w:sz w:val="20"/>
                <w:szCs w:val="20"/>
              </w:rPr>
            </w:pPr>
            <w:r w:rsidRPr="000D417E">
              <w:rPr>
                <w:sz w:val="20"/>
                <w:szCs w:val="20"/>
              </w:rPr>
              <w:t>1.16</w:t>
            </w:r>
          </w:p>
        </w:tc>
        <w:tc>
          <w:tcPr>
            <w:tcW w:w="0" w:type="auto"/>
            <w:hideMark/>
          </w:tcPr>
          <w:p w14:paraId="77D18EF2" w14:textId="30916202" w:rsidR="003251C7" w:rsidRPr="000D417E" w:rsidRDefault="003251C7" w:rsidP="003251C7">
            <w:pPr>
              <w:pStyle w:val="Compact"/>
              <w:jc w:val="center"/>
              <w:rPr>
                <w:sz w:val="20"/>
                <w:szCs w:val="20"/>
              </w:rPr>
            </w:pPr>
            <w:r w:rsidRPr="000D417E">
              <w:rPr>
                <w:sz w:val="20"/>
                <w:szCs w:val="20"/>
              </w:rPr>
              <w:t>NA</w:t>
            </w:r>
          </w:p>
        </w:tc>
        <w:tc>
          <w:tcPr>
            <w:tcW w:w="0" w:type="auto"/>
            <w:hideMark/>
          </w:tcPr>
          <w:p w14:paraId="3D65D3D3" w14:textId="77777777" w:rsidR="003251C7" w:rsidRPr="000D417E" w:rsidRDefault="003251C7" w:rsidP="003251C7">
            <w:pPr>
              <w:pStyle w:val="Compact"/>
              <w:jc w:val="center"/>
              <w:rPr>
                <w:sz w:val="20"/>
                <w:szCs w:val="20"/>
              </w:rPr>
            </w:pPr>
            <w:r w:rsidRPr="000D417E">
              <w:rPr>
                <w:sz w:val="20"/>
                <w:szCs w:val="20"/>
              </w:rPr>
              <w:t>0-3.43</w:t>
            </w:r>
          </w:p>
        </w:tc>
        <w:tc>
          <w:tcPr>
            <w:tcW w:w="0" w:type="auto"/>
            <w:vAlign w:val="center"/>
          </w:tcPr>
          <w:p w14:paraId="0101797F" w14:textId="2C9A3F99" w:rsidR="003251C7" w:rsidRPr="000D417E" w:rsidRDefault="003251C7" w:rsidP="003251C7">
            <w:pPr>
              <w:pStyle w:val="Compact"/>
              <w:jc w:val="center"/>
              <w:rPr>
                <w:sz w:val="20"/>
                <w:szCs w:val="20"/>
              </w:rPr>
            </w:pPr>
            <w:r>
              <w:rPr>
                <w:i/>
                <w:iCs/>
                <w:color w:val="000000"/>
                <w:sz w:val="20"/>
                <w:szCs w:val="20"/>
              </w:rPr>
              <w:t>NA</w:t>
            </w:r>
          </w:p>
        </w:tc>
      </w:tr>
      <w:tr w:rsidR="003251C7" w14:paraId="0B2AEB1C" w14:textId="309EAF31" w:rsidTr="006A7645">
        <w:trPr>
          <w:jc w:val="center"/>
        </w:trPr>
        <w:tc>
          <w:tcPr>
            <w:tcW w:w="0" w:type="auto"/>
            <w:hideMark/>
          </w:tcPr>
          <w:p w14:paraId="601F157B" w14:textId="77777777" w:rsidR="003251C7" w:rsidRPr="000D417E" w:rsidRDefault="003251C7" w:rsidP="003251C7">
            <w:pPr>
              <w:pStyle w:val="Compact"/>
              <w:jc w:val="center"/>
              <w:rPr>
                <w:sz w:val="20"/>
                <w:szCs w:val="20"/>
              </w:rPr>
            </w:pPr>
            <w:r w:rsidRPr="000D417E">
              <w:rPr>
                <w:sz w:val="20"/>
                <w:szCs w:val="20"/>
              </w:rPr>
              <w:t>31</w:t>
            </w:r>
          </w:p>
        </w:tc>
        <w:tc>
          <w:tcPr>
            <w:tcW w:w="0" w:type="auto"/>
            <w:hideMark/>
          </w:tcPr>
          <w:p w14:paraId="2388070C" w14:textId="77777777" w:rsidR="003251C7" w:rsidRPr="000D417E" w:rsidRDefault="003251C7" w:rsidP="003251C7">
            <w:pPr>
              <w:pStyle w:val="Compact"/>
              <w:jc w:val="center"/>
              <w:rPr>
                <w:sz w:val="20"/>
                <w:szCs w:val="20"/>
              </w:rPr>
            </w:pPr>
            <w:r w:rsidRPr="000D417E">
              <w:rPr>
                <w:sz w:val="20"/>
                <w:szCs w:val="20"/>
              </w:rPr>
              <w:t>0</w:t>
            </w:r>
          </w:p>
        </w:tc>
        <w:tc>
          <w:tcPr>
            <w:tcW w:w="0" w:type="auto"/>
            <w:hideMark/>
          </w:tcPr>
          <w:p w14:paraId="34831866" w14:textId="77777777" w:rsidR="003251C7" w:rsidRPr="000D417E" w:rsidRDefault="003251C7" w:rsidP="003251C7">
            <w:pPr>
              <w:pStyle w:val="Compact"/>
              <w:jc w:val="center"/>
              <w:rPr>
                <w:sz w:val="20"/>
                <w:szCs w:val="20"/>
              </w:rPr>
            </w:pPr>
            <w:r w:rsidRPr="000D417E">
              <w:rPr>
                <w:sz w:val="20"/>
                <w:szCs w:val="20"/>
              </w:rPr>
              <w:t>0.87-4.27</w:t>
            </w:r>
          </w:p>
        </w:tc>
        <w:tc>
          <w:tcPr>
            <w:tcW w:w="0" w:type="auto"/>
            <w:hideMark/>
          </w:tcPr>
          <w:p w14:paraId="244BCE02" w14:textId="77777777" w:rsidR="003251C7" w:rsidRPr="000D417E" w:rsidRDefault="003251C7" w:rsidP="003251C7">
            <w:pPr>
              <w:pStyle w:val="Compact"/>
              <w:jc w:val="center"/>
              <w:rPr>
                <w:sz w:val="20"/>
                <w:szCs w:val="20"/>
              </w:rPr>
            </w:pPr>
            <w:r w:rsidRPr="000D417E">
              <w:rPr>
                <w:sz w:val="20"/>
                <w:szCs w:val="20"/>
              </w:rPr>
              <w:t>0-0</w:t>
            </w:r>
          </w:p>
        </w:tc>
        <w:tc>
          <w:tcPr>
            <w:tcW w:w="0" w:type="auto"/>
            <w:vAlign w:val="center"/>
          </w:tcPr>
          <w:p w14:paraId="52B3AB2A" w14:textId="34869D4F" w:rsidR="003251C7" w:rsidRPr="000D417E" w:rsidRDefault="003251C7" w:rsidP="003251C7">
            <w:pPr>
              <w:pStyle w:val="Compact"/>
              <w:jc w:val="center"/>
              <w:rPr>
                <w:sz w:val="20"/>
                <w:szCs w:val="20"/>
              </w:rPr>
            </w:pPr>
            <w:r>
              <w:rPr>
                <w:color w:val="000000"/>
                <w:sz w:val="20"/>
                <w:szCs w:val="20"/>
              </w:rPr>
              <w:t>0.0759</w:t>
            </w:r>
          </w:p>
        </w:tc>
      </w:tr>
      <w:tr w:rsidR="003251C7" w14:paraId="5C1D5E0A" w14:textId="51BA50B9" w:rsidTr="006A7645">
        <w:trPr>
          <w:jc w:val="center"/>
        </w:trPr>
        <w:tc>
          <w:tcPr>
            <w:tcW w:w="0" w:type="auto"/>
            <w:hideMark/>
          </w:tcPr>
          <w:p w14:paraId="088A567C" w14:textId="77777777" w:rsidR="003251C7" w:rsidRPr="000D417E" w:rsidRDefault="003251C7" w:rsidP="003251C7">
            <w:pPr>
              <w:pStyle w:val="Compact"/>
              <w:jc w:val="center"/>
              <w:rPr>
                <w:sz w:val="20"/>
                <w:szCs w:val="20"/>
              </w:rPr>
            </w:pPr>
            <w:r w:rsidRPr="000D417E">
              <w:rPr>
                <w:sz w:val="20"/>
                <w:szCs w:val="20"/>
              </w:rPr>
              <w:t>32</w:t>
            </w:r>
          </w:p>
        </w:tc>
        <w:tc>
          <w:tcPr>
            <w:tcW w:w="0" w:type="auto"/>
            <w:hideMark/>
          </w:tcPr>
          <w:p w14:paraId="3E248733" w14:textId="77777777" w:rsidR="003251C7" w:rsidRPr="000D417E" w:rsidRDefault="003251C7" w:rsidP="003251C7">
            <w:pPr>
              <w:pStyle w:val="Compact"/>
              <w:jc w:val="center"/>
              <w:rPr>
                <w:sz w:val="20"/>
                <w:szCs w:val="20"/>
              </w:rPr>
            </w:pPr>
            <w:r w:rsidRPr="000D417E">
              <w:rPr>
                <w:sz w:val="20"/>
                <w:szCs w:val="20"/>
              </w:rPr>
              <w:t>0</w:t>
            </w:r>
          </w:p>
        </w:tc>
        <w:tc>
          <w:tcPr>
            <w:tcW w:w="0" w:type="auto"/>
            <w:hideMark/>
          </w:tcPr>
          <w:p w14:paraId="1A637331" w14:textId="77777777" w:rsidR="003251C7" w:rsidRPr="000D417E" w:rsidRDefault="003251C7" w:rsidP="003251C7">
            <w:pPr>
              <w:pStyle w:val="Compact"/>
              <w:jc w:val="center"/>
              <w:rPr>
                <w:sz w:val="20"/>
                <w:szCs w:val="20"/>
              </w:rPr>
            </w:pPr>
            <w:r w:rsidRPr="000D417E">
              <w:rPr>
                <w:sz w:val="20"/>
                <w:szCs w:val="20"/>
              </w:rPr>
              <w:t>0.41-4.37</w:t>
            </w:r>
          </w:p>
        </w:tc>
        <w:tc>
          <w:tcPr>
            <w:tcW w:w="0" w:type="auto"/>
            <w:hideMark/>
          </w:tcPr>
          <w:p w14:paraId="7446D319" w14:textId="77777777" w:rsidR="003251C7" w:rsidRPr="000D417E" w:rsidRDefault="003251C7" w:rsidP="003251C7">
            <w:pPr>
              <w:pStyle w:val="Compact"/>
              <w:jc w:val="center"/>
              <w:rPr>
                <w:sz w:val="20"/>
                <w:szCs w:val="20"/>
              </w:rPr>
            </w:pPr>
            <w:r w:rsidRPr="000D417E">
              <w:rPr>
                <w:sz w:val="20"/>
                <w:szCs w:val="20"/>
              </w:rPr>
              <w:t>0-0</w:t>
            </w:r>
          </w:p>
        </w:tc>
        <w:tc>
          <w:tcPr>
            <w:tcW w:w="0" w:type="auto"/>
            <w:vAlign w:val="center"/>
          </w:tcPr>
          <w:p w14:paraId="73B79EEC" w14:textId="2B4DB98A" w:rsidR="003251C7" w:rsidRPr="000D417E" w:rsidRDefault="003251C7" w:rsidP="003251C7">
            <w:pPr>
              <w:pStyle w:val="Compact"/>
              <w:jc w:val="center"/>
              <w:rPr>
                <w:sz w:val="20"/>
                <w:szCs w:val="20"/>
              </w:rPr>
            </w:pPr>
            <w:r>
              <w:rPr>
                <w:color w:val="000000"/>
                <w:sz w:val="20"/>
                <w:szCs w:val="20"/>
              </w:rPr>
              <w:t>0.0846</w:t>
            </w:r>
          </w:p>
        </w:tc>
      </w:tr>
      <w:tr w:rsidR="003251C7" w14:paraId="34FF5A40" w14:textId="6658BC24" w:rsidTr="006A7645">
        <w:trPr>
          <w:jc w:val="center"/>
        </w:trPr>
        <w:tc>
          <w:tcPr>
            <w:tcW w:w="0" w:type="auto"/>
            <w:hideMark/>
          </w:tcPr>
          <w:p w14:paraId="6DAD9E7D" w14:textId="77777777" w:rsidR="003251C7" w:rsidRPr="000D417E" w:rsidRDefault="003251C7" w:rsidP="003251C7">
            <w:pPr>
              <w:pStyle w:val="Compact"/>
              <w:jc w:val="center"/>
              <w:rPr>
                <w:sz w:val="20"/>
                <w:szCs w:val="20"/>
              </w:rPr>
            </w:pPr>
            <w:r w:rsidRPr="000D417E">
              <w:rPr>
                <w:sz w:val="20"/>
                <w:szCs w:val="20"/>
              </w:rPr>
              <w:t>33</w:t>
            </w:r>
          </w:p>
        </w:tc>
        <w:tc>
          <w:tcPr>
            <w:tcW w:w="0" w:type="auto"/>
            <w:hideMark/>
          </w:tcPr>
          <w:p w14:paraId="38A62117" w14:textId="77777777" w:rsidR="003251C7" w:rsidRPr="000D417E" w:rsidRDefault="003251C7" w:rsidP="003251C7">
            <w:pPr>
              <w:pStyle w:val="Compact"/>
              <w:jc w:val="center"/>
              <w:rPr>
                <w:sz w:val="20"/>
                <w:szCs w:val="20"/>
              </w:rPr>
            </w:pPr>
            <w:r w:rsidRPr="000D417E">
              <w:rPr>
                <w:sz w:val="20"/>
                <w:szCs w:val="20"/>
              </w:rPr>
              <w:t>1</w:t>
            </w:r>
          </w:p>
        </w:tc>
        <w:tc>
          <w:tcPr>
            <w:tcW w:w="0" w:type="auto"/>
            <w:hideMark/>
          </w:tcPr>
          <w:p w14:paraId="5850369C" w14:textId="77777777" w:rsidR="003251C7" w:rsidRPr="000D417E" w:rsidRDefault="003251C7" w:rsidP="003251C7">
            <w:pPr>
              <w:pStyle w:val="Compact"/>
              <w:jc w:val="center"/>
              <w:rPr>
                <w:sz w:val="20"/>
                <w:szCs w:val="20"/>
              </w:rPr>
            </w:pPr>
            <w:r w:rsidRPr="000D417E">
              <w:rPr>
                <w:sz w:val="20"/>
                <w:szCs w:val="20"/>
              </w:rPr>
              <w:t>0-5.2</w:t>
            </w:r>
          </w:p>
        </w:tc>
        <w:tc>
          <w:tcPr>
            <w:tcW w:w="0" w:type="auto"/>
            <w:hideMark/>
          </w:tcPr>
          <w:p w14:paraId="184BF4E9" w14:textId="77777777" w:rsidR="003251C7" w:rsidRPr="000D417E" w:rsidRDefault="003251C7" w:rsidP="003251C7">
            <w:pPr>
              <w:pStyle w:val="Compact"/>
              <w:jc w:val="center"/>
              <w:rPr>
                <w:sz w:val="20"/>
                <w:szCs w:val="20"/>
              </w:rPr>
            </w:pPr>
            <w:r w:rsidRPr="000D417E">
              <w:rPr>
                <w:sz w:val="20"/>
                <w:szCs w:val="20"/>
              </w:rPr>
              <w:t>0-2.95</w:t>
            </w:r>
          </w:p>
        </w:tc>
        <w:tc>
          <w:tcPr>
            <w:tcW w:w="0" w:type="auto"/>
            <w:vAlign w:val="center"/>
          </w:tcPr>
          <w:p w14:paraId="7536AD62" w14:textId="5FD3B4CE" w:rsidR="003251C7" w:rsidRPr="000D417E" w:rsidRDefault="003251C7" w:rsidP="003251C7">
            <w:pPr>
              <w:pStyle w:val="Compact"/>
              <w:jc w:val="center"/>
              <w:rPr>
                <w:sz w:val="20"/>
                <w:szCs w:val="20"/>
              </w:rPr>
            </w:pPr>
            <w:r>
              <w:rPr>
                <w:color w:val="000000"/>
                <w:sz w:val="20"/>
                <w:szCs w:val="20"/>
              </w:rPr>
              <w:t>0.2113</w:t>
            </w:r>
          </w:p>
        </w:tc>
      </w:tr>
      <w:tr w:rsidR="003251C7" w14:paraId="42ED1794" w14:textId="4DA66F8D" w:rsidTr="003251C7">
        <w:trPr>
          <w:jc w:val="center"/>
        </w:trPr>
        <w:tc>
          <w:tcPr>
            <w:tcW w:w="0" w:type="auto"/>
            <w:shd w:val="clear" w:color="auto" w:fill="FFF2CC" w:themeFill="accent4" w:themeFillTint="33"/>
            <w:hideMark/>
          </w:tcPr>
          <w:p w14:paraId="4336074A" w14:textId="77777777" w:rsidR="003251C7" w:rsidRPr="000D417E" w:rsidRDefault="003251C7" w:rsidP="003251C7">
            <w:pPr>
              <w:pStyle w:val="Compact"/>
              <w:jc w:val="center"/>
              <w:rPr>
                <w:sz w:val="20"/>
                <w:szCs w:val="20"/>
              </w:rPr>
            </w:pPr>
            <w:r w:rsidRPr="000D417E">
              <w:rPr>
                <w:sz w:val="20"/>
                <w:szCs w:val="20"/>
              </w:rPr>
              <w:t>34</w:t>
            </w:r>
          </w:p>
        </w:tc>
        <w:tc>
          <w:tcPr>
            <w:tcW w:w="0" w:type="auto"/>
            <w:shd w:val="clear" w:color="auto" w:fill="FFF2CC" w:themeFill="accent4" w:themeFillTint="33"/>
            <w:hideMark/>
          </w:tcPr>
          <w:p w14:paraId="0AC28B03" w14:textId="77777777" w:rsidR="003251C7" w:rsidRPr="000D417E" w:rsidRDefault="003251C7" w:rsidP="003251C7">
            <w:pPr>
              <w:pStyle w:val="Compact"/>
              <w:jc w:val="center"/>
              <w:rPr>
                <w:sz w:val="20"/>
                <w:szCs w:val="20"/>
              </w:rPr>
            </w:pPr>
            <w:r w:rsidRPr="000D417E">
              <w:rPr>
                <w:sz w:val="20"/>
                <w:szCs w:val="20"/>
              </w:rPr>
              <w:t>11.88</w:t>
            </w:r>
          </w:p>
        </w:tc>
        <w:tc>
          <w:tcPr>
            <w:tcW w:w="0" w:type="auto"/>
            <w:shd w:val="clear" w:color="auto" w:fill="FFF2CC" w:themeFill="accent4" w:themeFillTint="33"/>
            <w:hideMark/>
          </w:tcPr>
          <w:p w14:paraId="645B9F7F" w14:textId="77777777" w:rsidR="003251C7" w:rsidRPr="000D417E" w:rsidRDefault="003251C7" w:rsidP="003251C7">
            <w:pPr>
              <w:pStyle w:val="Compact"/>
              <w:jc w:val="center"/>
              <w:rPr>
                <w:sz w:val="20"/>
                <w:szCs w:val="20"/>
              </w:rPr>
            </w:pPr>
            <w:r w:rsidRPr="000D417E">
              <w:rPr>
                <w:sz w:val="20"/>
                <w:szCs w:val="20"/>
              </w:rPr>
              <w:t>0.13-4.83</w:t>
            </w:r>
          </w:p>
        </w:tc>
        <w:tc>
          <w:tcPr>
            <w:tcW w:w="0" w:type="auto"/>
            <w:shd w:val="clear" w:color="auto" w:fill="FFF2CC" w:themeFill="accent4" w:themeFillTint="33"/>
            <w:hideMark/>
          </w:tcPr>
          <w:p w14:paraId="2A02A7D3" w14:textId="77777777" w:rsidR="003251C7" w:rsidRPr="000D417E" w:rsidRDefault="003251C7" w:rsidP="003251C7">
            <w:pPr>
              <w:pStyle w:val="Compact"/>
              <w:jc w:val="center"/>
              <w:rPr>
                <w:sz w:val="20"/>
                <w:szCs w:val="20"/>
              </w:rPr>
            </w:pPr>
            <w:r w:rsidRPr="000D417E">
              <w:rPr>
                <w:sz w:val="20"/>
                <w:szCs w:val="20"/>
              </w:rPr>
              <w:t>5.57-18.19</w:t>
            </w:r>
          </w:p>
        </w:tc>
        <w:tc>
          <w:tcPr>
            <w:tcW w:w="0" w:type="auto"/>
            <w:shd w:val="clear" w:color="auto" w:fill="FFF2CC" w:themeFill="accent4" w:themeFillTint="33"/>
            <w:vAlign w:val="center"/>
          </w:tcPr>
          <w:p w14:paraId="0512643F" w14:textId="115407BC" w:rsidR="003251C7" w:rsidRPr="000D417E" w:rsidRDefault="003251C7" w:rsidP="003251C7">
            <w:pPr>
              <w:pStyle w:val="Compact"/>
              <w:jc w:val="center"/>
              <w:rPr>
                <w:sz w:val="20"/>
                <w:szCs w:val="20"/>
              </w:rPr>
            </w:pPr>
            <w:r>
              <w:rPr>
                <w:color w:val="000000"/>
                <w:sz w:val="20"/>
                <w:szCs w:val="20"/>
              </w:rPr>
              <w:t>&lt; 0.0001</w:t>
            </w:r>
          </w:p>
        </w:tc>
      </w:tr>
      <w:tr w:rsidR="003251C7" w14:paraId="1F16CA88" w14:textId="2D9C6735" w:rsidTr="00CE64C4">
        <w:trPr>
          <w:jc w:val="center"/>
        </w:trPr>
        <w:tc>
          <w:tcPr>
            <w:tcW w:w="0" w:type="auto"/>
            <w:hideMark/>
          </w:tcPr>
          <w:p w14:paraId="1CAE5F03" w14:textId="77777777" w:rsidR="003251C7" w:rsidRPr="000D417E" w:rsidRDefault="003251C7" w:rsidP="003251C7">
            <w:pPr>
              <w:pStyle w:val="Compact"/>
              <w:jc w:val="center"/>
              <w:rPr>
                <w:sz w:val="20"/>
                <w:szCs w:val="20"/>
              </w:rPr>
            </w:pPr>
            <w:r w:rsidRPr="000D417E">
              <w:rPr>
                <w:sz w:val="20"/>
                <w:szCs w:val="20"/>
              </w:rPr>
              <w:t>35</w:t>
            </w:r>
          </w:p>
        </w:tc>
        <w:tc>
          <w:tcPr>
            <w:tcW w:w="0" w:type="auto"/>
            <w:hideMark/>
          </w:tcPr>
          <w:p w14:paraId="687FAC30" w14:textId="77777777" w:rsidR="003251C7" w:rsidRPr="000D417E" w:rsidRDefault="003251C7" w:rsidP="003251C7">
            <w:pPr>
              <w:pStyle w:val="Compact"/>
              <w:jc w:val="center"/>
              <w:rPr>
                <w:sz w:val="20"/>
                <w:szCs w:val="20"/>
              </w:rPr>
            </w:pPr>
            <w:r w:rsidRPr="000D417E">
              <w:rPr>
                <w:sz w:val="20"/>
                <w:szCs w:val="20"/>
              </w:rPr>
              <w:t>2.25</w:t>
            </w:r>
          </w:p>
        </w:tc>
        <w:tc>
          <w:tcPr>
            <w:tcW w:w="0" w:type="auto"/>
            <w:hideMark/>
          </w:tcPr>
          <w:p w14:paraId="04FD8CD3" w14:textId="77777777" w:rsidR="003251C7" w:rsidRPr="000D417E" w:rsidRDefault="003251C7" w:rsidP="003251C7">
            <w:pPr>
              <w:pStyle w:val="Compact"/>
              <w:jc w:val="center"/>
              <w:rPr>
                <w:sz w:val="20"/>
                <w:szCs w:val="20"/>
              </w:rPr>
            </w:pPr>
            <w:r w:rsidRPr="000D417E">
              <w:rPr>
                <w:sz w:val="20"/>
                <w:szCs w:val="20"/>
              </w:rPr>
              <w:t>0.26-5.55</w:t>
            </w:r>
          </w:p>
        </w:tc>
        <w:tc>
          <w:tcPr>
            <w:tcW w:w="0" w:type="auto"/>
            <w:hideMark/>
          </w:tcPr>
          <w:p w14:paraId="0E1036E6" w14:textId="77777777" w:rsidR="003251C7" w:rsidRPr="000D417E" w:rsidRDefault="003251C7" w:rsidP="003251C7">
            <w:pPr>
              <w:pStyle w:val="Compact"/>
              <w:jc w:val="center"/>
              <w:rPr>
                <w:sz w:val="20"/>
                <w:szCs w:val="20"/>
              </w:rPr>
            </w:pPr>
            <w:r w:rsidRPr="000D417E">
              <w:rPr>
                <w:sz w:val="20"/>
                <w:szCs w:val="20"/>
              </w:rPr>
              <w:t>0-5.33</w:t>
            </w:r>
          </w:p>
        </w:tc>
        <w:tc>
          <w:tcPr>
            <w:tcW w:w="0" w:type="auto"/>
            <w:vAlign w:val="center"/>
          </w:tcPr>
          <w:p w14:paraId="64301712" w14:textId="5FB95EC8" w:rsidR="003251C7" w:rsidRPr="000D417E" w:rsidRDefault="003251C7" w:rsidP="003251C7">
            <w:pPr>
              <w:pStyle w:val="Compact"/>
              <w:jc w:val="center"/>
              <w:rPr>
                <w:sz w:val="20"/>
                <w:szCs w:val="20"/>
              </w:rPr>
            </w:pPr>
            <w:r>
              <w:rPr>
                <w:color w:val="000000"/>
                <w:sz w:val="20"/>
                <w:szCs w:val="20"/>
              </w:rPr>
              <w:t>0.2069</w:t>
            </w:r>
          </w:p>
        </w:tc>
      </w:tr>
      <w:tr w:rsidR="003251C7" w14:paraId="34832B8A" w14:textId="23F1FDEF" w:rsidTr="00CE64C4">
        <w:trPr>
          <w:jc w:val="center"/>
        </w:trPr>
        <w:tc>
          <w:tcPr>
            <w:tcW w:w="0" w:type="auto"/>
            <w:hideMark/>
          </w:tcPr>
          <w:p w14:paraId="486486FE" w14:textId="77777777" w:rsidR="003251C7" w:rsidRPr="000D417E" w:rsidRDefault="003251C7" w:rsidP="003251C7">
            <w:pPr>
              <w:pStyle w:val="Compact"/>
              <w:jc w:val="center"/>
              <w:rPr>
                <w:sz w:val="20"/>
                <w:szCs w:val="20"/>
              </w:rPr>
            </w:pPr>
            <w:r w:rsidRPr="000D417E">
              <w:rPr>
                <w:sz w:val="20"/>
                <w:szCs w:val="20"/>
              </w:rPr>
              <w:t>36</w:t>
            </w:r>
          </w:p>
        </w:tc>
        <w:tc>
          <w:tcPr>
            <w:tcW w:w="0" w:type="auto"/>
            <w:hideMark/>
          </w:tcPr>
          <w:p w14:paraId="539B91F8" w14:textId="77777777" w:rsidR="003251C7" w:rsidRPr="000D417E" w:rsidRDefault="003251C7" w:rsidP="003251C7">
            <w:pPr>
              <w:pStyle w:val="Compact"/>
              <w:jc w:val="center"/>
              <w:rPr>
                <w:sz w:val="20"/>
                <w:szCs w:val="20"/>
              </w:rPr>
            </w:pPr>
            <w:r w:rsidRPr="000D417E">
              <w:rPr>
                <w:sz w:val="20"/>
                <w:szCs w:val="20"/>
              </w:rPr>
              <w:t>0</w:t>
            </w:r>
          </w:p>
        </w:tc>
        <w:tc>
          <w:tcPr>
            <w:tcW w:w="0" w:type="auto"/>
            <w:hideMark/>
          </w:tcPr>
          <w:p w14:paraId="123BACD1" w14:textId="77777777" w:rsidR="003251C7" w:rsidRPr="000D417E" w:rsidRDefault="003251C7" w:rsidP="003251C7">
            <w:pPr>
              <w:pStyle w:val="Compact"/>
              <w:jc w:val="center"/>
              <w:rPr>
                <w:sz w:val="20"/>
                <w:szCs w:val="20"/>
              </w:rPr>
            </w:pPr>
            <w:r w:rsidRPr="000D417E">
              <w:rPr>
                <w:sz w:val="20"/>
                <w:szCs w:val="20"/>
              </w:rPr>
              <w:t>0-4.57</w:t>
            </w:r>
          </w:p>
        </w:tc>
        <w:tc>
          <w:tcPr>
            <w:tcW w:w="0" w:type="auto"/>
            <w:hideMark/>
          </w:tcPr>
          <w:p w14:paraId="1661799D" w14:textId="77777777" w:rsidR="003251C7" w:rsidRPr="000D417E" w:rsidRDefault="003251C7" w:rsidP="003251C7">
            <w:pPr>
              <w:pStyle w:val="Compact"/>
              <w:jc w:val="center"/>
              <w:rPr>
                <w:sz w:val="20"/>
                <w:szCs w:val="20"/>
              </w:rPr>
            </w:pPr>
            <w:r w:rsidRPr="000D417E">
              <w:rPr>
                <w:sz w:val="20"/>
                <w:szCs w:val="20"/>
              </w:rPr>
              <w:t>0-0</w:t>
            </w:r>
          </w:p>
        </w:tc>
        <w:tc>
          <w:tcPr>
            <w:tcW w:w="0" w:type="auto"/>
            <w:vAlign w:val="center"/>
          </w:tcPr>
          <w:p w14:paraId="15A77EFC" w14:textId="6576144B" w:rsidR="003251C7" w:rsidRPr="000D417E" w:rsidRDefault="003251C7" w:rsidP="003251C7">
            <w:pPr>
              <w:pStyle w:val="Compact"/>
              <w:jc w:val="center"/>
              <w:rPr>
                <w:sz w:val="20"/>
                <w:szCs w:val="20"/>
              </w:rPr>
            </w:pPr>
            <w:r>
              <w:rPr>
                <w:color w:val="000000"/>
                <w:sz w:val="20"/>
                <w:szCs w:val="20"/>
              </w:rPr>
              <w:t>0.1382</w:t>
            </w:r>
          </w:p>
        </w:tc>
      </w:tr>
      <w:tr w:rsidR="003251C7" w14:paraId="62914B64" w14:textId="55BF561F" w:rsidTr="00CE64C4">
        <w:trPr>
          <w:jc w:val="center"/>
        </w:trPr>
        <w:tc>
          <w:tcPr>
            <w:tcW w:w="0" w:type="auto"/>
            <w:hideMark/>
          </w:tcPr>
          <w:p w14:paraId="272A2D1E" w14:textId="77777777" w:rsidR="003251C7" w:rsidRPr="000D417E" w:rsidRDefault="003251C7" w:rsidP="003251C7">
            <w:pPr>
              <w:pStyle w:val="Compact"/>
              <w:jc w:val="center"/>
              <w:rPr>
                <w:sz w:val="20"/>
                <w:szCs w:val="20"/>
              </w:rPr>
            </w:pPr>
            <w:r w:rsidRPr="000D417E">
              <w:rPr>
                <w:sz w:val="20"/>
                <w:szCs w:val="20"/>
              </w:rPr>
              <w:t>37</w:t>
            </w:r>
          </w:p>
        </w:tc>
        <w:tc>
          <w:tcPr>
            <w:tcW w:w="0" w:type="auto"/>
            <w:hideMark/>
          </w:tcPr>
          <w:p w14:paraId="1811A587" w14:textId="77777777" w:rsidR="003251C7" w:rsidRPr="000D417E" w:rsidRDefault="003251C7" w:rsidP="003251C7">
            <w:pPr>
              <w:pStyle w:val="Compact"/>
              <w:jc w:val="center"/>
              <w:rPr>
                <w:sz w:val="20"/>
                <w:szCs w:val="20"/>
              </w:rPr>
            </w:pPr>
            <w:r w:rsidRPr="000D417E">
              <w:rPr>
                <w:sz w:val="20"/>
                <w:szCs w:val="20"/>
              </w:rPr>
              <w:t>1.92</w:t>
            </w:r>
          </w:p>
        </w:tc>
        <w:tc>
          <w:tcPr>
            <w:tcW w:w="0" w:type="auto"/>
            <w:hideMark/>
          </w:tcPr>
          <w:p w14:paraId="7807E669" w14:textId="77777777" w:rsidR="003251C7" w:rsidRPr="000D417E" w:rsidRDefault="003251C7" w:rsidP="003251C7">
            <w:pPr>
              <w:pStyle w:val="Compact"/>
              <w:jc w:val="center"/>
              <w:rPr>
                <w:sz w:val="20"/>
                <w:szCs w:val="20"/>
              </w:rPr>
            </w:pPr>
            <w:r w:rsidRPr="000D417E">
              <w:rPr>
                <w:sz w:val="20"/>
                <w:szCs w:val="20"/>
              </w:rPr>
              <w:t>0-5.16</w:t>
            </w:r>
          </w:p>
        </w:tc>
        <w:tc>
          <w:tcPr>
            <w:tcW w:w="0" w:type="auto"/>
            <w:hideMark/>
          </w:tcPr>
          <w:p w14:paraId="621F3717" w14:textId="77777777" w:rsidR="003251C7" w:rsidRPr="000D417E" w:rsidRDefault="003251C7" w:rsidP="003251C7">
            <w:pPr>
              <w:pStyle w:val="Compact"/>
              <w:jc w:val="center"/>
              <w:rPr>
                <w:sz w:val="20"/>
                <w:szCs w:val="20"/>
              </w:rPr>
            </w:pPr>
            <w:r w:rsidRPr="000D417E">
              <w:rPr>
                <w:sz w:val="20"/>
                <w:szCs w:val="20"/>
              </w:rPr>
              <w:t>0-4.56</w:t>
            </w:r>
          </w:p>
        </w:tc>
        <w:tc>
          <w:tcPr>
            <w:tcW w:w="0" w:type="auto"/>
            <w:vAlign w:val="center"/>
          </w:tcPr>
          <w:p w14:paraId="2857D587" w14:textId="7DF561D3" w:rsidR="003251C7" w:rsidRPr="000D417E" w:rsidRDefault="003251C7" w:rsidP="003251C7">
            <w:pPr>
              <w:pStyle w:val="Compact"/>
              <w:jc w:val="center"/>
              <w:rPr>
                <w:sz w:val="20"/>
                <w:szCs w:val="20"/>
              </w:rPr>
            </w:pPr>
            <w:r>
              <w:rPr>
                <w:color w:val="000000"/>
                <w:sz w:val="20"/>
                <w:szCs w:val="20"/>
              </w:rPr>
              <w:t>0.272</w:t>
            </w:r>
          </w:p>
        </w:tc>
      </w:tr>
      <w:tr w:rsidR="003251C7" w14:paraId="28C4A2F3" w14:textId="4CA775F5" w:rsidTr="00CE64C4">
        <w:trPr>
          <w:jc w:val="center"/>
        </w:trPr>
        <w:tc>
          <w:tcPr>
            <w:tcW w:w="0" w:type="auto"/>
            <w:hideMark/>
          </w:tcPr>
          <w:p w14:paraId="7B061397" w14:textId="77777777" w:rsidR="003251C7" w:rsidRPr="000D417E" w:rsidRDefault="003251C7" w:rsidP="003251C7">
            <w:pPr>
              <w:pStyle w:val="Compact"/>
              <w:jc w:val="center"/>
              <w:rPr>
                <w:sz w:val="20"/>
                <w:szCs w:val="20"/>
              </w:rPr>
            </w:pPr>
            <w:r w:rsidRPr="000D417E">
              <w:rPr>
                <w:sz w:val="20"/>
                <w:szCs w:val="20"/>
              </w:rPr>
              <w:t>38</w:t>
            </w:r>
          </w:p>
        </w:tc>
        <w:tc>
          <w:tcPr>
            <w:tcW w:w="0" w:type="auto"/>
            <w:hideMark/>
          </w:tcPr>
          <w:p w14:paraId="332A8703" w14:textId="77777777" w:rsidR="003251C7" w:rsidRPr="000D417E" w:rsidRDefault="003251C7" w:rsidP="003251C7">
            <w:pPr>
              <w:pStyle w:val="Compact"/>
              <w:jc w:val="center"/>
              <w:rPr>
                <w:sz w:val="20"/>
                <w:szCs w:val="20"/>
              </w:rPr>
            </w:pPr>
            <w:r w:rsidRPr="000D417E">
              <w:rPr>
                <w:sz w:val="20"/>
                <w:szCs w:val="20"/>
              </w:rPr>
              <w:t>1.06</w:t>
            </w:r>
          </w:p>
        </w:tc>
        <w:tc>
          <w:tcPr>
            <w:tcW w:w="0" w:type="auto"/>
            <w:hideMark/>
          </w:tcPr>
          <w:p w14:paraId="018A3B03" w14:textId="77777777" w:rsidR="003251C7" w:rsidRPr="000D417E" w:rsidRDefault="003251C7" w:rsidP="003251C7">
            <w:pPr>
              <w:pStyle w:val="Compact"/>
              <w:jc w:val="center"/>
              <w:rPr>
                <w:sz w:val="20"/>
                <w:szCs w:val="20"/>
              </w:rPr>
            </w:pPr>
            <w:r w:rsidRPr="000D417E">
              <w:rPr>
                <w:sz w:val="20"/>
                <w:szCs w:val="20"/>
              </w:rPr>
              <w:t>0.3-4.71</w:t>
            </w:r>
          </w:p>
        </w:tc>
        <w:tc>
          <w:tcPr>
            <w:tcW w:w="0" w:type="auto"/>
            <w:hideMark/>
          </w:tcPr>
          <w:p w14:paraId="2F06890E" w14:textId="77777777" w:rsidR="003251C7" w:rsidRPr="000D417E" w:rsidRDefault="003251C7" w:rsidP="003251C7">
            <w:pPr>
              <w:pStyle w:val="Compact"/>
              <w:jc w:val="center"/>
              <w:rPr>
                <w:sz w:val="20"/>
                <w:szCs w:val="20"/>
              </w:rPr>
            </w:pPr>
            <w:r w:rsidRPr="000D417E">
              <w:rPr>
                <w:sz w:val="20"/>
                <w:szCs w:val="20"/>
              </w:rPr>
              <w:t>0-3.14</w:t>
            </w:r>
          </w:p>
        </w:tc>
        <w:tc>
          <w:tcPr>
            <w:tcW w:w="0" w:type="auto"/>
            <w:vAlign w:val="center"/>
          </w:tcPr>
          <w:p w14:paraId="4F6510A5" w14:textId="49B6E106" w:rsidR="003251C7" w:rsidRPr="000D417E" w:rsidRDefault="003251C7" w:rsidP="003251C7">
            <w:pPr>
              <w:pStyle w:val="Compact"/>
              <w:jc w:val="center"/>
              <w:rPr>
                <w:sz w:val="20"/>
                <w:szCs w:val="20"/>
              </w:rPr>
            </w:pPr>
            <w:r>
              <w:rPr>
                <w:color w:val="000000"/>
                <w:sz w:val="20"/>
                <w:szCs w:val="20"/>
              </w:rPr>
              <w:t>0.2528</w:t>
            </w:r>
          </w:p>
        </w:tc>
      </w:tr>
      <w:tr w:rsidR="003251C7" w14:paraId="0C38CCD2" w14:textId="733C5F35" w:rsidTr="00CE64C4">
        <w:trPr>
          <w:jc w:val="center"/>
        </w:trPr>
        <w:tc>
          <w:tcPr>
            <w:tcW w:w="0" w:type="auto"/>
            <w:hideMark/>
          </w:tcPr>
          <w:p w14:paraId="1AAC007C" w14:textId="77777777" w:rsidR="003251C7" w:rsidRPr="000D417E" w:rsidRDefault="003251C7" w:rsidP="003251C7">
            <w:pPr>
              <w:pStyle w:val="Compact"/>
              <w:jc w:val="center"/>
              <w:rPr>
                <w:sz w:val="20"/>
                <w:szCs w:val="20"/>
              </w:rPr>
            </w:pPr>
            <w:r w:rsidRPr="000D417E">
              <w:rPr>
                <w:sz w:val="20"/>
                <w:szCs w:val="20"/>
              </w:rPr>
              <w:t>39</w:t>
            </w:r>
          </w:p>
        </w:tc>
        <w:tc>
          <w:tcPr>
            <w:tcW w:w="0" w:type="auto"/>
            <w:hideMark/>
          </w:tcPr>
          <w:p w14:paraId="539B59B8" w14:textId="77777777" w:rsidR="003251C7" w:rsidRPr="000D417E" w:rsidRDefault="003251C7" w:rsidP="003251C7">
            <w:pPr>
              <w:pStyle w:val="Compact"/>
              <w:jc w:val="center"/>
              <w:rPr>
                <w:sz w:val="20"/>
                <w:szCs w:val="20"/>
              </w:rPr>
            </w:pPr>
            <w:r w:rsidRPr="000D417E">
              <w:rPr>
                <w:sz w:val="20"/>
                <w:szCs w:val="20"/>
              </w:rPr>
              <w:t>4.04</w:t>
            </w:r>
          </w:p>
        </w:tc>
        <w:tc>
          <w:tcPr>
            <w:tcW w:w="0" w:type="auto"/>
            <w:hideMark/>
          </w:tcPr>
          <w:p w14:paraId="09CDC0AD" w14:textId="77777777" w:rsidR="003251C7" w:rsidRPr="000D417E" w:rsidRDefault="003251C7" w:rsidP="003251C7">
            <w:pPr>
              <w:pStyle w:val="Compact"/>
              <w:jc w:val="center"/>
              <w:rPr>
                <w:sz w:val="20"/>
                <w:szCs w:val="20"/>
              </w:rPr>
            </w:pPr>
            <w:r w:rsidRPr="000D417E">
              <w:rPr>
                <w:sz w:val="20"/>
                <w:szCs w:val="20"/>
              </w:rPr>
              <w:t>0.34-5.53</w:t>
            </w:r>
          </w:p>
        </w:tc>
        <w:tc>
          <w:tcPr>
            <w:tcW w:w="0" w:type="auto"/>
            <w:hideMark/>
          </w:tcPr>
          <w:p w14:paraId="356559F5" w14:textId="77777777" w:rsidR="003251C7" w:rsidRPr="000D417E" w:rsidRDefault="003251C7" w:rsidP="003251C7">
            <w:pPr>
              <w:pStyle w:val="Compact"/>
              <w:jc w:val="center"/>
              <w:rPr>
                <w:sz w:val="20"/>
                <w:szCs w:val="20"/>
              </w:rPr>
            </w:pPr>
            <w:r w:rsidRPr="000D417E">
              <w:rPr>
                <w:sz w:val="20"/>
                <w:szCs w:val="20"/>
              </w:rPr>
              <w:t>0.16-7.92</w:t>
            </w:r>
          </w:p>
        </w:tc>
        <w:tc>
          <w:tcPr>
            <w:tcW w:w="0" w:type="auto"/>
            <w:vAlign w:val="center"/>
          </w:tcPr>
          <w:p w14:paraId="6E1D6937" w14:textId="07E38950" w:rsidR="003251C7" w:rsidRPr="000D417E" w:rsidRDefault="003251C7" w:rsidP="003251C7">
            <w:pPr>
              <w:pStyle w:val="Compact"/>
              <w:jc w:val="center"/>
              <w:rPr>
                <w:sz w:val="20"/>
                <w:szCs w:val="20"/>
              </w:rPr>
            </w:pPr>
            <w:r>
              <w:rPr>
                <w:color w:val="000000"/>
                <w:sz w:val="20"/>
                <w:szCs w:val="20"/>
              </w:rPr>
              <w:t>0.1607</w:t>
            </w:r>
          </w:p>
        </w:tc>
      </w:tr>
      <w:tr w:rsidR="003251C7" w14:paraId="007E7D1E" w14:textId="795A51A5" w:rsidTr="00CE64C4">
        <w:trPr>
          <w:jc w:val="center"/>
        </w:trPr>
        <w:tc>
          <w:tcPr>
            <w:tcW w:w="0" w:type="auto"/>
            <w:hideMark/>
          </w:tcPr>
          <w:p w14:paraId="7A164C55" w14:textId="77777777" w:rsidR="003251C7" w:rsidRPr="000D417E" w:rsidRDefault="003251C7" w:rsidP="003251C7">
            <w:pPr>
              <w:pStyle w:val="Compact"/>
              <w:jc w:val="center"/>
              <w:rPr>
                <w:sz w:val="20"/>
                <w:szCs w:val="20"/>
              </w:rPr>
            </w:pPr>
            <w:r w:rsidRPr="000D417E">
              <w:rPr>
                <w:sz w:val="20"/>
                <w:szCs w:val="20"/>
              </w:rPr>
              <w:t>40</w:t>
            </w:r>
          </w:p>
        </w:tc>
        <w:tc>
          <w:tcPr>
            <w:tcW w:w="0" w:type="auto"/>
            <w:hideMark/>
          </w:tcPr>
          <w:p w14:paraId="447B53FC" w14:textId="77777777" w:rsidR="003251C7" w:rsidRPr="000D417E" w:rsidRDefault="003251C7" w:rsidP="003251C7">
            <w:pPr>
              <w:pStyle w:val="Compact"/>
              <w:jc w:val="center"/>
              <w:rPr>
                <w:sz w:val="20"/>
                <w:szCs w:val="20"/>
              </w:rPr>
            </w:pPr>
            <w:r w:rsidRPr="000D417E">
              <w:rPr>
                <w:sz w:val="20"/>
                <w:szCs w:val="20"/>
              </w:rPr>
              <w:t>0.92</w:t>
            </w:r>
          </w:p>
        </w:tc>
        <w:tc>
          <w:tcPr>
            <w:tcW w:w="0" w:type="auto"/>
            <w:hideMark/>
          </w:tcPr>
          <w:p w14:paraId="4A51D52B" w14:textId="77777777" w:rsidR="003251C7" w:rsidRPr="000D417E" w:rsidRDefault="003251C7" w:rsidP="003251C7">
            <w:pPr>
              <w:pStyle w:val="Compact"/>
              <w:jc w:val="center"/>
              <w:rPr>
                <w:sz w:val="20"/>
                <w:szCs w:val="20"/>
              </w:rPr>
            </w:pPr>
            <w:r w:rsidRPr="000D417E">
              <w:rPr>
                <w:sz w:val="20"/>
                <w:szCs w:val="20"/>
              </w:rPr>
              <w:t>0-4.46</w:t>
            </w:r>
          </w:p>
        </w:tc>
        <w:tc>
          <w:tcPr>
            <w:tcW w:w="0" w:type="auto"/>
            <w:hideMark/>
          </w:tcPr>
          <w:p w14:paraId="406BBEAB" w14:textId="77777777" w:rsidR="003251C7" w:rsidRPr="000D417E" w:rsidRDefault="003251C7" w:rsidP="003251C7">
            <w:pPr>
              <w:pStyle w:val="Compact"/>
              <w:jc w:val="center"/>
              <w:rPr>
                <w:sz w:val="20"/>
                <w:szCs w:val="20"/>
              </w:rPr>
            </w:pPr>
            <w:r w:rsidRPr="000D417E">
              <w:rPr>
                <w:sz w:val="20"/>
                <w:szCs w:val="20"/>
              </w:rPr>
              <w:t>0-2.71</w:t>
            </w:r>
          </w:p>
        </w:tc>
        <w:tc>
          <w:tcPr>
            <w:tcW w:w="0" w:type="auto"/>
            <w:vAlign w:val="center"/>
          </w:tcPr>
          <w:p w14:paraId="18FB3216" w14:textId="3F176547" w:rsidR="003251C7" w:rsidRPr="000D417E" w:rsidRDefault="003251C7" w:rsidP="003251C7">
            <w:pPr>
              <w:pStyle w:val="Compact"/>
              <w:jc w:val="center"/>
              <w:rPr>
                <w:sz w:val="20"/>
                <w:szCs w:val="20"/>
              </w:rPr>
            </w:pPr>
            <w:r>
              <w:rPr>
                <w:color w:val="000000"/>
                <w:sz w:val="20"/>
                <w:szCs w:val="20"/>
              </w:rPr>
              <w:t>0.2125</w:t>
            </w:r>
          </w:p>
        </w:tc>
      </w:tr>
      <w:tr w:rsidR="003251C7" w14:paraId="07AFA386" w14:textId="77BD354E" w:rsidTr="00CE64C4">
        <w:trPr>
          <w:jc w:val="center"/>
        </w:trPr>
        <w:tc>
          <w:tcPr>
            <w:tcW w:w="0" w:type="auto"/>
            <w:hideMark/>
          </w:tcPr>
          <w:p w14:paraId="0F9296F5" w14:textId="77777777" w:rsidR="003251C7" w:rsidRPr="000D417E" w:rsidRDefault="003251C7" w:rsidP="003251C7">
            <w:pPr>
              <w:pStyle w:val="Compact"/>
              <w:jc w:val="center"/>
              <w:rPr>
                <w:sz w:val="20"/>
                <w:szCs w:val="20"/>
              </w:rPr>
            </w:pPr>
            <w:r w:rsidRPr="000D417E">
              <w:rPr>
                <w:sz w:val="20"/>
                <w:szCs w:val="20"/>
              </w:rPr>
              <w:t>41</w:t>
            </w:r>
          </w:p>
        </w:tc>
        <w:tc>
          <w:tcPr>
            <w:tcW w:w="0" w:type="auto"/>
            <w:hideMark/>
          </w:tcPr>
          <w:p w14:paraId="05B5EB2F" w14:textId="77777777" w:rsidR="003251C7" w:rsidRPr="000D417E" w:rsidRDefault="003251C7" w:rsidP="003251C7">
            <w:pPr>
              <w:pStyle w:val="Compact"/>
              <w:jc w:val="center"/>
              <w:rPr>
                <w:sz w:val="20"/>
                <w:szCs w:val="20"/>
              </w:rPr>
            </w:pPr>
            <w:r w:rsidRPr="000D417E">
              <w:rPr>
                <w:sz w:val="20"/>
                <w:szCs w:val="20"/>
              </w:rPr>
              <w:t>2.25</w:t>
            </w:r>
          </w:p>
        </w:tc>
        <w:tc>
          <w:tcPr>
            <w:tcW w:w="0" w:type="auto"/>
            <w:hideMark/>
          </w:tcPr>
          <w:p w14:paraId="2F0C0F34" w14:textId="77777777" w:rsidR="003251C7" w:rsidRPr="000D417E" w:rsidRDefault="003251C7" w:rsidP="003251C7">
            <w:pPr>
              <w:pStyle w:val="Compact"/>
              <w:jc w:val="center"/>
              <w:rPr>
                <w:sz w:val="20"/>
                <w:szCs w:val="20"/>
              </w:rPr>
            </w:pPr>
            <w:r w:rsidRPr="000D417E">
              <w:rPr>
                <w:sz w:val="20"/>
                <w:szCs w:val="20"/>
              </w:rPr>
              <w:t>0.79-4.7</w:t>
            </w:r>
          </w:p>
        </w:tc>
        <w:tc>
          <w:tcPr>
            <w:tcW w:w="0" w:type="auto"/>
            <w:hideMark/>
          </w:tcPr>
          <w:p w14:paraId="7CB004A8" w14:textId="77777777" w:rsidR="003251C7" w:rsidRPr="000D417E" w:rsidRDefault="003251C7" w:rsidP="003251C7">
            <w:pPr>
              <w:pStyle w:val="Compact"/>
              <w:jc w:val="center"/>
              <w:rPr>
                <w:sz w:val="20"/>
                <w:szCs w:val="20"/>
              </w:rPr>
            </w:pPr>
            <w:r w:rsidRPr="000D417E">
              <w:rPr>
                <w:sz w:val="20"/>
                <w:szCs w:val="20"/>
              </w:rPr>
              <w:t>0-5.33</w:t>
            </w:r>
          </w:p>
        </w:tc>
        <w:tc>
          <w:tcPr>
            <w:tcW w:w="0" w:type="auto"/>
            <w:vAlign w:val="center"/>
          </w:tcPr>
          <w:p w14:paraId="30B2DDD5" w14:textId="7F953CDD" w:rsidR="003251C7" w:rsidRPr="000D417E" w:rsidRDefault="003251C7" w:rsidP="003251C7">
            <w:pPr>
              <w:pStyle w:val="Compact"/>
              <w:jc w:val="center"/>
              <w:rPr>
                <w:sz w:val="20"/>
                <w:szCs w:val="20"/>
              </w:rPr>
            </w:pPr>
            <w:r>
              <w:rPr>
                <w:color w:val="000000"/>
                <w:sz w:val="20"/>
                <w:szCs w:val="20"/>
              </w:rPr>
              <w:t>0.2711</w:t>
            </w:r>
          </w:p>
        </w:tc>
      </w:tr>
      <w:tr w:rsidR="003251C7" w14:paraId="483081AA" w14:textId="58F50ED1" w:rsidTr="00CE64C4">
        <w:trPr>
          <w:jc w:val="center"/>
        </w:trPr>
        <w:tc>
          <w:tcPr>
            <w:tcW w:w="0" w:type="auto"/>
            <w:hideMark/>
          </w:tcPr>
          <w:p w14:paraId="7820F88F" w14:textId="77777777" w:rsidR="003251C7" w:rsidRPr="000D417E" w:rsidRDefault="003251C7" w:rsidP="003251C7">
            <w:pPr>
              <w:pStyle w:val="Compact"/>
              <w:jc w:val="center"/>
              <w:rPr>
                <w:sz w:val="20"/>
                <w:szCs w:val="20"/>
              </w:rPr>
            </w:pPr>
            <w:r w:rsidRPr="000D417E">
              <w:rPr>
                <w:sz w:val="20"/>
                <w:szCs w:val="20"/>
              </w:rPr>
              <w:t>42</w:t>
            </w:r>
          </w:p>
        </w:tc>
        <w:tc>
          <w:tcPr>
            <w:tcW w:w="0" w:type="auto"/>
            <w:hideMark/>
          </w:tcPr>
          <w:p w14:paraId="23EC7E96" w14:textId="77777777" w:rsidR="003251C7" w:rsidRPr="000D417E" w:rsidRDefault="003251C7" w:rsidP="003251C7">
            <w:pPr>
              <w:pStyle w:val="Compact"/>
              <w:jc w:val="center"/>
              <w:rPr>
                <w:sz w:val="20"/>
                <w:szCs w:val="20"/>
              </w:rPr>
            </w:pPr>
            <w:r w:rsidRPr="000D417E">
              <w:rPr>
                <w:sz w:val="20"/>
                <w:szCs w:val="20"/>
              </w:rPr>
              <w:t>1.82</w:t>
            </w:r>
          </w:p>
        </w:tc>
        <w:tc>
          <w:tcPr>
            <w:tcW w:w="0" w:type="auto"/>
            <w:hideMark/>
          </w:tcPr>
          <w:p w14:paraId="42C1050D" w14:textId="77777777" w:rsidR="003251C7" w:rsidRPr="000D417E" w:rsidRDefault="003251C7" w:rsidP="003251C7">
            <w:pPr>
              <w:pStyle w:val="Compact"/>
              <w:jc w:val="center"/>
              <w:rPr>
                <w:sz w:val="20"/>
                <w:szCs w:val="20"/>
              </w:rPr>
            </w:pPr>
            <w:r w:rsidRPr="000D417E">
              <w:rPr>
                <w:sz w:val="20"/>
                <w:szCs w:val="20"/>
              </w:rPr>
              <w:t>0-5.28</w:t>
            </w:r>
          </w:p>
        </w:tc>
        <w:tc>
          <w:tcPr>
            <w:tcW w:w="0" w:type="auto"/>
            <w:hideMark/>
          </w:tcPr>
          <w:p w14:paraId="01EBA549" w14:textId="77777777" w:rsidR="003251C7" w:rsidRPr="000D417E" w:rsidRDefault="003251C7" w:rsidP="003251C7">
            <w:pPr>
              <w:pStyle w:val="Compact"/>
              <w:jc w:val="center"/>
              <w:rPr>
                <w:sz w:val="20"/>
                <w:szCs w:val="20"/>
              </w:rPr>
            </w:pPr>
            <w:r w:rsidRPr="000D417E">
              <w:rPr>
                <w:sz w:val="20"/>
                <w:szCs w:val="20"/>
              </w:rPr>
              <w:t>0-4.32</w:t>
            </w:r>
          </w:p>
        </w:tc>
        <w:tc>
          <w:tcPr>
            <w:tcW w:w="0" w:type="auto"/>
            <w:vAlign w:val="center"/>
          </w:tcPr>
          <w:p w14:paraId="4C464AFB" w14:textId="1B4CF5F4" w:rsidR="003251C7" w:rsidRPr="000D417E" w:rsidRDefault="003251C7" w:rsidP="003251C7">
            <w:pPr>
              <w:pStyle w:val="Compact"/>
              <w:jc w:val="center"/>
              <w:rPr>
                <w:sz w:val="20"/>
                <w:szCs w:val="20"/>
              </w:rPr>
            </w:pPr>
            <w:r>
              <w:rPr>
                <w:color w:val="000000"/>
                <w:sz w:val="20"/>
                <w:szCs w:val="20"/>
              </w:rPr>
              <w:t>0.2314</w:t>
            </w:r>
          </w:p>
        </w:tc>
      </w:tr>
      <w:tr w:rsidR="003251C7" w14:paraId="6187E977" w14:textId="3FB75DF8" w:rsidTr="00CE64C4">
        <w:trPr>
          <w:jc w:val="center"/>
        </w:trPr>
        <w:tc>
          <w:tcPr>
            <w:tcW w:w="0" w:type="auto"/>
            <w:hideMark/>
          </w:tcPr>
          <w:p w14:paraId="07EB2DAE" w14:textId="77777777" w:rsidR="003251C7" w:rsidRPr="000D417E" w:rsidRDefault="003251C7" w:rsidP="003251C7">
            <w:pPr>
              <w:pStyle w:val="Compact"/>
              <w:jc w:val="center"/>
              <w:rPr>
                <w:sz w:val="20"/>
                <w:szCs w:val="20"/>
              </w:rPr>
            </w:pPr>
            <w:r w:rsidRPr="000D417E">
              <w:rPr>
                <w:sz w:val="20"/>
                <w:szCs w:val="20"/>
              </w:rPr>
              <w:t>43</w:t>
            </w:r>
          </w:p>
        </w:tc>
        <w:tc>
          <w:tcPr>
            <w:tcW w:w="0" w:type="auto"/>
            <w:hideMark/>
          </w:tcPr>
          <w:p w14:paraId="64442B4C" w14:textId="77777777" w:rsidR="003251C7" w:rsidRPr="000D417E" w:rsidRDefault="003251C7" w:rsidP="003251C7">
            <w:pPr>
              <w:pStyle w:val="Compact"/>
              <w:jc w:val="center"/>
              <w:rPr>
                <w:sz w:val="20"/>
                <w:szCs w:val="20"/>
              </w:rPr>
            </w:pPr>
            <w:r w:rsidRPr="000D417E">
              <w:rPr>
                <w:sz w:val="20"/>
                <w:szCs w:val="20"/>
              </w:rPr>
              <w:t>0</w:t>
            </w:r>
          </w:p>
        </w:tc>
        <w:tc>
          <w:tcPr>
            <w:tcW w:w="0" w:type="auto"/>
            <w:hideMark/>
          </w:tcPr>
          <w:p w14:paraId="263E0091" w14:textId="77777777" w:rsidR="003251C7" w:rsidRPr="000D417E" w:rsidRDefault="003251C7" w:rsidP="003251C7">
            <w:pPr>
              <w:pStyle w:val="Compact"/>
              <w:jc w:val="center"/>
              <w:rPr>
                <w:sz w:val="20"/>
                <w:szCs w:val="20"/>
              </w:rPr>
            </w:pPr>
            <w:r w:rsidRPr="000D417E">
              <w:rPr>
                <w:sz w:val="20"/>
                <w:szCs w:val="20"/>
              </w:rPr>
              <w:t>0.61-4.61</w:t>
            </w:r>
          </w:p>
        </w:tc>
        <w:tc>
          <w:tcPr>
            <w:tcW w:w="0" w:type="auto"/>
            <w:hideMark/>
          </w:tcPr>
          <w:p w14:paraId="33A87B1D" w14:textId="77777777" w:rsidR="003251C7" w:rsidRPr="000D417E" w:rsidRDefault="003251C7" w:rsidP="003251C7">
            <w:pPr>
              <w:pStyle w:val="Compact"/>
              <w:jc w:val="center"/>
              <w:rPr>
                <w:sz w:val="20"/>
                <w:szCs w:val="20"/>
              </w:rPr>
            </w:pPr>
            <w:r w:rsidRPr="000D417E">
              <w:rPr>
                <w:sz w:val="20"/>
                <w:szCs w:val="20"/>
              </w:rPr>
              <w:t>0-0</w:t>
            </w:r>
          </w:p>
        </w:tc>
        <w:tc>
          <w:tcPr>
            <w:tcW w:w="0" w:type="auto"/>
            <w:vAlign w:val="center"/>
          </w:tcPr>
          <w:p w14:paraId="789CC450" w14:textId="72845B4B" w:rsidR="003251C7" w:rsidRPr="000D417E" w:rsidRDefault="003251C7" w:rsidP="003251C7">
            <w:pPr>
              <w:pStyle w:val="Compact"/>
              <w:jc w:val="center"/>
              <w:rPr>
                <w:sz w:val="20"/>
                <w:szCs w:val="20"/>
              </w:rPr>
            </w:pPr>
            <w:r>
              <w:rPr>
                <w:color w:val="000000"/>
                <w:sz w:val="20"/>
                <w:szCs w:val="20"/>
              </w:rPr>
              <w:t>0.0915</w:t>
            </w:r>
          </w:p>
        </w:tc>
      </w:tr>
      <w:tr w:rsidR="003251C7" w14:paraId="0C0E54C7" w14:textId="31242D5F" w:rsidTr="00CE64C4">
        <w:trPr>
          <w:jc w:val="center"/>
        </w:trPr>
        <w:tc>
          <w:tcPr>
            <w:tcW w:w="0" w:type="auto"/>
            <w:hideMark/>
          </w:tcPr>
          <w:p w14:paraId="36146395" w14:textId="77777777" w:rsidR="003251C7" w:rsidRPr="000D417E" w:rsidRDefault="003251C7" w:rsidP="003251C7">
            <w:pPr>
              <w:pStyle w:val="Compact"/>
              <w:jc w:val="center"/>
              <w:rPr>
                <w:sz w:val="20"/>
                <w:szCs w:val="20"/>
              </w:rPr>
            </w:pPr>
            <w:r w:rsidRPr="000D417E">
              <w:rPr>
                <w:sz w:val="20"/>
                <w:szCs w:val="20"/>
              </w:rPr>
              <w:t>44</w:t>
            </w:r>
          </w:p>
        </w:tc>
        <w:tc>
          <w:tcPr>
            <w:tcW w:w="0" w:type="auto"/>
            <w:hideMark/>
          </w:tcPr>
          <w:p w14:paraId="473D0D71" w14:textId="77777777" w:rsidR="003251C7" w:rsidRPr="000D417E" w:rsidRDefault="003251C7" w:rsidP="003251C7">
            <w:pPr>
              <w:pStyle w:val="Compact"/>
              <w:jc w:val="center"/>
              <w:rPr>
                <w:sz w:val="20"/>
                <w:szCs w:val="20"/>
              </w:rPr>
            </w:pPr>
            <w:r w:rsidRPr="000D417E">
              <w:rPr>
                <w:sz w:val="20"/>
                <w:szCs w:val="20"/>
              </w:rPr>
              <w:t>0.85</w:t>
            </w:r>
          </w:p>
        </w:tc>
        <w:tc>
          <w:tcPr>
            <w:tcW w:w="0" w:type="auto"/>
            <w:hideMark/>
          </w:tcPr>
          <w:p w14:paraId="0C397861" w14:textId="77777777" w:rsidR="003251C7" w:rsidRPr="000D417E" w:rsidRDefault="003251C7" w:rsidP="003251C7">
            <w:pPr>
              <w:pStyle w:val="Compact"/>
              <w:jc w:val="center"/>
              <w:rPr>
                <w:sz w:val="20"/>
                <w:szCs w:val="20"/>
              </w:rPr>
            </w:pPr>
            <w:r w:rsidRPr="000D417E">
              <w:rPr>
                <w:sz w:val="20"/>
                <w:szCs w:val="20"/>
              </w:rPr>
              <w:t>0.39-4.4</w:t>
            </w:r>
          </w:p>
        </w:tc>
        <w:tc>
          <w:tcPr>
            <w:tcW w:w="0" w:type="auto"/>
            <w:hideMark/>
          </w:tcPr>
          <w:p w14:paraId="13CBC9ED" w14:textId="77777777" w:rsidR="003251C7" w:rsidRPr="000D417E" w:rsidRDefault="003251C7" w:rsidP="003251C7">
            <w:pPr>
              <w:pStyle w:val="Compact"/>
              <w:jc w:val="center"/>
              <w:rPr>
                <w:sz w:val="20"/>
                <w:szCs w:val="20"/>
              </w:rPr>
            </w:pPr>
            <w:r w:rsidRPr="000D417E">
              <w:rPr>
                <w:sz w:val="20"/>
                <w:szCs w:val="20"/>
              </w:rPr>
              <w:t>0-2.52</w:t>
            </w:r>
          </w:p>
        </w:tc>
        <w:tc>
          <w:tcPr>
            <w:tcW w:w="0" w:type="auto"/>
            <w:vAlign w:val="center"/>
          </w:tcPr>
          <w:p w14:paraId="53ED562D" w14:textId="5AAF3B4A" w:rsidR="003251C7" w:rsidRPr="000D417E" w:rsidRDefault="003251C7" w:rsidP="003251C7">
            <w:pPr>
              <w:pStyle w:val="Compact"/>
              <w:jc w:val="center"/>
              <w:rPr>
                <w:sz w:val="20"/>
                <w:szCs w:val="20"/>
              </w:rPr>
            </w:pPr>
            <w:r>
              <w:rPr>
                <w:color w:val="000000"/>
                <w:sz w:val="20"/>
                <w:szCs w:val="20"/>
              </w:rPr>
              <w:t>0.2012</w:t>
            </w:r>
          </w:p>
        </w:tc>
      </w:tr>
    </w:tbl>
    <w:p w14:paraId="016E82D9" w14:textId="7F87CD20" w:rsidR="00392177" w:rsidRDefault="00392177" w:rsidP="00392177">
      <w:pPr>
        <w:spacing w:line="480" w:lineRule="auto"/>
        <w:rPr>
          <w:rFonts w:eastAsiaTheme="minorEastAsia"/>
        </w:rPr>
      </w:pPr>
    </w:p>
    <w:p w14:paraId="17D54C53" w14:textId="6CDDBDD4" w:rsidR="00392177" w:rsidRDefault="00392177" w:rsidP="00392177">
      <w:pPr>
        <w:spacing w:line="480" w:lineRule="auto"/>
        <w:rPr>
          <w:rFonts w:eastAsiaTheme="minorEastAsia"/>
        </w:rPr>
      </w:pPr>
    </w:p>
    <w:p w14:paraId="11C85844" w14:textId="4DEEF20F" w:rsidR="00392177" w:rsidRDefault="00392177" w:rsidP="00392177">
      <w:pPr>
        <w:spacing w:line="480" w:lineRule="auto"/>
        <w:rPr>
          <w:rFonts w:eastAsiaTheme="minorEastAsia"/>
        </w:rPr>
      </w:pPr>
    </w:p>
    <w:p w14:paraId="62C8FC9E" w14:textId="53902B10" w:rsidR="00392177" w:rsidRDefault="00392177" w:rsidP="00392177">
      <w:pPr>
        <w:spacing w:line="480" w:lineRule="auto"/>
        <w:rPr>
          <w:rFonts w:eastAsiaTheme="minorEastAsia"/>
        </w:rPr>
      </w:pPr>
    </w:p>
    <w:p w14:paraId="5CD0F3B4" w14:textId="57223A00" w:rsidR="00392177" w:rsidRDefault="00392177" w:rsidP="00392177">
      <w:pPr>
        <w:spacing w:line="480" w:lineRule="auto"/>
        <w:rPr>
          <w:rFonts w:eastAsiaTheme="minorEastAsia"/>
        </w:rPr>
      </w:pPr>
    </w:p>
    <w:p w14:paraId="5717E445" w14:textId="4A9D15D7" w:rsidR="00392177" w:rsidRDefault="00392177" w:rsidP="00392177">
      <w:pPr>
        <w:spacing w:line="480" w:lineRule="auto"/>
        <w:rPr>
          <w:rFonts w:eastAsiaTheme="minorEastAsia"/>
        </w:rPr>
      </w:pPr>
    </w:p>
    <w:p w14:paraId="075BACBB" w14:textId="77777777" w:rsidR="00392177" w:rsidRDefault="00392177" w:rsidP="00392177">
      <w:pPr>
        <w:spacing w:line="480" w:lineRule="auto"/>
        <w:rPr>
          <w:rFonts w:eastAsiaTheme="minorEastAsia"/>
        </w:rPr>
      </w:pPr>
    </w:p>
    <w:p w14:paraId="371F460A" w14:textId="406A0491" w:rsidR="000D417E" w:rsidRPr="000D417E" w:rsidRDefault="000D417E" w:rsidP="000D417E">
      <w:pPr>
        <w:spacing w:line="240" w:lineRule="auto"/>
        <w:jc w:val="center"/>
        <w:rPr>
          <w:rFonts w:eastAsiaTheme="minorEastAsia"/>
          <w:i/>
          <w:sz w:val="20"/>
        </w:rPr>
      </w:pPr>
      <w:r w:rsidRPr="000D417E">
        <w:rPr>
          <w:rFonts w:eastAsiaTheme="minorEastAsia"/>
          <w:i/>
          <w:sz w:val="20"/>
        </w:rPr>
        <w:lastRenderedPageBreak/>
        <w:t>Figure 2. Confidence Intervals and Observed death rate. Bootstrapped intervals in red, binomial theorem intervals in blue</w:t>
      </w:r>
    </w:p>
    <w:p w14:paraId="642A0500" w14:textId="62CF2CB6" w:rsidR="000D417E" w:rsidRDefault="000D417E" w:rsidP="00392177">
      <w:pPr>
        <w:spacing w:line="480" w:lineRule="auto"/>
        <w:jc w:val="center"/>
        <w:rPr>
          <w:rFonts w:eastAsiaTheme="minorEastAsia"/>
        </w:rPr>
      </w:pPr>
      <w:r>
        <w:rPr>
          <w:noProof/>
        </w:rPr>
        <w:drawing>
          <wp:inline distT="0" distB="0" distL="0" distR="0" wp14:anchorId="71884154" wp14:editId="01CCF99E">
            <wp:extent cx="6281738" cy="33096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2404" cy="3410075"/>
                    </a:xfrm>
                    <a:prstGeom prst="rect">
                      <a:avLst/>
                    </a:prstGeom>
                  </pic:spPr>
                </pic:pic>
              </a:graphicData>
            </a:graphic>
          </wp:inline>
        </w:drawing>
      </w:r>
    </w:p>
    <w:p w14:paraId="61C3FFC2" w14:textId="4ECBC9E6" w:rsidR="000D417E" w:rsidRPr="00392177" w:rsidRDefault="000D417E" w:rsidP="000D417E">
      <w:pPr>
        <w:spacing w:line="240" w:lineRule="auto"/>
        <w:jc w:val="center"/>
        <w:rPr>
          <w:rFonts w:eastAsiaTheme="minorEastAsia"/>
          <w:i/>
          <w:sz w:val="20"/>
          <w:szCs w:val="20"/>
        </w:rPr>
      </w:pPr>
      <w:r w:rsidRPr="00392177">
        <w:rPr>
          <w:rFonts w:eastAsiaTheme="minorEastAsia"/>
          <w:i/>
          <w:sz w:val="20"/>
          <w:szCs w:val="20"/>
        </w:rPr>
        <w:t>Figure 3. Confidence Intervals and Observed death rate. Bootstrapped intervals in red, binomial theorem intervals in blue. Bootstrapped intervals generated using a model without albumin</w:t>
      </w:r>
    </w:p>
    <w:p w14:paraId="0ED9A641" w14:textId="41620019" w:rsidR="000D417E" w:rsidRPr="000D417E" w:rsidRDefault="000D417E" w:rsidP="00392177">
      <w:pPr>
        <w:spacing w:line="240" w:lineRule="auto"/>
        <w:rPr>
          <w:rFonts w:eastAsiaTheme="minorEastAsia"/>
          <w:sz w:val="20"/>
          <w:szCs w:val="20"/>
        </w:rPr>
      </w:pPr>
      <w:r>
        <w:rPr>
          <w:noProof/>
        </w:rPr>
        <w:drawing>
          <wp:inline distT="0" distB="0" distL="0" distR="0" wp14:anchorId="67AA8FB4" wp14:editId="67BC4535">
            <wp:extent cx="6253163" cy="3185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19022" cy="3219348"/>
                    </a:xfrm>
                    <a:prstGeom prst="rect">
                      <a:avLst/>
                    </a:prstGeom>
                  </pic:spPr>
                </pic:pic>
              </a:graphicData>
            </a:graphic>
          </wp:inline>
        </w:drawing>
      </w:r>
    </w:p>
    <w:sectPr w:rsidR="000D417E" w:rsidRPr="000D417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E8E17" w14:textId="77777777" w:rsidR="009D4032" w:rsidRDefault="009D4032" w:rsidP="00E01E27">
      <w:pPr>
        <w:spacing w:after="0" w:line="240" w:lineRule="auto"/>
      </w:pPr>
      <w:r>
        <w:separator/>
      </w:r>
    </w:p>
  </w:endnote>
  <w:endnote w:type="continuationSeparator" w:id="0">
    <w:p w14:paraId="75BE13CB" w14:textId="77777777" w:rsidR="009D4032" w:rsidRDefault="009D4032" w:rsidP="00E01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1942675"/>
      <w:docPartObj>
        <w:docPartGallery w:val="Page Numbers (Bottom of Page)"/>
        <w:docPartUnique/>
      </w:docPartObj>
    </w:sdtPr>
    <w:sdtEndPr>
      <w:rPr>
        <w:noProof/>
      </w:rPr>
    </w:sdtEndPr>
    <w:sdtContent>
      <w:p w14:paraId="1AD6DFCE" w14:textId="099D3C78" w:rsidR="005D06DA" w:rsidRDefault="005D06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FB9C9F" w14:textId="77777777" w:rsidR="005D06DA" w:rsidRDefault="005D0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D8854" w14:textId="77777777" w:rsidR="009D4032" w:rsidRDefault="009D4032" w:rsidP="00E01E27">
      <w:pPr>
        <w:spacing w:after="0" w:line="240" w:lineRule="auto"/>
      </w:pPr>
      <w:r>
        <w:separator/>
      </w:r>
    </w:p>
  </w:footnote>
  <w:footnote w:type="continuationSeparator" w:id="0">
    <w:p w14:paraId="7F846104" w14:textId="77777777" w:rsidR="009D4032" w:rsidRDefault="009D4032" w:rsidP="00E01E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E27"/>
    <w:rsid w:val="000005B7"/>
    <w:rsid w:val="000968ED"/>
    <w:rsid w:val="000D417E"/>
    <w:rsid w:val="0016352C"/>
    <w:rsid w:val="002461CF"/>
    <w:rsid w:val="002F7B03"/>
    <w:rsid w:val="003251C7"/>
    <w:rsid w:val="00392177"/>
    <w:rsid w:val="003F68BA"/>
    <w:rsid w:val="00494AE7"/>
    <w:rsid w:val="005D06DA"/>
    <w:rsid w:val="00697E7C"/>
    <w:rsid w:val="006D1998"/>
    <w:rsid w:val="006F6FD9"/>
    <w:rsid w:val="007324BB"/>
    <w:rsid w:val="00845858"/>
    <w:rsid w:val="00853D04"/>
    <w:rsid w:val="008E0746"/>
    <w:rsid w:val="00943DC4"/>
    <w:rsid w:val="00950B5A"/>
    <w:rsid w:val="009D4032"/>
    <w:rsid w:val="00C0439B"/>
    <w:rsid w:val="00D34BF8"/>
    <w:rsid w:val="00E01E27"/>
    <w:rsid w:val="00F16D04"/>
    <w:rsid w:val="00F3249A"/>
    <w:rsid w:val="00F33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3E7D3"/>
  <w15:chartTrackingRefBased/>
  <w15:docId w15:val="{9E2EE94C-50A1-455F-AFD0-F794B56F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1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8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1E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E27"/>
  </w:style>
  <w:style w:type="paragraph" w:styleId="Footer">
    <w:name w:val="footer"/>
    <w:basedOn w:val="Normal"/>
    <w:link w:val="FooterChar"/>
    <w:uiPriority w:val="99"/>
    <w:unhideWhenUsed/>
    <w:rsid w:val="00E01E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E27"/>
  </w:style>
  <w:style w:type="character" w:styleId="PlaceholderText">
    <w:name w:val="Placeholder Text"/>
    <w:basedOn w:val="DefaultParagraphFont"/>
    <w:uiPriority w:val="99"/>
    <w:semiHidden/>
    <w:rsid w:val="000968ED"/>
    <w:rPr>
      <w:color w:val="808080"/>
    </w:rPr>
  </w:style>
  <w:style w:type="character" w:customStyle="1" w:styleId="Heading1Char">
    <w:name w:val="Heading 1 Char"/>
    <w:basedOn w:val="DefaultParagraphFont"/>
    <w:link w:val="Heading1"/>
    <w:uiPriority w:val="9"/>
    <w:rsid w:val="002461CF"/>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semiHidden/>
    <w:unhideWhenUsed/>
    <w:qFormat/>
    <w:rsid w:val="000D417E"/>
    <w:pPr>
      <w:spacing w:before="180" w:after="180" w:line="240" w:lineRule="auto"/>
    </w:pPr>
    <w:rPr>
      <w:sz w:val="24"/>
      <w:szCs w:val="24"/>
    </w:rPr>
  </w:style>
  <w:style w:type="character" w:customStyle="1" w:styleId="BodyTextChar">
    <w:name w:val="Body Text Char"/>
    <w:basedOn w:val="DefaultParagraphFont"/>
    <w:link w:val="BodyText"/>
    <w:semiHidden/>
    <w:rsid w:val="000D417E"/>
    <w:rPr>
      <w:sz w:val="24"/>
      <w:szCs w:val="24"/>
    </w:rPr>
  </w:style>
  <w:style w:type="paragraph" w:customStyle="1" w:styleId="Compact">
    <w:name w:val="Compact"/>
    <w:basedOn w:val="BodyText"/>
    <w:qFormat/>
    <w:rsid w:val="000D417E"/>
    <w:pPr>
      <w:spacing w:before="36" w:after="36"/>
    </w:pPr>
  </w:style>
  <w:style w:type="table" w:styleId="ListTable6Colorful">
    <w:name w:val="List Table 6 Colorful"/>
    <w:basedOn w:val="TableNormal"/>
    <w:uiPriority w:val="51"/>
    <w:rsid w:val="000D417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84585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itle">
    <w:name w:val="Title"/>
    <w:basedOn w:val="Normal"/>
    <w:next w:val="Normal"/>
    <w:link w:val="TitleChar"/>
    <w:uiPriority w:val="10"/>
    <w:qFormat/>
    <w:rsid w:val="008458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85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458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060980">
      <w:bodyDiv w:val="1"/>
      <w:marLeft w:val="0"/>
      <w:marRight w:val="0"/>
      <w:marTop w:val="0"/>
      <w:marBottom w:val="0"/>
      <w:divBdr>
        <w:top w:val="none" w:sz="0" w:space="0" w:color="auto"/>
        <w:left w:val="none" w:sz="0" w:space="0" w:color="auto"/>
        <w:bottom w:val="none" w:sz="0" w:space="0" w:color="auto"/>
        <w:right w:val="none" w:sz="0" w:space="0" w:color="auto"/>
      </w:divBdr>
    </w:div>
    <w:div w:id="626350223">
      <w:bodyDiv w:val="1"/>
      <w:marLeft w:val="0"/>
      <w:marRight w:val="0"/>
      <w:marTop w:val="0"/>
      <w:marBottom w:val="0"/>
      <w:divBdr>
        <w:top w:val="none" w:sz="0" w:space="0" w:color="auto"/>
        <w:left w:val="none" w:sz="0" w:space="0" w:color="auto"/>
        <w:bottom w:val="none" w:sz="0" w:space="0" w:color="auto"/>
        <w:right w:val="none" w:sz="0" w:space="0" w:color="auto"/>
      </w:divBdr>
    </w:div>
    <w:div w:id="1288002834">
      <w:bodyDiv w:val="1"/>
      <w:marLeft w:val="0"/>
      <w:marRight w:val="0"/>
      <w:marTop w:val="0"/>
      <w:marBottom w:val="0"/>
      <w:divBdr>
        <w:top w:val="none" w:sz="0" w:space="0" w:color="auto"/>
        <w:left w:val="none" w:sz="0" w:space="0" w:color="auto"/>
        <w:bottom w:val="none" w:sz="0" w:space="0" w:color="auto"/>
        <w:right w:val="none" w:sz="0" w:space="0" w:color="auto"/>
      </w:divBdr>
    </w:div>
    <w:div w:id="158645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E9053-F39F-4251-B543-BFBA405C1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1262</TotalTime>
  <Pages>8</Pages>
  <Words>1677</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 Rachel</dc:creator>
  <cp:keywords/>
  <dc:description/>
  <cp:lastModifiedBy>Weber, Rachel</cp:lastModifiedBy>
  <cp:revision>7</cp:revision>
  <cp:lastPrinted>2018-11-25T15:35:00Z</cp:lastPrinted>
  <dcterms:created xsi:type="dcterms:W3CDTF">2018-11-20T15:15:00Z</dcterms:created>
  <dcterms:modified xsi:type="dcterms:W3CDTF">2018-11-25T21:46:00Z</dcterms:modified>
</cp:coreProperties>
</file>