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37A43" w14:textId="77777777" w:rsidR="005351BE" w:rsidRDefault="005351BE" w:rsidP="005351BE">
      <w:pPr>
        <w:pStyle w:val="Heading1"/>
        <w:spacing w:line="276" w:lineRule="auto"/>
        <w:jc w:val="center"/>
        <w:rPr>
          <w:b/>
          <w:color w:val="auto"/>
          <w:sz w:val="36"/>
          <w:szCs w:val="28"/>
        </w:rPr>
      </w:pPr>
      <w:r>
        <w:rPr>
          <w:b/>
          <w:color w:val="auto"/>
          <w:sz w:val="36"/>
          <w:szCs w:val="28"/>
        </w:rPr>
        <w:t>Investigating the Shooting-Free Weekend in New York City: Co</w:t>
      </w:r>
      <w:r w:rsidR="00080D76">
        <w:rPr>
          <w:b/>
          <w:color w:val="auto"/>
          <w:sz w:val="36"/>
          <w:szCs w:val="28"/>
        </w:rPr>
        <w:t>nsequence or Coincidence</w:t>
      </w:r>
      <w:r>
        <w:rPr>
          <w:b/>
          <w:color w:val="auto"/>
          <w:sz w:val="36"/>
          <w:szCs w:val="28"/>
        </w:rPr>
        <w:t>?</w:t>
      </w:r>
    </w:p>
    <w:p w14:paraId="473641DE" w14:textId="77777777" w:rsidR="005351BE" w:rsidRPr="005351BE" w:rsidRDefault="005351BE" w:rsidP="005351BE">
      <w:pPr>
        <w:jc w:val="center"/>
      </w:pPr>
      <w:r>
        <w:t>Rachel C. Weber, MPH Candidate</w:t>
      </w:r>
    </w:p>
    <w:p w14:paraId="0789C036" w14:textId="77777777" w:rsidR="00C73FCB" w:rsidRPr="00C73FCB" w:rsidRDefault="00C73FCB" w:rsidP="00C73FCB">
      <w:pPr>
        <w:pStyle w:val="Heading1"/>
        <w:spacing w:line="276" w:lineRule="auto"/>
        <w:rPr>
          <w:b/>
          <w:color w:val="auto"/>
          <w:sz w:val="28"/>
          <w:szCs w:val="28"/>
        </w:rPr>
      </w:pPr>
      <w:r w:rsidRPr="00C73FCB">
        <w:rPr>
          <w:b/>
          <w:color w:val="auto"/>
          <w:sz w:val="28"/>
          <w:szCs w:val="28"/>
        </w:rPr>
        <w:t>Background</w:t>
      </w:r>
    </w:p>
    <w:p w14:paraId="4A9F93EF" w14:textId="6E2A4C72" w:rsidR="00C73FCB" w:rsidRDefault="00C73FCB" w:rsidP="00C73FCB">
      <w:pPr>
        <w:spacing w:line="276" w:lineRule="auto"/>
      </w:pPr>
      <w:r>
        <w:t>New York City has a tumultuous history of gun violence. After a significant drop in gun violence in the 1990’s, New York City has made steady progress in reducing shooting incidences in the new millennium</w:t>
      </w:r>
      <w:r>
        <w:rPr>
          <w:rStyle w:val="FootnoteReference"/>
        </w:rPr>
        <w:footnoteReference w:id="1"/>
      </w:r>
      <w:r>
        <w:t>. The New York Times reported in August 2019 that gun violence is at a two-decade low for the city</w:t>
      </w:r>
      <w:r>
        <w:rPr>
          <w:rStyle w:val="FootnoteReference"/>
        </w:rPr>
        <w:footnoteReference w:id="2"/>
      </w:r>
      <w:r>
        <w:t>. Many researchers cite the state’s strong gun control laws and progressive police training as the reason for New York’s improvement.</w:t>
      </w:r>
      <w:r>
        <w:rPr>
          <w:rStyle w:val="FootnoteReference"/>
        </w:rPr>
        <w:footnoteReference w:id="3"/>
      </w:r>
      <w:r>
        <w:t xml:space="preserve"> Along with state-level regulation, the national culture around gun ownership and resulting violence has been in major flux. Though New York City’s worst years of gun violence are in the past, growing national incidence of mass shootings has brought community activists to action.</w:t>
      </w:r>
    </w:p>
    <w:p w14:paraId="67C3AD58" w14:textId="29E2E498" w:rsidR="00690580" w:rsidRDefault="00690580" w:rsidP="00690580">
      <w:pPr>
        <w:spacing w:line="276" w:lineRule="auto"/>
        <w:jc w:val="center"/>
      </w:pPr>
      <w:r w:rsidRPr="006A56C7">
        <w:rPr>
          <w:noProof/>
        </w:rPr>
        <w:drawing>
          <wp:inline distT="0" distB="0" distL="0" distR="0" wp14:anchorId="15587EF4" wp14:editId="7F0B16B3">
            <wp:extent cx="4546600" cy="3293579"/>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389" cy="3297773"/>
                    </a:xfrm>
                    <a:prstGeom prst="rect">
                      <a:avLst/>
                    </a:prstGeom>
                  </pic:spPr>
                </pic:pic>
              </a:graphicData>
            </a:graphic>
          </wp:inline>
        </w:drawing>
      </w:r>
    </w:p>
    <w:p w14:paraId="006874FD" w14:textId="7A192C5E" w:rsidR="00690580" w:rsidRPr="00690580" w:rsidRDefault="00690580" w:rsidP="00690580">
      <w:pPr>
        <w:spacing w:line="276" w:lineRule="auto"/>
        <w:jc w:val="center"/>
        <w:rPr>
          <w:i/>
          <w:iCs/>
          <w:sz w:val="20"/>
          <w:szCs w:val="20"/>
        </w:rPr>
      </w:pPr>
      <w:r w:rsidRPr="000741D9">
        <w:rPr>
          <w:i/>
          <w:iCs/>
          <w:sz w:val="20"/>
          <w:szCs w:val="20"/>
        </w:rPr>
        <w:t>Figure 1: Histogram of Number of Shootings in NYC per year (2006-201</w:t>
      </w:r>
      <w:r>
        <w:rPr>
          <w:i/>
          <w:iCs/>
          <w:sz w:val="20"/>
          <w:szCs w:val="20"/>
        </w:rPr>
        <w:t>9</w:t>
      </w:r>
      <w:r w:rsidRPr="000741D9">
        <w:rPr>
          <w:i/>
          <w:iCs/>
          <w:sz w:val="20"/>
          <w:szCs w:val="20"/>
        </w:rPr>
        <w:t>)</w:t>
      </w:r>
    </w:p>
    <w:p w14:paraId="66FB1A21" w14:textId="77777777" w:rsidR="00C73FCB" w:rsidRDefault="00C73FCB" w:rsidP="00C73FCB">
      <w:pPr>
        <w:spacing w:line="276" w:lineRule="auto"/>
        <w:rPr>
          <w:rStyle w:val="js-about-item-abstr"/>
        </w:rPr>
      </w:pPr>
      <w:r>
        <w:t>Following the Sandy-Hook shooting in December 2012 and the December 24</w:t>
      </w:r>
      <w:r w:rsidRPr="002600B7">
        <w:rPr>
          <w:vertAlign w:val="superscript"/>
        </w:rPr>
        <w:t>th</w:t>
      </w:r>
      <w:r>
        <w:t xml:space="preserve"> Webster shooting, New York passed the </w:t>
      </w:r>
      <w:r>
        <w:rPr>
          <w:rStyle w:val="js-about-item-abstr"/>
        </w:rPr>
        <w:t xml:space="preserve">Secure Ammunition and Firearms Enforcement Act (SAFE Act) which contains several firearms regulations. These include broader definitions of ‘assault style weapons’, prohibitions on high capacity </w:t>
      </w:r>
      <w:r>
        <w:rPr>
          <w:rStyle w:val="js-about-item-abstr"/>
        </w:rPr>
        <w:lastRenderedPageBreak/>
        <w:t>magazines, mandated background checks, and safe storage provisions. In 2010, New York City implemented Chicago’s Cure Violence public health model to use community outreach as a means of curbing gun violence. As of 2017 there were 18 active Cure Violence programs around the city working to ‘</w:t>
      </w:r>
      <w:proofErr w:type="spellStart"/>
      <w:r>
        <w:rPr>
          <w:rStyle w:val="js-about-item-abstr"/>
        </w:rPr>
        <w:t>denormalize</w:t>
      </w:r>
      <w:proofErr w:type="spellEnd"/>
      <w:r>
        <w:rPr>
          <w:rStyle w:val="js-about-item-abstr"/>
        </w:rPr>
        <w:t>’ gun violence</w:t>
      </w:r>
      <w:r>
        <w:rPr>
          <w:rStyle w:val="FootnoteReference"/>
        </w:rPr>
        <w:footnoteReference w:id="4"/>
      </w:r>
      <w:r>
        <w:rPr>
          <w:rStyle w:val="js-about-item-abstr"/>
        </w:rPr>
        <w:t>.</w:t>
      </w:r>
    </w:p>
    <w:p w14:paraId="4A2649D1" w14:textId="27118911" w:rsidR="00C73FCB" w:rsidRDefault="00C73FCB" w:rsidP="006C13B5">
      <w:pPr>
        <w:spacing w:line="276" w:lineRule="auto"/>
        <w:rPr>
          <w:rStyle w:val="js-about-item-abstr"/>
        </w:rPr>
      </w:pPr>
      <w:r>
        <w:rPr>
          <w:rStyle w:val="js-about-item-abstr"/>
        </w:rPr>
        <w:t>The first shooting free weekend (Friday, Saturday, Sunday) NYC has had in decades happened in Mid-October 2018. This event made national news with the exclamations of ‘amazing’ and ‘a milestone’</w:t>
      </w:r>
      <w:r>
        <w:rPr>
          <w:rStyle w:val="FootnoteReference"/>
        </w:rPr>
        <w:footnoteReference w:id="5"/>
      </w:r>
      <w:r>
        <w:rPr>
          <w:rStyle w:val="js-about-item-abstr"/>
        </w:rPr>
        <w:t>. But the crux of the matter is this: w</w:t>
      </w:r>
      <w:r w:rsidR="00690580">
        <w:rPr>
          <w:rStyle w:val="js-about-item-abstr"/>
        </w:rPr>
        <w:t>as</w:t>
      </w:r>
      <w:r>
        <w:rPr>
          <w:rStyle w:val="js-about-item-abstr"/>
        </w:rPr>
        <w:t xml:space="preserve"> this event a very lucky run or a consequence of legislation and community action? This analysis will build an interrupted time series negative binomial model to ascertain the odds of a given day being shooting-free. We will then apply standard probability theory to estimate the probability of a consecutive Friday-Saturday-Sunday being shooting-free.</w:t>
      </w:r>
    </w:p>
    <w:p w14:paraId="39EAAAFF" w14:textId="77777777" w:rsidR="005E62DF" w:rsidRPr="006C13B5" w:rsidRDefault="006C13B5">
      <w:pPr>
        <w:rPr>
          <w:b/>
          <w:sz w:val="28"/>
        </w:rPr>
      </w:pPr>
      <w:r w:rsidRPr="006C13B5">
        <w:rPr>
          <w:b/>
          <w:sz w:val="28"/>
        </w:rPr>
        <w:t>Methods</w:t>
      </w:r>
    </w:p>
    <w:p w14:paraId="7AAECAD4" w14:textId="77777777" w:rsidR="006C13B5" w:rsidRDefault="006C13B5" w:rsidP="006C13B5">
      <w:pPr>
        <w:spacing w:line="276" w:lineRule="auto"/>
      </w:pPr>
      <w:r>
        <w:t>Data are supplied by NYC Open Data. The dataset spans years 2006 through 2019. Each row contains the time and date of a shooting, the location (precinct and latitude/longitude), and perpetrator/victim demographic information (including sex, race, and age group).</w:t>
      </w:r>
    </w:p>
    <w:p w14:paraId="1EA83130" w14:textId="77777777" w:rsidR="006C13B5" w:rsidRDefault="006C13B5" w:rsidP="006C13B5">
      <w:pPr>
        <w:spacing w:line="276" w:lineRule="auto"/>
      </w:pPr>
      <w:r>
        <w:t xml:space="preserve">Data is manually extracted every quarter and reviewed by the </w:t>
      </w:r>
      <w:r w:rsidRPr="003E366E">
        <w:t>Office of Management Analysis and Planning</w:t>
      </w:r>
      <w:r>
        <w:t>. Data is intended for public use to, “explore the nature of shooting/criminal activity” in NYC.</w:t>
      </w:r>
    </w:p>
    <w:p w14:paraId="3573AFD1" w14:textId="13A86E83" w:rsidR="006C13B5" w:rsidRDefault="006C13B5" w:rsidP="006C13B5">
      <w:pPr>
        <w:spacing w:line="276" w:lineRule="auto"/>
      </w:pPr>
      <w:r>
        <w:t xml:space="preserve">All analyses will be performed in R version </w:t>
      </w:r>
      <w:proofErr w:type="gramStart"/>
      <w:r>
        <w:t>XX.XX.</w:t>
      </w:r>
      <w:proofErr w:type="gramEnd"/>
      <w:r>
        <w:t xml:space="preserve"> Date and time data were all that were needed for analysis as adjustment for precinct/location was beyond the scope of this study. Date and time fields have zero missingness. Days without shootings were not present in the dataset. These days were added as new, empty rows to allow for counts and visualizations of </w:t>
      </w:r>
      <w:r w:rsidR="00690580">
        <w:t>such</w:t>
      </w:r>
      <w:r>
        <w:t xml:space="preserve"> days. Additionally, variables for season and year were added using the</w:t>
      </w:r>
      <w:r w:rsidR="00690580">
        <w:t xml:space="preserve"> </w:t>
      </w:r>
      <w:r>
        <w:t>date variabl</w:t>
      </w:r>
      <w:r w:rsidR="00690580">
        <w:t>e</w:t>
      </w:r>
      <w:r>
        <w:t>.</w:t>
      </w:r>
      <w:r w:rsidR="00391B45">
        <w:t xml:space="preserve"> It has been</w:t>
      </w:r>
      <w:r>
        <w:t xml:space="preserve"> documented</w:t>
      </w:r>
      <w:r w:rsidR="00391B45">
        <w:t xml:space="preserve"> that</w:t>
      </w:r>
      <w:r>
        <w:t xml:space="preserve"> shooting incidence changes depending on time of </w:t>
      </w:r>
      <w:proofErr w:type="gramStart"/>
      <w:r>
        <w:t>year</w:t>
      </w:r>
      <w:r w:rsidR="00391B45">
        <w:t>;</w:t>
      </w:r>
      <w:proofErr w:type="gramEnd"/>
      <w:r w:rsidR="00391B45">
        <w:t xml:space="preserve"> rising in the summer and falling in the winter</w:t>
      </w:r>
      <w:r>
        <w:rPr>
          <w:rStyle w:val="FootnoteReference"/>
        </w:rPr>
        <w:footnoteReference w:id="6"/>
      </w:r>
      <w:r w:rsidR="00144121" w:rsidRPr="00144121">
        <w:rPr>
          <w:vertAlign w:val="superscript"/>
        </w:rPr>
        <w:t>,</w:t>
      </w:r>
      <w:r w:rsidR="00144121">
        <w:rPr>
          <w:rStyle w:val="FootnoteReference"/>
        </w:rPr>
        <w:footnoteReference w:id="7"/>
      </w:r>
      <w:r>
        <w:t>.</w:t>
      </w:r>
      <w:r w:rsidR="00391B45">
        <w:t xml:space="preserve"> </w:t>
      </w:r>
      <w:r w:rsidR="005351BE">
        <w:t>The extent to which this data agrees with this understanding can</w:t>
      </w:r>
      <w:r>
        <w:t xml:space="preserve"> be seen in the shooting incidence graph in the Appendix (graph A). </w:t>
      </w:r>
      <w:r w:rsidR="00391B45">
        <w:t xml:space="preserve">Month was included as a factor variable to accommodate these temporal fluctuations. </w:t>
      </w:r>
      <w:r>
        <w:t xml:space="preserve">Finally, an interrupted time series variable for pre/post SAFE act implementation was developed to understand the effect this </w:t>
      </w:r>
      <w:r w:rsidR="00690580">
        <w:t>new</w:t>
      </w:r>
      <w:r>
        <w:t xml:space="preserve"> legislation had on incidence of gun violence</w:t>
      </w:r>
      <w:r w:rsidR="005351BE">
        <w:t xml:space="preserve"> at the level of number of shootings per day</w:t>
      </w:r>
      <w:r>
        <w:t>.</w:t>
      </w:r>
    </w:p>
    <w:p w14:paraId="322CB34D" w14:textId="685F2E96" w:rsidR="006C13B5" w:rsidRDefault="006C13B5">
      <w:r>
        <w:t>Univariate modeling was conducted to identify variables ass</w:t>
      </w:r>
      <w:r w:rsidR="00144121">
        <w:t>ociated with changes in shooting</w:t>
      </w:r>
      <w:r>
        <w:t>s-per-day. Only variables found to be statistically significant (p &lt; .05) in univariate analysis were used in multivariable modeling.</w:t>
      </w:r>
    </w:p>
    <w:p w14:paraId="0E467433" w14:textId="77777777" w:rsidR="00690580" w:rsidRPr="00690580" w:rsidRDefault="00690580" w:rsidP="00690580">
      <w:pPr>
        <w:pStyle w:val="Heading1"/>
        <w:rPr>
          <w:b/>
          <w:bCs/>
          <w:color w:val="auto"/>
          <w:sz w:val="28"/>
          <w:szCs w:val="28"/>
        </w:rPr>
      </w:pPr>
      <w:r w:rsidRPr="00690580">
        <w:rPr>
          <w:b/>
          <w:bCs/>
          <w:color w:val="auto"/>
          <w:sz w:val="28"/>
          <w:szCs w:val="28"/>
        </w:rPr>
        <w:t>Findings</w:t>
      </w:r>
    </w:p>
    <w:p w14:paraId="3FE48E10" w14:textId="7D67025D" w:rsidR="00690580" w:rsidRDefault="00690580" w:rsidP="00690580">
      <w:pPr>
        <w:spacing w:line="276" w:lineRule="auto"/>
      </w:pPr>
      <w:r>
        <w:t xml:space="preserve">The interrupted time series negative binomial model suggested that </w:t>
      </w:r>
      <w:r w:rsidR="00391B45">
        <w:t>Month</w:t>
      </w:r>
      <w:r>
        <w:t>, day of the week, and SAFE act passage were significantly associated with the number of shootings expected on a given day (Table 1). The intercept represents a Friday in</w:t>
      </w:r>
      <w:r w:rsidR="002F6ED1">
        <w:t xml:space="preserve"> January, pre-intervention</w:t>
      </w:r>
      <w:r>
        <w:t>.</w:t>
      </w:r>
    </w:p>
    <w:tbl>
      <w:tblPr>
        <w:tblStyle w:val="PlainTable2"/>
        <w:tblW w:w="0" w:type="auto"/>
        <w:jc w:val="center"/>
        <w:tblLook w:val="04A0" w:firstRow="1" w:lastRow="0" w:firstColumn="1" w:lastColumn="0" w:noHBand="0" w:noVBand="1"/>
      </w:tblPr>
      <w:tblGrid>
        <w:gridCol w:w="2790"/>
        <w:gridCol w:w="1620"/>
        <w:gridCol w:w="1530"/>
        <w:gridCol w:w="2610"/>
      </w:tblGrid>
      <w:tr w:rsidR="00690580" w14:paraId="00E67A63" w14:textId="77777777" w:rsidTr="002A50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8" w:space="0" w:color="auto"/>
            </w:tcBorders>
          </w:tcPr>
          <w:p w14:paraId="3E2AC4DE" w14:textId="77777777" w:rsidR="00690580" w:rsidRDefault="00690580" w:rsidP="002A500E">
            <w:pPr>
              <w:spacing w:line="276" w:lineRule="auto"/>
            </w:pPr>
            <w:r>
              <w:lastRenderedPageBreak/>
              <w:t>Variable</w:t>
            </w:r>
          </w:p>
        </w:tc>
        <w:tc>
          <w:tcPr>
            <w:tcW w:w="1620" w:type="dxa"/>
            <w:tcBorders>
              <w:top w:val="single" w:sz="8" w:space="0" w:color="auto"/>
              <w:bottom w:val="single" w:sz="8" w:space="0" w:color="auto"/>
            </w:tcBorders>
          </w:tcPr>
          <w:p w14:paraId="09CF5650" w14:textId="78621AB4" w:rsidR="00690580" w:rsidRDefault="002F6ED1" w:rsidP="002A500E">
            <w:pPr>
              <w:spacing w:line="276" w:lineRule="auto"/>
              <w:cnfStyle w:val="100000000000" w:firstRow="1" w:lastRow="0" w:firstColumn="0" w:lastColumn="0" w:oddVBand="0" w:evenVBand="0" w:oddHBand="0" w:evenHBand="0" w:firstRowFirstColumn="0" w:firstRowLastColumn="0" w:lastRowFirstColumn="0" w:lastRowLastColumn="0"/>
            </w:pPr>
            <w:r>
              <w:t>Estimate</w:t>
            </w:r>
          </w:p>
        </w:tc>
        <w:tc>
          <w:tcPr>
            <w:tcW w:w="1530" w:type="dxa"/>
            <w:tcBorders>
              <w:top w:val="single" w:sz="8" w:space="0" w:color="auto"/>
              <w:bottom w:val="single" w:sz="8" w:space="0" w:color="auto"/>
            </w:tcBorders>
          </w:tcPr>
          <w:p w14:paraId="722EF07C" w14:textId="77777777" w:rsidR="00690580" w:rsidRDefault="00690580" w:rsidP="002A500E">
            <w:pPr>
              <w:spacing w:line="276" w:lineRule="auto"/>
              <w:cnfStyle w:val="100000000000" w:firstRow="1" w:lastRow="0" w:firstColumn="0" w:lastColumn="0" w:oddVBand="0" w:evenVBand="0" w:oddHBand="0" w:evenHBand="0" w:firstRowFirstColumn="0" w:firstRowLastColumn="0" w:lastRowFirstColumn="0" w:lastRowLastColumn="0"/>
            </w:pPr>
            <w:r>
              <w:t>P-Value</w:t>
            </w:r>
          </w:p>
        </w:tc>
        <w:tc>
          <w:tcPr>
            <w:tcW w:w="2610" w:type="dxa"/>
            <w:tcBorders>
              <w:top w:val="single" w:sz="8" w:space="0" w:color="auto"/>
              <w:bottom w:val="single" w:sz="8" w:space="0" w:color="auto"/>
            </w:tcBorders>
          </w:tcPr>
          <w:p w14:paraId="0DCCB272" w14:textId="77777777" w:rsidR="00690580" w:rsidRDefault="00690580" w:rsidP="002A500E">
            <w:pPr>
              <w:spacing w:line="276" w:lineRule="auto"/>
              <w:cnfStyle w:val="100000000000" w:firstRow="1" w:lastRow="0" w:firstColumn="0" w:lastColumn="0" w:oddVBand="0" w:evenVBand="0" w:oddHBand="0" w:evenHBand="0" w:firstRowFirstColumn="0" w:firstRowLastColumn="0" w:lastRowFirstColumn="0" w:lastRowLastColumn="0"/>
            </w:pPr>
            <w:r>
              <w:t>95% Confidence Interval</w:t>
            </w:r>
          </w:p>
        </w:tc>
      </w:tr>
      <w:tr w:rsidR="00690580" w14:paraId="5137D2E1"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tcPr>
          <w:p w14:paraId="24F1D992" w14:textId="77777777" w:rsidR="00690580" w:rsidRDefault="00690580" w:rsidP="002A500E">
            <w:pPr>
              <w:spacing w:line="276" w:lineRule="auto"/>
            </w:pPr>
            <w:r>
              <w:t>Intercept</w:t>
            </w:r>
          </w:p>
        </w:tc>
        <w:tc>
          <w:tcPr>
            <w:tcW w:w="1620" w:type="dxa"/>
            <w:tcBorders>
              <w:top w:val="single" w:sz="8" w:space="0" w:color="auto"/>
            </w:tcBorders>
          </w:tcPr>
          <w:p w14:paraId="6D3472F4" w14:textId="13EC02C4"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3.</w:t>
            </w:r>
            <w:r w:rsidR="00E014BC">
              <w:t>88</w:t>
            </w:r>
          </w:p>
        </w:tc>
        <w:tc>
          <w:tcPr>
            <w:tcW w:w="1530" w:type="dxa"/>
            <w:tcBorders>
              <w:top w:val="single" w:sz="8" w:space="0" w:color="auto"/>
            </w:tcBorders>
          </w:tcPr>
          <w:p w14:paraId="102AF9D6"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&lt;.001</w:t>
            </w:r>
          </w:p>
        </w:tc>
        <w:tc>
          <w:tcPr>
            <w:tcW w:w="2610" w:type="dxa"/>
            <w:tcBorders>
              <w:top w:val="single" w:sz="8" w:space="0" w:color="auto"/>
            </w:tcBorders>
          </w:tcPr>
          <w:p w14:paraId="5BBF33EC" w14:textId="328BE1E3"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(3.</w:t>
            </w:r>
            <w:r w:rsidR="00E014BC">
              <w:t>53</w:t>
            </w:r>
            <w:r>
              <w:t>, 4.</w:t>
            </w:r>
            <w:r w:rsidR="00E014BC">
              <w:t>28</w:t>
            </w:r>
            <w:r>
              <w:t>)</w:t>
            </w:r>
          </w:p>
        </w:tc>
      </w:tr>
      <w:tr w:rsidR="00690580" w14:paraId="7D162AE3"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5A1DC06" w14:textId="77777777" w:rsidR="00690580" w:rsidRDefault="00690580" w:rsidP="002A500E">
            <w:pPr>
              <w:spacing w:line="276" w:lineRule="auto"/>
            </w:pPr>
            <w:r>
              <w:t>Baseline Slope</w:t>
            </w:r>
          </w:p>
        </w:tc>
        <w:tc>
          <w:tcPr>
            <w:tcW w:w="1620" w:type="dxa"/>
          </w:tcPr>
          <w:p w14:paraId="0D82CDAA" w14:textId="5F518CCB" w:rsidR="00690580" w:rsidRDefault="00E014BC" w:rsidP="002A500E">
            <w:pPr>
              <w:spacing w:line="276" w:lineRule="auto"/>
              <w:cnfStyle w:val="000000000000" w:firstRow="0" w:lastRow="0" w:firstColumn="0" w:lastColumn="0" w:oddVBand="0" w:evenVBand="0" w:oddHBand="0" w:evenHBand="0" w:firstRowFirstColumn="0" w:firstRowLastColumn="0" w:lastRowFirstColumn="0" w:lastRowLastColumn="0"/>
            </w:pPr>
            <w:r>
              <w:t>0.98</w:t>
            </w:r>
          </w:p>
        </w:tc>
        <w:tc>
          <w:tcPr>
            <w:tcW w:w="1530" w:type="dxa"/>
          </w:tcPr>
          <w:p w14:paraId="6E18B36B" w14:textId="24DBC6F1" w:rsidR="00690580" w:rsidRDefault="00E014BC" w:rsidP="002A500E">
            <w:pPr>
              <w:spacing w:line="276" w:lineRule="auto"/>
              <w:cnfStyle w:val="000000000000" w:firstRow="0" w:lastRow="0" w:firstColumn="0" w:lastColumn="0" w:oddVBand="0" w:evenVBand="0" w:oddHBand="0" w:evenHBand="0" w:firstRowFirstColumn="0" w:firstRowLastColumn="0" w:lastRowFirstColumn="0" w:lastRowLastColumn="0"/>
            </w:pPr>
            <w:r>
              <w:t>0.009</w:t>
            </w:r>
          </w:p>
        </w:tc>
        <w:tc>
          <w:tcPr>
            <w:tcW w:w="2610" w:type="dxa"/>
          </w:tcPr>
          <w:p w14:paraId="44A806B5" w14:textId="068019A4"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w:t>
            </w:r>
            <w:r w:rsidR="00E014BC">
              <w:t>0.97</w:t>
            </w:r>
            <w:r>
              <w:t>,1)</w:t>
            </w:r>
          </w:p>
        </w:tc>
      </w:tr>
      <w:tr w:rsidR="00690580" w14:paraId="5835A35D"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39B69FEC" w14:textId="77777777" w:rsidR="00690580" w:rsidRDefault="00690580" w:rsidP="002A500E">
            <w:pPr>
              <w:spacing w:line="276" w:lineRule="auto"/>
            </w:pPr>
            <w:r>
              <w:t>Day (Monday)</w:t>
            </w:r>
          </w:p>
        </w:tc>
        <w:tc>
          <w:tcPr>
            <w:tcW w:w="1620" w:type="dxa"/>
          </w:tcPr>
          <w:p w14:paraId="2E21ECDD" w14:textId="522F8DA6"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1.0</w:t>
            </w:r>
            <w:r w:rsidR="00E014BC">
              <w:t>6</w:t>
            </w:r>
          </w:p>
        </w:tc>
        <w:tc>
          <w:tcPr>
            <w:tcW w:w="1530" w:type="dxa"/>
          </w:tcPr>
          <w:p w14:paraId="6688A2BD" w14:textId="60FB83BA"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0.1</w:t>
            </w:r>
            <w:r w:rsidR="00E014BC">
              <w:t>33</w:t>
            </w:r>
          </w:p>
        </w:tc>
        <w:tc>
          <w:tcPr>
            <w:tcW w:w="2610" w:type="dxa"/>
          </w:tcPr>
          <w:p w14:paraId="22D81F4D" w14:textId="19297FD1"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(0.98, 1.1</w:t>
            </w:r>
            <w:r w:rsidR="00E014BC">
              <w:t>4</w:t>
            </w:r>
            <w:r>
              <w:t>)</w:t>
            </w:r>
          </w:p>
        </w:tc>
      </w:tr>
      <w:tr w:rsidR="00690580" w14:paraId="1C881DE0"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1CC91130" w14:textId="77777777" w:rsidR="00690580" w:rsidRDefault="00690580" w:rsidP="002A500E">
            <w:pPr>
              <w:spacing w:line="276" w:lineRule="auto"/>
            </w:pPr>
            <w:r>
              <w:t>Day (Tuesday)</w:t>
            </w:r>
          </w:p>
        </w:tc>
        <w:tc>
          <w:tcPr>
            <w:tcW w:w="1620" w:type="dxa"/>
          </w:tcPr>
          <w:p w14:paraId="68A50F37"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0.86</w:t>
            </w:r>
          </w:p>
        </w:tc>
        <w:tc>
          <w:tcPr>
            <w:tcW w:w="1530" w:type="dxa"/>
          </w:tcPr>
          <w:p w14:paraId="1F459456" w14:textId="7B2EDBD6" w:rsidR="00690580" w:rsidRDefault="00E014BC" w:rsidP="002A500E">
            <w:pPr>
              <w:spacing w:line="276" w:lineRule="auto"/>
              <w:cnfStyle w:val="000000000000" w:firstRow="0" w:lastRow="0" w:firstColumn="0" w:lastColumn="0" w:oddVBand="0" w:evenVBand="0" w:oddHBand="0" w:evenHBand="0" w:firstRowFirstColumn="0" w:firstRowLastColumn="0" w:lastRowFirstColumn="0" w:lastRowLastColumn="0"/>
            </w:pPr>
            <w:r>
              <w:t>&lt;</w:t>
            </w:r>
            <w:r w:rsidR="00690580">
              <w:t>.001</w:t>
            </w:r>
          </w:p>
        </w:tc>
        <w:tc>
          <w:tcPr>
            <w:tcW w:w="2610" w:type="dxa"/>
          </w:tcPr>
          <w:p w14:paraId="4B587B89"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(0.8, 0.93)</w:t>
            </w:r>
          </w:p>
        </w:tc>
      </w:tr>
      <w:tr w:rsidR="00690580" w14:paraId="284227DE"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CEECB74" w14:textId="77777777" w:rsidR="00690580" w:rsidRDefault="00690580" w:rsidP="002A500E">
            <w:pPr>
              <w:spacing w:line="276" w:lineRule="auto"/>
            </w:pPr>
            <w:r>
              <w:t>Day (Wednesday)</w:t>
            </w:r>
          </w:p>
        </w:tc>
        <w:tc>
          <w:tcPr>
            <w:tcW w:w="1620" w:type="dxa"/>
          </w:tcPr>
          <w:p w14:paraId="5FFFFA01"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0.82</w:t>
            </w:r>
          </w:p>
        </w:tc>
        <w:tc>
          <w:tcPr>
            <w:tcW w:w="1530" w:type="dxa"/>
          </w:tcPr>
          <w:p w14:paraId="7A26E289" w14:textId="63F3FDA7" w:rsidR="00690580" w:rsidRDefault="00E014BC" w:rsidP="002A500E">
            <w:pPr>
              <w:spacing w:line="276" w:lineRule="auto"/>
              <w:cnfStyle w:val="000000100000" w:firstRow="0" w:lastRow="0" w:firstColumn="0" w:lastColumn="0" w:oddVBand="0" w:evenVBand="0" w:oddHBand="1" w:evenHBand="0" w:firstRowFirstColumn="0" w:firstRowLastColumn="0" w:lastRowFirstColumn="0" w:lastRowLastColumn="0"/>
            </w:pPr>
            <w:r>
              <w:t>&lt;</w:t>
            </w:r>
            <w:r w:rsidR="00690580">
              <w:t>.001</w:t>
            </w:r>
          </w:p>
        </w:tc>
        <w:tc>
          <w:tcPr>
            <w:tcW w:w="2610" w:type="dxa"/>
          </w:tcPr>
          <w:p w14:paraId="40CD8A5F"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(0.76, 0.88)</w:t>
            </w:r>
          </w:p>
        </w:tc>
      </w:tr>
      <w:tr w:rsidR="00690580" w14:paraId="3356B8E9"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0D0042D3" w14:textId="77777777" w:rsidR="00690580" w:rsidRDefault="00690580" w:rsidP="002A500E">
            <w:pPr>
              <w:spacing w:line="276" w:lineRule="auto"/>
            </w:pPr>
            <w:r>
              <w:t>Day (Thursday)</w:t>
            </w:r>
          </w:p>
        </w:tc>
        <w:tc>
          <w:tcPr>
            <w:tcW w:w="1620" w:type="dxa"/>
          </w:tcPr>
          <w:p w14:paraId="5E103D97"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0.81</w:t>
            </w:r>
          </w:p>
        </w:tc>
        <w:tc>
          <w:tcPr>
            <w:tcW w:w="1530" w:type="dxa"/>
          </w:tcPr>
          <w:p w14:paraId="3017B8C0"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&lt;.001</w:t>
            </w:r>
          </w:p>
        </w:tc>
        <w:tc>
          <w:tcPr>
            <w:tcW w:w="2610" w:type="dxa"/>
          </w:tcPr>
          <w:p w14:paraId="191770FF"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(0.75, 0.87)</w:t>
            </w:r>
          </w:p>
        </w:tc>
      </w:tr>
      <w:tr w:rsidR="00690580" w14:paraId="56995866"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100870E" w14:textId="77777777" w:rsidR="00690580" w:rsidRDefault="00690580" w:rsidP="002A500E">
            <w:pPr>
              <w:spacing w:line="276" w:lineRule="auto"/>
            </w:pPr>
            <w:r>
              <w:t>Day (Saturday)</w:t>
            </w:r>
          </w:p>
        </w:tc>
        <w:tc>
          <w:tcPr>
            <w:tcW w:w="1620" w:type="dxa"/>
          </w:tcPr>
          <w:p w14:paraId="2C49F7B5" w14:textId="0F37EC39"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1.4</w:t>
            </w:r>
            <w:r w:rsidR="00E014BC">
              <w:t>4</w:t>
            </w:r>
          </w:p>
        </w:tc>
        <w:tc>
          <w:tcPr>
            <w:tcW w:w="1530" w:type="dxa"/>
          </w:tcPr>
          <w:p w14:paraId="2CB0A981"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&lt;.001</w:t>
            </w:r>
          </w:p>
        </w:tc>
        <w:tc>
          <w:tcPr>
            <w:tcW w:w="2610" w:type="dxa"/>
          </w:tcPr>
          <w:p w14:paraId="10639009"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(1.35, 1.55)</w:t>
            </w:r>
          </w:p>
        </w:tc>
      </w:tr>
      <w:tr w:rsidR="00690580" w14:paraId="4B1FAD12"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53E1248F" w14:textId="77777777" w:rsidR="00690580" w:rsidRDefault="00690580" w:rsidP="002A500E">
            <w:pPr>
              <w:spacing w:line="276" w:lineRule="auto"/>
            </w:pPr>
            <w:r>
              <w:t>Day (Sunday)</w:t>
            </w:r>
          </w:p>
        </w:tc>
        <w:tc>
          <w:tcPr>
            <w:tcW w:w="1620" w:type="dxa"/>
          </w:tcPr>
          <w:p w14:paraId="7F44642D"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1.53</w:t>
            </w:r>
          </w:p>
        </w:tc>
        <w:tc>
          <w:tcPr>
            <w:tcW w:w="1530" w:type="dxa"/>
          </w:tcPr>
          <w:p w14:paraId="7DC41791"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&lt;.001</w:t>
            </w:r>
          </w:p>
        </w:tc>
        <w:tc>
          <w:tcPr>
            <w:tcW w:w="2610" w:type="dxa"/>
          </w:tcPr>
          <w:p w14:paraId="66C91461" w14:textId="6B0978E3"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(1.4</w:t>
            </w:r>
            <w:r w:rsidR="00E014BC">
              <w:t>2</w:t>
            </w:r>
            <w:r>
              <w:t>, 1.64)</w:t>
            </w:r>
          </w:p>
        </w:tc>
      </w:tr>
      <w:tr w:rsidR="00E014BC" w14:paraId="32306D18"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4B7A9019" w14:textId="75C9A743" w:rsidR="00E014BC" w:rsidRDefault="00E014BC" w:rsidP="00E014BC">
            <w:pPr>
              <w:spacing w:line="276" w:lineRule="auto"/>
            </w:pPr>
            <w:r>
              <w:t>Pre-Post SAFE Act</w:t>
            </w:r>
          </w:p>
        </w:tc>
        <w:tc>
          <w:tcPr>
            <w:tcW w:w="1620" w:type="dxa"/>
          </w:tcPr>
          <w:p w14:paraId="37F6F0A4" w14:textId="01EDFBCD" w:rsidR="00E014BC" w:rsidRDefault="00E014BC" w:rsidP="00E014BC">
            <w:pPr>
              <w:spacing w:line="276" w:lineRule="auto"/>
              <w:cnfStyle w:val="000000100000" w:firstRow="0" w:lastRow="0" w:firstColumn="0" w:lastColumn="0" w:oddVBand="0" w:evenVBand="0" w:oddHBand="1" w:evenHBand="0" w:firstRowFirstColumn="0" w:firstRowLastColumn="0" w:lastRowFirstColumn="0" w:lastRowLastColumn="0"/>
            </w:pPr>
            <w:r>
              <w:t>0.86</w:t>
            </w:r>
          </w:p>
        </w:tc>
        <w:tc>
          <w:tcPr>
            <w:tcW w:w="1530" w:type="dxa"/>
          </w:tcPr>
          <w:p w14:paraId="177A8A17" w14:textId="53256109" w:rsidR="00E014BC" w:rsidRDefault="00E014BC" w:rsidP="00E014BC">
            <w:pPr>
              <w:spacing w:line="276" w:lineRule="auto"/>
              <w:cnfStyle w:val="000000100000" w:firstRow="0" w:lastRow="0" w:firstColumn="0" w:lastColumn="0" w:oddVBand="0" w:evenVBand="0" w:oddHBand="1" w:evenHBand="0" w:firstRowFirstColumn="0" w:firstRowLastColumn="0" w:lastRowFirstColumn="0" w:lastRowLastColumn="0"/>
            </w:pPr>
            <w:r>
              <w:t>&lt;.001</w:t>
            </w:r>
          </w:p>
        </w:tc>
        <w:tc>
          <w:tcPr>
            <w:tcW w:w="2610" w:type="dxa"/>
          </w:tcPr>
          <w:p w14:paraId="531044E8" w14:textId="1CECB50C" w:rsidR="00E014BC" w:rsidRDefault="00E014BC" w:rsidP="00E014BC">
            <w:pPr>
              <w:spacing w:line="276" w:lineRule="auto"/>
              <w:cnfStyle w:val="000000100000" w:firstRow="0" w:lastRow="0" w:firstColumn="0" w:lastColumn="0" w:oddVBand="0" w:evenVBand="0" w:oddHBand="1" w:evenHBand="0" w:firstRowFirstColumn="0" w:firstRowLastColumn="0" w:lastRowFirstColumn="0" w:lastRowLastColumn="0"/>
            </w:pPr>
            <w:r>
              <w:t>(0.8, 0.93)</w:t>
            </w:r>
          </w:p>
        </w:tc>
      </w:tr>
      <w:tr w:rsidR="00E014BC" w14:paraId="2284B57C"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4BC136D" w14:textId="4AD5D2F0" w:rsidR="00E014BC" w:rsidRDefault="00E014BC" w:rsidP="00E014BC">
            <w:pPr>
              <w:spacing w:line="276" w:lineRule="auto"/>
            </w:pPr>
            <w:r>
              <w:t>Intervention Slope Change</w:t>
            </w:r>
          </w:p>
        </w:tc>
        <w:tc>
          <w:tcPr>
            <w:tcW w:w="1620" w:type="dxa"/>
          </w:tcPr>
          <w:p w14:paraId="5E420E31" w14:textId="1BAEA1EC" w:rsidR="00E014BC" w:rsidRDefault="00E014BC" w:rsidP="00E014BC">
            <w:pPr>
              <w:spacing w:line="276" w:lineRule="auto"/>
              <w:cnfStyle w:val="000000000000" w:firstRow="0" w:lastRow="0" w:firstColumn="0" w:lastColumn="0" w:oddVBand="0" w:evenVBand="0" w:oddHBand="0" w:evenHBand="0" w:firstRowFirstColumn="0" w:firstRowLastColumn="0" w:lastRowFirstColumn="0" w:lastRowLastColumn="0"/>
            </w:pPr>
            <w:r>
              <w:t>0.94</w:t>
            </w:r>
          </w:p>
        </w:tc>
        <w:tc>
          <w:tcPr>
            <w:tcW w:w="1530" w:type="dxa"/>
          </w:tcPr>
          <w:p w14:paraId="27276696" w14:textId="4B5B09A8" w:rsidR="00E014BC" w:rsidRDefault="00E014BC" w:rsidP="00E014BC">
            <w:pPr>
              <w:spacing w:line="276" w:lineRule="auto"/>
              <w:cnfStyle w:val="000000000000" w:firstRow="0" w:lastRow="0" w:firstColumn="0" w:lastColumn="0" w:oddVBand="0" w:evenVBand="0" w:oddHBand="0" w:evenHBand="0" w:firstRowFirstColumn="0" w:firstRowLastColumn="0" w:lastRowFirstColumn="0" w:lastRowLastColumn="0"/>
            </w:pPr>
            <w:r>
              <w:t>&lt;.001</w:t>
            </w:r>
          </w:p>
        </w:tc>
        <w:tc>
          <w:tcPr>
            <w:tcW w:w="2610" w:type="dxa"/>
          </w:tcPr>
          <w:p w14:paraId="2D975AD7" w14:textId="2F8B13BF" w:rsidR="00E014BC" w:rsidRDefault="00E014BC" w:rsidP="00E014BC">
            <w:pPr>
              <w:spacing w:line="276" w:lineRule="auto"/>
              <w:cnfStyle w:val="000000000000" w:firstRow="0" w:lastRow="0" w:firstColumn="0" w:lastColumn="0" w:oddVBand="0" w:evenVBand="0" w:oddHBand="0" w:evenHBand="0" w:firstRowFirstColumn="0" w:firstRowLastColumn="0" w:lastRowFirstColumn="0" w:lastRowLastColumn="0"/>
            </w:pPr>
            <w:r>
              <w:t>(0.92, 0.96)</w:t>
            </w:r>
          </w:p>
        </w:tc>
      </w:tr>
      <w:tr w:rsidR="00690580" w14:paraId="6BE93B08"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193F7198" w14:textId="72B75652" w:rsidR="00690580" w:rsidRDefault="00E014BC" w:rsidP="002A500E">
            <w:pPr>
              <w:spacing w:line="276" w:lineRule="auto"/>
            </w:pPr>
            <w:r>
              <w:t>Month</w:t>
            </w:r>
            <w:r w:rsidR="00690580">
              <w:t xml:space="preserve"> (</w:t>
            </w:r>
            <w:r>
              <w:t>February</w:t>
            </w:r>
            <w:r w:rsidR="00690580">
              <w:t>)</w:t>
            </w:r>
          </w:p>
        </w:tc>
        <w:tc>
          <w:tcPr>
            <w:tcW w:w="1620" w:type="dxa"/>
          </w:tcPr>
          <w:p w14:paraId="31F596D5" w14:textId="1E1C18FC"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0.</w:t>
            </w:r>
            <w:r w:rsidR="00E014BC">
              <w:t>85</w:t>
            </w:r>
          </w:p>
        </w:tc>
        <w:tc>
          <w:tcPr>
            <w:tcW w:w="1530" w:type="dxa"/>
          </w:tcPr>
          <w:p w14:paraId="35A82F37" w14:textId="04FF758B" w:rsidR="00690580" w:rsidRDefault="00E014BC" w:rsidP="002A500E">
            <w:pPr>
              <w:spacing w:line="276" w:lineRule="auto"/>
              <w:cnfStyle w:val="000000100000" w:firstRow="0" w:lastRow="0" w:firstColumn="0" w:lastColumn="0" w:oddVBand="0" w:evenVBand="0" w:oddHBand="1" w:evenHBand="0" w:firstRowFirstColumn="0" w:firstRowLastColumn="0" w:lastRowFirstColumn="0" w:lastRowLastColumn="0"/>
            </w:pPr>
            <w:r>
              <w:t>0</w:t>
            </w:r>
            <w:r w:rsidR="00690580">
              <w:t>.00</w:t>
            </w:r>
            <w:r>
              <w:t>2</w:t>
            </w:r>
          </w:p>
        </w:tc>
        <w:tc>
          <w:tcPr>
            <w:tcW w:w="2610" w:type="dxa"/>
          </w:tcPr>
          <w:p w14:paraId="10280F8D" w14:textId="32FF42DE"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(0.</w:t>
            </w:r>
            <w:r w:rsidR="00E014BC">
              <w:t>7</w:t>
            </w:r>
            <w:r>
              <w:t>7, 0.</w:t>
            </w:r>
            <w:r w:rsidR="00E014BC">
              <w:t>94</w:t>
            </w:r>
            <w:r>
              <w:t>)</w:t>
            </w:r>
          </w:p>
        </w:tc>
      </w:tr>
      <w:tr w:rsidR="00690580" w14:paraId="69B8387E"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D8AA58E" w14:textId="18DE6376" w:rsidR="00690580" w:rsidRDefault="00E014BC" w:rsidP="002A500E">
            <w:pPr>
              <w:spacing w:line="276" w:lineRule="auto"/>
            </w:pPr>
            <w:r>
              <w:t>Month</w:t>
            </w:r>
            <w:r w:rsidR="00690580">
              <w:t xml:space="preserve"> (</w:t>
            </w:r>
            <w:r>
              <w:t>March</w:t>
            </w:r>
            <w:r w:rsidR="00690580">
              <w:t>)</w:t>
            </w:r>
          </w:p>
        </w:tc>
        <w:tc>
          <w:tcPr>
            <w:tcW w:w="1620" w:type="dxa"/>
          </w:tcPr>
          <w:p w14:paraId="7AFE17F7" w14:textId="21B3904B"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0.</w:t>
            </w:r>
            <w:r w:rsidR="00E014BC">
              <w:t>95</w:t>
            </w:r>
          </w:p>
        </w:tc>
        <w:tc>
          <w:tcPr>
            <w:tcW w:w="1530" w:type="dxa"/>
          </w:tcPr>
          <w:p w14:paraId="00EA67C7" w14:textId="0641AB04" w:rsidR="00690580" w:rsidRDefault="00E014BC" w:rsidP="002A500E">
            <w:pPr>
              <w:spacing w:line="276" w:lineRule="auto"/>
              <w:cnfStyle w:val="000000000000" w:firstRow="0" w:lastRow="0" w:firstColumn="0" w:lastColumn="0" w:oddVBand="0" w:evenVBand="0" w:oddHBand="0" w:evenHBand="0" w:firstRowFirstColumn="0" w:firstRowLastColumn="0" w:lastRowFirstColumn="0" w:lastRowLastColumn="0"/>
            </w:pPr>
            <w:r>
              <w:t>0</w:t>
            </w:r>
            <w:r w:rsidR="00690580">
              <w:t>.</w:t>
            </w:r>
            <w:r>
              <w:t>291</w:t>
            </w:r>
          </w:p>
        </w:tc>
        <w:tc>
          <w:tcPr>
            <w:tcW w:w="2610" w:type="dxa"/>
          </w:tcPr>
          <w:p w14:paraId="3B9BF950" w14:textId="730B2FF8"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(0.</w:t>
            </w:r>
            <w:r w:rsidR="00E014BC">
              <w:t>86</w:t>
            </w:r>
            <w:r>
              <w:t xml:space="preserve">, </w:t>
            </w:r>
            <w:r w:rsidR="00E014BC">
              <w:t>1.05</w:t>
            </w:r>
            <w:r>
              <w:t>)</w:t>
            </w:r>
          </w:p>
        </w:tc>
      </w:tr>
      <w:tr w:rsidR="00690580" w14:paraId="096AA44B"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5B5C3B8C" w14:textId="1A463C33" w:rsidR="00690580" w:rsidRDefault="00E014BC" w:rsidP="002A500E">
            <w:pPr>
              <w:spacing w:line="276" w:lineRule="auto"/>
            </w:pPr>
            <w:r>
              <w:t>Month</w:t>
            </w:r>
            <w:r w:rsidR="00690580">
              <w:t xml:space="preserve"> (</w:t>
            </w:r>
            <w:r>
              <w:t>April</w:t>
            </w:r>
            <w:r w:rsidR="00690580">
              <w:t>)</w:t>
            </w:r>
          </w:p>
        </w:tc>
        <w:tc>
          <w:tcPr>
            <w:tcW w:w="1620" w:type="dxa"/>
          </w:tcPr>
          <w:p w14:paraId="7C655AC6" w14:textId="24966ACA" w:rsidR="00690580" w:rsidRDefault="00E014BC" w:rsidP="002A500E">
            <w:pPr>
              <w:spacing w:line="276" w:lineRule="auto"/>
              <w:cnfStyle w:val="000000100000" w:firstRow="0" w:lastRow="0" w:firstColumn="0" w:lastColumn="0" w:oddVBand="0" w:evenVBand="0" w:oddHBand="1" w:evenHBand="0" w:firstRowFirstColumn="0" w:firstRowLastColumn="0" w:lastRowFirstColumn="0" w:lastRowLastColumn="0"/>
            </w:pPr>
            <w:r>
              <w:t>1.16</w:t>
            </w:r>
          </w:p>
        </w:tc>
        <w:tc>
          <w:tcPr>
            <w:tcW w:w="1530" w:type="dxa"/>
          </w:tcPr>
          <w:p w14:paraId="575853DE" w14:textId="031729A0" w:rsidR="00690580" w:rsidRDefault="00E014BC" w:rsidP="002A500E">
            <w:pPr>
              <w:spacing w:line="276" w:lineRule="auto"/>
              <w:cnfStyle w:val="000000100000" w:firstRow="0" w:lastRow="0" w:firstColumn="0" w:lastColumn="0" w:oddVBand="0" w:evenVBand="0" w:oddHBand="1" w:evenHBand="0" w:firstRowFirstColumn="0" w:firstRowLastColumn="0" w:lastRowFirstColumn="0" w:lastRowLastColumn="0"/>
            </w:pPr>
            <w:r>
              <w:t>0</w:t>
            </w:r>
            <w:r w:rsidR="00690580">
              <w:t>.00</w:t>
            </w:r>
            <w:r>
              <w:t>3</w:t>
            </w:r>
          </w:p>
        </w:tc>
        <w:tc>
          <w:tcPr>
            <w:tcW w:w="2610" w:type="dxa"/>
          </w:tcPr>
          <w:p w14:paraId="729641E3" w14:textId="6E3D4233"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w:t>
            </w:r>
            <w:r w:rsidR="00E014BC">
              <w:t>1.05</w:t>
            </w:r>
            <w:r>
              <w:t xml:space="preserve">, </w:t>
            </w:r>
            <w:r w:rsidR="00E014BC">
              <w:t>1.28</w:t>
            </w:r>
            <w:r>
              <w:t>)</w:t>
            </w:r>
          </w:p>
        </w:tc>
      </w:tr>
      <w:tr w:rsidR="00690580" w14:paraId="2446E8A6"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5B2D8A6A" w14:textId="0F00297A" w:rsidR="00690580" w:rsidRDefault="00E014BC" w:rsidP="002A500E">
            <w:pPr>
              <w:spacing w:line="276" w:lineRule="auto"/>
            </w:pPr>
            <w:r>
              <w:t>Month</w:t>
            </w:r>
            <w:r w:rsidR="00690580">
              <w:t xml:space="preserve"> (</w:t>
            </w:r>
            <w:r>
              <w:t>May</w:t>
            </w:r>
            <w:r w:rsidR="00690580">
              <w:t>)</w:t>
            </w:r>
          </w:p>
        </w:tc>
        <w:tc>
          <w:tcPr>
            <w:tcW w:w="1620" w:type="dxa"/>
          </w:tcPr>
          <w:p w14:paraId="7D23F50C" w14:textId="196D7786" w:rsidR="00690580" w:rsidRDefault="00E014BC" w:rsidP="002A500E">
            <w:pPr>
              <w:spacing w:line="276" w:lineRule="auto"/>
              <w:cnfStyle w:val="000000000000" w:firstRow="0" w:lastRow="0" w:firstColumn="0" w:lastColumn="0" w:oddVBand="0" w:evenVBand="0" w:oddHBand="0" w:evenHBand="0" w:firstRowFirstColumn="0" w:firstRowLastColumn="0" w:lastRowFirstColumn="0" w:lastRowLastColumn="0"/>
            </w:pPr>
            <w:r>
              <w:t>1.46</w:t>
            </w:r>
          </w:p>
        </w:tc>
        <w:tc>
          <w:tcPr>
            <w:tcW w:w="1530" w:type="dxa"/>
          </w:tcPr>
          <w:p w14:paraId="677CC6D1"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&lt;.001</w:t>
            </w:r>
          </w:p>
        </w:tc>
        <w:tc>
          <w:tcPr>
            <w:tcW w:w="2610" w:type="dxa"/>
          </w:tcPr>
          <w:p w14:paraId="38E42AB3" w14:textId="505BBB70"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w:t>
            </w:r>
            <w:r w:rsidR="00E014BC">
              <w:t>1.32</w:t>
            </w:r>
            <w:r>
              <w:t xml:space="preserve">, </w:t>
            </w:r>
            <w:r w:rsidR="00E014BC">
              <w:t>1.6</w:t>
            </w:r>
            <w:r>
              <w:t>)</w:t>
            </w:r>
          </w:p>
        </w:tc>
      </w:tr>
      <w:tr w:rsidR="00690580" w14:paraId="4A314F2A"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4F57F70E" w14:textId="2FB2828C" w:rsidR="00690580" w:rsidRDefault="00E014BC" w:rsidP="002A500E">
            <w:pPr>
              <w:spacing w:line="276" w:lineRule="auto"/>
            </w:pPr>
            <w:r>
              <w:t>Month</w:t>
            </w:r>
            <w:r w:rsidR="00690580">
              <w:t xml:space="preserve"> (</w:t>
            </w:r>
            <w:r>
              <w:t>June</w:t>
            </w:r>
            <w:r w:rsidR="00690580">
              <w:t>)</w:t>
            </w:r>
          </w:p>
        </w:tc>
        <w:tc>
          <w:tcPr>
            <w:tcW w:w="1620" w:type="dxa"/>
          </w:tcPr>
          <w:p w14:paraId="7CADAA40" w14:textId="380727B8" w:rsidR="00690580" w:rsidRDefault="00E014BC" w:rsidP="002A500E">
            <w:pPr>
              <w:spacing w:line="276" w:lineRule="auto"/>
              <w:cnfStyle w:val="000000100000" w:firstRow="0" w:lastRow="0" w:firstColumn="0" w:lastColumn="0" w:oddVBand="0" w:evenVBand="0" w:oddHBand="1" w:evenHBand="0" w:firstRowFirstColumn="0" w:firstRowLastColumn="0" w:lastRowFirstColumn="0" w:lastRowLastColumn="0"/>
            </w:pPr>
            <w:r>
              <w:t>1.61</w:t>
            </w:r>
          </w:p>
        </w:tc>
        <w:tc>
          <w:tcPr>
            <w:tcW w:w="1530" w:type="dxa"/>
          </w:tcPr>
          <w:p w14:paraId="2D69551C"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&lt;.001</w:t>
            </w:r>
          </w:p>
        </w:tc>
        <w:tc>
          <w:tcPr>
            <w:tcW w:w="2610" w:type="dxa"/>
          </w:tcPr>
          <w:p w14:paraId="3CF2D064" w14:textId="24B03E6F"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w:t>
            </w:r>
            <w:r w:rsidR="00E014BC">
              <w:t>1.47</w:t>
            </w:r>
            <w:r>
              <w:t xml:space="preserve">, </w:t>
            </w:r>
            <w:r w:rsidR="00E014BC">
              <w:t>1.77</w:t>
            </w:r>
            <w:r>
              <w:t>)</w:t>
            </w:r>
          </w:p>
        </w:tc>
      </w:tr>
      <w:tr w:rsidR="00690580" w14:paraId="5DB6E289"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0B6D8FF" w14:textId="46B31B86" w:rsidR="00690580" w:rsidRDefault="00E014BC" w:rsidP="002A500E">
            <w:pPr>
              <w:spacing w:line="276" w:lineRule="auto"/>
            </w:pPr>
            <w:r>
              <w:t>Month</w:t>
            </w:r>
            <w:r w:rsidR="00690580">
              <w:t xml:space="preserve"> (</w:t>
            </w:r>
            <w:r>
              <w:t>July</w:t>
            </w:r>
            <w:r w:rsidR="00690580">
              <w:t>)</w:t>
            </w:r>
          </w:p>
        </w:tc>
        <w:tc>
          <w:tcPr>
            <w:tcW w:w="1620" w:type="dxa"/>
          </w:tcPr>
          <w:p w14:paraId="61AF8733" w14:textId="5D67C7BB" w:rsidR="00690580" w:rsidRDefault="002F6ED1" w:rsidP="002A500E">
            <w:pPr>
              <w:spacing w:line="276" w:lineRule="auto"/>
              <w:cnfStyle w:val="000000000000" w:firstRow="0" w:lastRow="0" w:firstColumn="0" w:lastColumn="0" w:oddVBand="0" w:evenVBand="0" w:oddHBand="0" w:evenHBand="0" w:firstRowFirstColumn="0" w:firstRowLastColumn="0" w:lastRowFirstColumn="0" w:lastRowLastColumn="0"/>
            </w:pPr>
            <w:r>
              <w:t>1.76</w:t>
            </w:r>
          </w:p>
        </w:tc>
        <w:tc>
          <w:tcPr>
            <w:tcW w:w="1530" w:type="dxa"/>
          </w:tcPr>
          <w:p w14:paraId="25E2A431" w14:textId="77777777"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&lt;.001</w:t>
            </w:r>
          </w:p>
        </w:tc>
        <w:tc>
          <w:tcPr>
            <w:tcW w:w="2610" w:type="dxa"/>
          </w:tcPr>
          <w:p w14:paraId="02C1BE87" w14:textId="0E8C2B9D"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w:t>
            </w:r>
            <w:r w:rsidR="002F6ED1">
              <w:t>1.61</w:t>
            </w:r>
            <w:r>
              <w:t xml:space="preserve">, </w:t>
            </w:r>
            <w:r w:rsidR="002F6ED1">
              <w:t>1.93</w:t>
            </w:r>
            <w:r>
              <w:t>)</w:t>
            </w:r>
          </w:p>
        </w:tc>
      </w:tr>
      <w:tr w:rsidR="00690580" w14:paraId="075974D7"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4C1D8307" w14:textId="6D1AFB55" w:rsidR="00690580" w:rsidRDefault="00E014BC" w:rsidP="002A500E">
            <w:pPr>
              <w:spacing w:line="276" w:lineRule="auto"/>
            </w:pPr>
            <w:r>
              <w:t>Month</w:t>
            </w:r>
            <w:r w:rsidR="00690580">
              <w:t xml:space="preserve"> (</w:t>
            </w:r>
            <w:r>
              <w:t>August</w:t>
            </w:r>
            <w:r w:rsidR="00690580">
              <w:t>)</w:t>
            </w:r>
          </w:p>
        </w:tc>
        <w:tc>
          <w:tcPr>
            <w:tcW w:w="1620" w:type="dxa"/>
          </w:tcPr>
          <w:p w14:paraId="23388B8C" w14:textId="7D136531" w:rsidR="00690580" w:rsidRDefault="002F6ED1" w:rsidP="002A500E">
            <w:pPr>
              <w:spacing w:line="276" w:lineRule="auto"/>
              <w:cnfStyle w:val="000000100000" w:firstRow="0" w:lastRow="0" w:firstColumn="0" w:lastColumn="0" w:oddVBand="0" w:evenVBand="0" w:oddHBand="1" w:evenHBand="0" w:firstRowFirstColumn="0" w:firstRowLastColumn="0" w:lastRowFirstColumn="0" w:lastRowLastColumn="0"/>
            </w:pPr>
            <w:r>
              <w:t>1.76</w:t>
            </w:r>
          </w:p>
        </w:tc>
        <w:tc>
          <w:tcPr>
            <w:tcW w:w="1530" w:type="dxa"/>
          </w:tcPr>
          <w:p w14:paraId="4B4E31D5" w14:textId="77777777"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&lt;.001</w:t>
            </w:r>
          </w:p>
        </w:tc>
        <w:tc>
          <w:tcPr>
            <w:tcW w:w="2610" w:type="dxa"/>
          </w:tcPr>
          <w:p w14:paraId="11DA8628" w14:textId="1518E52C"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w:t>
            </w:r>
            <w:r w:rsidR="002F6ED1">
              <w:t>1.6</w:t>
            </w:r>
            <w:r>
              <w:t xml:space="preserve">, </w:t>
            </w:r>
            <w:r w:rsidR="002F6ED1">
              <w:t>1.92</w:t>
            </w:r>
            <w:r>
              <w:t>)</w:t>
            </w:r>
          </w:p>
        </w:tc>
      </w:tr>
      <w:tr w:rsidR="00690580" w14:paraId="30040DDA" w14:textId="77777777" w:rsidTr="002A500E">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0DE41A73" w14:textId="14F620D2" w:rsidR="00690580" w:rsidRDefault="00E014BC" w:rsidP="002A500E">
            <w:pPr>
              <w:spacing w:line="276" w:lineRule="auto"/>
            </w:pPr>
            <w:r>
              <w:t>Month</w:t>
            </w:r>
            <w:r w:rsidR="00690580">
              <w:t xml:space="preserve"> (</w:t>
            </w:r>
            <w:r>
              <w:t>September</w:t>
            </w:r>
            <w:r w:rsidR="00690580">
              <w:t>)</w:t>
            </w:r>
          </w:p>
        </w:tc>
        <w:tc>
          <w:tcPr>
            <w:tcW w:w="1620" w:type="dxa"/>
          </w:tcPr>
          <w:p w14:paraId="02D7660D" w14:textId="60C5A570" w:rsidR="00690580" w:rsidRDefault="002F6ED1" w:rsidP="002A500E">
            <w:pPr>
              <w:spacing w:line="276" w:lineRule="auto"/>
              <w:cnfStyle w:val="000000000000" w:firstRow="0" w:lastRow="0" w:firstColumn="0" w:lastColumn="0" w:oddVBand="0" w:evenVBand="0" w:oddHBand="0" w:evenHBand="0" w:firstRowFirstColumn="0" w:firstRowLastColumn="0" w:lastRowFirstColumn="0" w:lastRowLastColumn="0"/>
            </w:pPr>
            <w:r>
              <w:t>1.5</w:t>
            </w:r>
          </w:p>
        </w:tc>
        <w:tc>
          <w:tcPr>
            <w:tcW w:w="1530" w:type="dxa"/>
          </w:tcPr>
          <w:p w14:paraId="1C72C403" w14:textId="5E159204" w:rsidR="00690580" w:rsidRDefault="002F6ED1" w:rsidP="002A500E">
            <w:pPr>
              <w:spacing w:line="276" w:lineRule="auto"/>
              <w:cnfStyle w:val="000000000000" w:firstRow="0" w:lastRow="0" w:firstColumn="0" w:lastColumn="0" w:oddVBand="0" w:evenVBand="0" w:oddHBand="0" w:evenHBand="0" w:firstRowFirstColumn="0" w:firstRowLastColumn="0" w:lastRowFirstColumn="0" w:lastRowLastColumn="0"/>
            </w:pPr>
            <w:r>
              <w:t>&lt;</w:t>
            </w:r>
            <w:r w:rsidR="00690580">
              <w:t>.001</w:t>
            </w:r>
          </w:p>
        </w:tc>
        <w:tc>
          <w:tcPr>
            <w:tcW w:w="2610" w:type="dxa"/>
          </w:tcPr>
          <w:p w14:paraId="79D65EE9" w14:textId="195A2120"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w:t>
            </w:r>
            <w:r w:rsidR="002F6ED1">
              <w:t>1.37</w:t>
            </w:r>
            <w:r>
              <w:t xml:space="preserve">, </w:t>
            </w:r>
            <w:r w:rsidR="002F6ED1">
              <w:t>1.65</w:t>
            </w:r>
            <w:r>
              <w:t>)</w:t>
            </w:r>
          </w:p>
        </w:tc>
      </w:tr>
      <w:tr w:rsidR="00690580" w14:paraId="10A34D04" w14:textId="77777777" w:rsidTr="002A50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6942BC1" w14:textId="70BF106F" w:rsidR="00690580" w:rsidRDefault="00E014BC" w:rsidP="002A500E">
            <w:pPr>
              <w:spacing w:line="276" w:lineRule="auto"/>
            </w:pPr>
            <w:r>
              <w:t>Month</w:t>
            </w:r>
            <w:r w:rsidR="00690580">
              <w:t xml:space="preserve"> (</w:t>
            </w:r>
            <w:r>
              <w:t>October</w:t>
            </w:r>
            <w:r w:rsidR="00690580">
              <w:t>)</w:t>
            </w:r>
          </w:p>
        </w:tc>
        <w:tc>
          <w:tcPr>
            <w:tcW w:w="1620" w:type="dxa"/>
          </w:tcPr>
          <w:p w14:paraId="1D5F5080" w14:textId="2DF5D7B3" w:rsidR="00690580" w:rsidRDefault="002F6ED1" w:rsidP="002A500E">
            <w:pPr>
              <w:spacing w:line="276" w:lineRule="auto"/>
              <w:cnfStyle w:val="000000100000" w:firstRow="0" w:lastRow="0" w:firstColumn="0" w:lastColumn="0" w:oddVBand="0" w:evenVBand="0" w:oddHBand="1" w:evenHBand="0" w:firstRowFirstColumn="0" w:firstRowLastColumn="0" w:lastRowFirstColumn="0" w:lastRowLastColumn="0"/>
            </w:pPr>
            <w:r>
              <w:t>1.35</w:t>
            </w:r>
          </w:p>
        </w:tc>
        <w:tc>
          <w:tcPr>
            <w:tcW w:w="1530" w:type="dxa"/>
          </w:tcPr>
          <w:p w14:paraId="6C9FF99E" w14:textId="55EF9A39" w:rsidR="00690580" w:rsidRDefault="002F6ED1" w:rsidP="002A500E">
            <w:pPr>
              <w:spacing w:line="276" w:lineRule="auto"/>
              <w:cnfStyle w:val="000000100000" w:firstRow="0" w:lastRow="0" w:firstColumn="0" w:lastColumn="0" w:oddVBand="0" w:evenVBand="0" w:oddHBand="1" w:evenHBand="0" w:firstRowFirstColumn="0" w:firstRowLastColumn="0" w:lastRowFirstColumn="0" w:lastRowLastColumn="0"/>
            </w:pPr>
            <w:r>
              <w:t>&lt;</w:t>
            </w:r>
            <w:r w:rsidR="00690580">
              <w:t>.001</w:t>
            </w:r>
          </w:p>
        </w:tc>
        <w:tc>
          <w:tcPr>
            <w:tcW w:w="2610" w:type="dxa"/>
          </w:tcPr>
          <w:p w14:paraId="5038084D" w14:textId="382A28F3"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w:t>
            </w:r>
            <w:r w:rsidR="002F6ED1">
              <w:t>1.22</w:t>
            </w:r>
            <w:r>
              <w:t xml:space="preserve">, </w:t>
            </w:r>
            <w:r w:rsidR="002F6ED1">
              <w:t>1.48</w:t>
            </w:r>
            <w:r>
              <w:t>)</w:t>
            </w:r>
          </w:p>
        </w:tc>
      </w:tr>
      <w:tr w:rsidR="00690580" w14:paraId="0DFA1313" w14:textId="77777777" w:rsidTr="00391B45">
        <w:trPr>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7F7F7F" w:themeColor="text1" w:themeTint="80"/>
            </w:tcBorders>
          </w:tcPr>
          <w:p w14:paraId="63CE3A2A" w14:textId="5D52D634" w:rsidR="00690580" w:rsidRDefault="00E014BC" w:rsidP="002A500E">
            <w:pPr>
              <w:spacing w:line="276" w:lineRule="auto"/>
            </w:pPr>
            <w:r>
              <w:t>Month</w:t>
            </w:r>
            <w:r w:rsidR="00690580">
              <w:t xml:space="preserve"> (</w:t>
            </w:r>
            <w:r>
              <w:t>November</w:t>
            </w:r>
            <w:r w:rsidR="00690580">
              <w:t>)</w:t>
            </w:r>
          </w:p>
        </w:tc>
        <w:tc>
          <w:tcPr>
            <w:tcW w:w="1620" w:type="dxa"/>
            <w:tcBorders>
              <w:bottom w:val="single" w:sz="4" w:space="0" w:color="7F7F7F" w:themeColor="text1" w:themeTint="80"/>
            </w:tcBorders>
          </w:tcPr>
          <w:p w14:paraId="799A416F" w14:textId="4F9142DC" w:rsidR="00690580" w:rsidRDefault="002F6ED1" w:rsidP="002A500E">
            <w:pPr>
              <w:spacing w:line="276" w:lineRule="auto"/>
              <w:cnfStyle w:val="000000000000" w:firstRow="0" w:lastRow="0" w:firstColumn="0" w:lastColumn="0" w:oddVBand="0" w:evenVBand="0" w:oddHBand="0" w:evenHBand="0" w:firstRowFirstColumn="0" w:firstRowLastColumn="0" w:lastRowFirstColumn="0" w:lastRowLastColumn="0"/>
            </w:pPr>
            <w:r>
              <w:t>1.17</w:t>
            </w:r>
          </w:p>
        </w:tc>
        <w:tc>
          <w:tcPr>
            <w:tcW w:w="1530" w:type="dxa"/>
            <w:tcBorders>
              <w:bottom w:val="single" w:sz="4" w:space="0" w:color="7F7F7F" w:themeColor="text1" w:themeTint="80"/>
            </w:tcBorders>
          </w:tcPr>
          <w:p w14:paraId="2DCD39E9" w14:textId="21343A35" w:rsidR="00690580" w:rsidRDefault="002F6ED1" w:rsidP="002A500E">
            <w:pPr>
              <w:spacing w:line="276" w:lineRule="auto"/>
              <w:cnfStyle w:val="000000000000" w:firstRow="0" w:lastRow="0" w:firstColumn="0" w:lastColumn="0" w:oddVBand="0" w:evenVBand="0" w:oddHBand="0" w:evenHBand="0" w:firstRowFirstColumn="0" w:firstRowLastColumn="0" w:lastRowFirstColumn="0" w:lastRowLastColumn="0"/>
            </w:pPr>
            <w:r>
              <w:t>0</w:t>
            </w:r>
            <w:r w:rsidR="00690580">
              <w:t>.00</w:t>
            </w:r>
            <w:r>
              <w:t>2</w:t>
            </w:r>
          </w:p>
        </w:tc>
        <w:tc>
          <w:tcPr>
            <w:tcW w:w="2610" w:type="dxa"/>
            <w:tcBorders>
              <w:bottom w:val="single" w:sz="4" w:space="0" w:color="7F7F7F" w:themeColor="text1" w:themeTint="80"/>
            </w:tcBorders>
          </w:tcPr>
          <w:p w14:paraId="3533596A" w14:textId="4367893F" w:rsidR="00690580" w:rsidRDefault="00690580" w:rsidP="002A500E">
            <w:pPr>
              <w:spacing w:line="276" w:lineRule="auto"/>
              <w:cnfStyle w:val="000000000000" w:firstRow="0" w:lastRow="0" w:firstColumn="0" w:lastColumn="0" w:oddVBand="0" w:evenVBand="0" w:oddHBand="0" w:evenHBand="0" w:firstRowFirstColumn="0" w:firstRowLastColumn="0" w:lastRowFirstColumn="0" w:lastRowLastColumn="0"/>
            </w:pPr>
            <w:r>
              <w:t>(</w:t>
            </w:r>
            <w:r w:rsidR="002F6ED1">
              <w:t>1</w:t>
            </w:r>
            <w:r>
              <w:t>.0</w:t>
            </w:r>
            <w:r w:rsidR="002F6ED1">
              <w:t>6</w:t>
            </w:r>
            <w:r>
              <w:t xml:space="preserve">, </w:t>
            </w:r>
            <w:r w:rsidR="002F6ED1">
              <w:t>1</w:t>
            </w:r>
            <w:r>
              <w:t>.2</w:t>
            </w:r>
            <w:r w:rsidR="002F6ED1">
              <w:t>9</w:t>
            </w:r>
            <w:r>
              <w:t>)</w:t>
            </w:r>
          </w:p>
        </w:tc>
      </w:tr>
      <w:tr w:rsidR="00690580" w14:paraId="5749633F" w14:textId="77777777" w:rsidTr="00391B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8" w:space="0" w:color="auto"/>
            </w:tcBorders>
          </w:tcPr>
          <w:p w14:paraId="4DBA7207" w14:textId="5CA5A53B" w:rsidR="00690580" w:rsidRDefault="00E014BC" w:rsidP="002A500E">
            <w:pPr>
              <w:spacing w:line="276" w:lineRule="auto"/>
            </w:pPr>
            <w:r>
              <w:t>Month</w:t>
            </w:r>
            <w:r w:rsidR="00690580">
              <w:t xml:space="preserve"> (</w:t>
            </w:r>
            <w:r>
              <w:t>December</w:t>
            </w:r>
            <w:r w:rsidR="00690580">
              <w:t>)</w:t>
            </w:r>
          </w:p>
        </w:tc>
        <w:tc>
          <w:tcPr>
            <w:tcW w:w="1620" w:type="dxa"/>
            <w:tcBorders>
              <w:bottom w:val="single" w:sz="8" w:space="0" w:color="auto"/>
            </w:tcBorders>
          </w:tcPr>
          <w:p w14:paraId="04B5643E" w14:textId="395CA280" w:rsidR="00690580" w:rsidRDefault="002F6ED1" w:rsidP="002A500E">
            <w:pPr>
              <w:spacing w:line="276" w:lineRule="auto"/>
              <w:cnfStyle w:val="000000100000" w:firstRow="0" w:lastRow="0" w:firstColumn="0" w:lastColumn="0" w:oddVBand="0" w:evenVBand="0" w:oddHBand="1" w:evenHBand="0" w:firstRowFirstColumn="0" w:firstRowLastColumn="0" w:lastRowFirstColumn="0" w:lastRowLastColumn="0"/>
            </w:pPr>
            <w:r>
              <w:t>1.17</w:t>
            </w:r>
          </w:p>
        </w:tc>
        <w:tc>
          <w:tcPr>
            <w:tcW w:w="1530" w:type="dxa"/>
            <w:tcBorders>
              <w:bottom w:val="single" w:sz="8" w:space="0" w:color="auto"/>
            </w:tcBorders>
          </w:tcPr>
          <w:p w14:paraId="3DD34F01" w14:textId="3F79827F" w:rsidR="00690580" w:rsidRDefault="002F6ED1" w:rsidP="002A500E">
            <w:pPr>
              <w:spacing w:line="276" w:lineRule="auto"/>
              <w:cnfStyle w:val="000000100000" w:firstRow="0" w:lastRow="0" w:firstColumn="0" w:lastColumn="0" w:oddVBand="0" w:evenVBand="0" w:oddHBand="1" w:evenHBand="0" w:firstRowFirstColumn="0" w:firstRowLastColumn="0" w:lastRowFirstColumn="0" w:lastRowLastColumn="0"/>
            </w:pPr>
            <w:r>
              <w:t>0</w:t>
            </w:r>
            <w:r w:rsidR="00690580">
              <w:t>.001</w:t>
            </w:r>
          </w:p>
        </w:tc>
        <w:tc>
          <w:tcPr>
            <w:tcW w:w="2610" w:type="dxa"/>
            <w:tcBorders>
              <w:bottom w:val="single" w:sz="8" w:space="0" w:color="auto"/>
            </w:tcBorders>
          </w:tcPr>
          <w:p w14:paraId="6E8AA0D8" w14:textId="6F124ED0" w:rsidR="00690580" w:rsidRDefault="00690580" w:rsidP="002A500E">
            <w:pPr>
              <w:spacing w:line="276" w:lineRule="auto"/>
              <w:cnfStyle w:val="000000100000" w:firstRow="0" w:lastRow="0" w:firstColumn="0" w:lastColumn="0" w:oddVBand="0" w:evenVBand="0" w:oddHBand="1" w:evenHBand="0" w:firstRowFirstColumn="0" w:firstRowLastColumn="0" w:lastRowFirstColumn="0" w:lastRowLastColumn="0"/>
            </w:pPr>
            <w:r>
              <w:t>(</w:t>
            </w:r>
            <w:r w:rsidR="002F6ED1">
              <w:t>1.06</w:t>
            </w:r>
            <w:r>
              <w:t xml:space="preserve">, </w:t>
            </w:r>
            <w:r w:rsidR="002F6ED1">
              <w:t>1.29</w:t>
            </w:r>
            <w:r>
              <w:t>)</w:t>
            </w:r>
          </w:p>
        </w:tc>
      </w:tr>
    </w:tbl>
    <w:p w14:paraId="268B1EDD" w14:textId="5F0F8565" w:rsidR="00690580" w:rsidRDefault="00690580"/>
    <w:p w14:paraId="717D6402" w14:textId="16BDBBE8" w:rsidR="00587C33" w:rsidRDefault="00587C33"/>
    <w:p w14:paraId="07DE6915" w14:textId="75C4E7F7" w:rsidR="00587C33" w:rsidRDefault="00587C33">
      <w:r>
        <w:t>Month Table:</w:t>
      </w:r>
    </w:p>
    <w:tbl>
      <w:tblPr>
        <w:tblStyle w:val="TableGrid"/>
        <w:tblW w:w="0" w:type="auto"/>
        <w:tblLook w:val="04A0" w:firstRow="1" w:lastRow="0" w:firstColumn="1" w:lastColumn="0" w:noHBand="0" w:noVBand="1"/>
      </w:tblPr>
      <w:tblGrid>
        <w:gridCol w:w="2517"/>
        <w:gridCol w:w="2517"/>
        <w:gridCol w:w="2518"/>
        <w:gridCol w:w="2518"/>
      </w:tblGrid>
      <w:tr w:rsidR="00587C33" w14:paraId="5B496070" w14:textId="77777777" w:rsidTr="00587C33">
        <w:tc>
          <w:tcPr>
            <w:tcW w:w="2517" w:type="dxa"/>
          </w:tcPr>
          <w:p w14:paraId="3544F1FE" w14:textId="3F4BFFFF" w:rsidR="00587C33" w:rsidRDefault="00587C33" w:rsidP="00587C33">
            <w:bookmarkStart w:id="0" w:name="_GoBack" w:colFirst="0" w:colLast="3"/>
            <w:r>
              <w:t>Variable</w:t>
            </w:r>
          </w:p>
        </w:tc>
        <w:tc>
          <w:tcPr>
            <w:tcW w:w="2517" w:type="dxa"/>
          </w:tcPr>
          <w:p w14:paraId="310468CD" w14:textId="68D1AE00" w:rsidR="00587C33" w:rsidRDefault="00587C33" w:rsidP="00587C33">
            <w:r>
              <w:t>Estimate</w:t>
            </w:r>
          </w:p>
        </w:tc>
        <w:tc>
          <w:tcPr>
            <w:tcW w:w="2518" w:type="dxa"/>
          </w:tcPr>
          <w:p w14:paraId="11355DE9" w14:textId="445E8BA1" w:rsidR="00587C33" w:rsidRDefault="00587C33" w:rsidP="00587C33">
            <w:r>
              <w:t>P-Value</w:t>
            </w:r>
          </w:p>
        </w:tc>
        <w:tc>
          <w:tcPr>
            <w:tcW w:w="2518" w:type="dxa"/>
          </w:tcPr>
          <w:p w14:paraId="47607A87" w14:textId="72F6F47D" w:rsidR="00587C33" w:rsidRDefault="00587C33" w:rsidP="00587C33">
            <w:r>
              <w:t>95% CI</w:t>
            </w:r>
          </w:p>
        </w:tc>
      </w:tr>
      <w:tr w:rsidR="00587C33" w14:paraId="451FB247" w14:textId="77777777" w:rsidTr="00587C33">
        <w:tc>
          <w:tcPr>
            <w:tcW w:w="2517" w:type="dxa"/>
          </w:tcPr>
          <w:p w14:paraId="290588E6" w14:textId="61A8C289" w:rsidR="00587C33" w:rsidRDefault="00587C33" w:rsidP="00587C33">
            <w:r>
              <w:t>Intercept</w:t>
            </w:r>
          </w:p>
        </w:tc>
        <w:tc>
          <w:tcPr>
            <w:tcW w:w="2517" w:type="dxa"/>
          </w:tcPr>
          <w:p w14:paraId="54619BB9" w14:textId="32FA8384" w:rsidR="00587C33" w:rsidRDefault="00587C33" w:rsidP="00587C33">
            <w:r>
              <w:t>312.67</w:t>
            </w:r>
          </w:p>
        </w:tc>
        <w:tc>
          <w:tcPr>
            <w:tcW w:w="2518" w:type="dxa"/>
          </w:tcPr>
          <w:p w14:paraId="3F9FDC94" w14:textId="6CCF61F5" w:rsidR="00587C33" w:rsidRDefault="00587C33" w:rsidP="00587C33">
            <w:r>
              <w:t>&lt;.001</w:t>
            </w:r>
          </w:p>
        </w:tc>
        <w:tc>
          <w:tcPr>
            <w:tcW w:w="2518" w:type="dxa"/>
          </w:tcPr>
          <w:p w14:paraId="72DDE178" w14:textId="6F9A5715" w:rsidR="00587C33" w:rsidRDefault="00BF458A" w:rsidP="00587C33">
            <w:r>
              <w:t>(121.31, 145.09)</w:t>
            </w:r>
          </w:p>
        </w:tc>
      </w:tr>
      <w:tr w:rsidR="00587C33" w14:paraId="4FE3F0C9" w14:textId="77777777" w:rsidTr="00587C33">
        <w:tc>
          <w:tcPr>
            <w:tcW w:w="2517" w:type="dxa"/>
          </w:tcPr>
          <w:p w14:paraId="6C072708" w14:textId="223BE700" w:rsidR="00587C33" w:rsidRDefault="00587C33" w:rsidP="00587C33">
            <w:r>
              <w:t>Baseline Slope</w:t>
            </w:r>
          </w:p>
        </w:tc>
        <w:tc>
          <w:tcPr>
            <w:tcW w:w="2517" w:type="dxa"/>
          </w:tcPr>
          <w:p w14:paraId="6971448E" w14:textId="534E26BD" w:rsidR="00587C33" w:rsidRDefault="00587C33" w:rsidP="00587C33">
            <w:r>
              <w:t>0.999</w:t>
            </w:r>
          </w:p>
        </w:tc>
        <w:tc>
          <w:tcPr>
            <w:tcW w:w="2518" w:type="dxa"/>
          </w:tcPr>
          <w:p w14:paraId="395FF618" w14:textId="3C98B92F" w:rsidR="00587C33" w:rsidRDefault="00BF458A" w:rsidP="00587C33">
            <w:r>
              <w:t>0.028</w:t>
            </w:r>
          </w:p>
        </w:tc>
        <w:tc>
          <w:tcPr>
            <w:tcW w:w="2518" w:type="dxa"/>
          </w:tcPr>
          <w:p w14:paraId="3170CFE2" w14:textId="4AE84B32" w:rsidR="00587C33" w:rsidRDefault="00BF458A" w:rsidP="00587C33">
            <w:r>
              <w:t>(1,1)</w:t>
            </w:r>
          </w:p>
        </w:tc>
      </w:tr>
      <w:tr w:rsidR="00587C33" w14:paraId="12251E96" w14:textId="77777777" w:rsidTr="00587C33">
        <w:tc>
          <w:tcPr>
            <w:tcW w:w="2517" w:type="dxa"/>
          </w:tcPr>
          <w:p w14:paraId="76992722" w14:textId="29BBFC18" w:rsidR="00587C33" w:rsidRDefault="00587C33" w:rsidP="00587C33">
            <w:r>
              <w:t>Pre-Post SAFE Act</w:t>
            </w:r>
          </w:p>
        </w:tc>
        <w:tc>
          <w:tcPr>
            <w:tcW w:w="2517" w:type="dxa"/>
          </w:tcPr>
          <w:p w14:paraId="6C7F3491" w14:textId="3829F42C" w:rsidR="00587C33" w:rsidRDefault="00587C33" w:rsidP="00587C33">
            <w:r>
              <w:t>0.875</w:t>
            </w:r>
          </w:p>
        </w:tc>
        <w:tc>
          <w:tcPr>
            <w:tcW w:w="2518" w:type="dxa"/>
          </w:tcPr>
          <w:p w14:paraId="67108A32" w14:textId="6DA5C59B" w:rsidR="00587C33" w:rsidRDefault="00BF458A" w:rsidP="00587C33">
            <w:r>
              <w:t>0.002</w:t>
            </w:r>
          </w:p>
        </w:tc>
        <w:tc>
          <w:tcPr>
            <w:tcW w:w="2518" w:type="dxa"/>
          </w:tcPr>
          <w:p w14:paraId="0092932F" w14:textId="7A19E1A0" w:rsidR="00587C33" w:rsidRDefault="00BF458A" w:rsidP="00587C33">
            <w:r>
              <w:t>(0.8, 0.95)</w:t>
            </w:r>
          </w:p>
        </w:tc>
      </w:tr>
      <w:tr w:rsidR="00587C33" w14:paraId="31467D4D" w14:textId="77777777" w:rsidTr="00587C33">
        <w:tc>
          <w:tcPr>
            <w:tcW w:w="2517" w:type="dxa"/>
          </w:tcPr>
          <w:p w14:paraId="35130FED" w14:textId="1715B45D" w:rsidR="00587C33" w:rsidRDefault="00587C33" w:rsidP="00587C33">
            <w:r>
              <w:t>Slope Change</w:t>
            </w:r>
          </w:p>
        </w:tc>
        <w:tc>
          <w:tcPr>
            <w:tcW w:w="2517" w:type="dxa"/>
          </w:tcPr>
          <w:p w14:paraId="3756B540" w14:textId="3E6C3523" w:rsidR="00587C33" w:rsidRDefault="00587C33" w:rsidP="00587C33">
            <w:r>
              <w:t>0.995</w:t>
            </w:r>
          </w:p>
        </w:tc>
        <w:tc>
          <w:tcPr>
            <w:tcW w:w="2518" w:type="dxa"/>
          </w:tcPr>
          <w:p w14:paraId="147438A6" w14:textId="464580FF" w:rsidR="00587C33" w:rsidRDefault="00587C33" w:rsidP="00587C33">
            <w:r>
              <w:t>&lt;.001</w:t>
            </w:r>
          </w:p>
        </w:tc>
        <w:tc>
          <w:tcPr>
            <w:tcW w:w="2518" w:type="dxa"/>
          </w:tcPr>
          <w:p w14:paraId="49ADF2C0" w14:textId="425DFA60" w:rsidR="00587C33" w:rsidRDefault="00BF458A" w:rsidP="00587C33">
            <w:r>
              <w:t>(0.99, 1)</w:t>
            </w:r>
          </w:p>
        </w:tc>
      </w:tr>
      <w:tr w:rsidR="00587C33" w14:paraId="3119C709" w14:textId="77777777" w:rsidTr="00587C33">
        <w:tc>
          <w:tcPr>
            <w:tcW w:w="2517" w:type="dxa"/>
          </w:tcPr>
          <w:p w14:paraId="7841CCBC" w14:textId="2148E6E4" w:rsidR="00587C33" w:rsidRDefault="00587C33" w:rsidP="00587C33">
            <w:r>
              <w:t>Month (February)</w:t>
            </w:r>
          </w:p>
        </w:tc>
        <w:tc>
          <w:tcPr>
            <w:tcW w:w="2517" w:type="dxa"/>
          </w:tcPr>
          <w:p w14:paraId="0F58395E" w14:textId="55FECDF2" w:rsidR="00587C33" w:rsidRDefault="00587C33" w:rsidP="00587C33">
            <w:r>
              <w:t>0.792</w:t>
            </w:r>
          </w:p>
        </w:tc>
        <w:tc>
          <w:tcPr>
            <w:tcW w:w="2518" w:type="dxa"/>
          </w:tcPr>
          <w:p w14:paraId="469D825F" w14:textId="73729C29" w:rsidR="00587C33" w:rsidRDefault="00587C33" w:rsidP="00587C33">
            <w:r>
              <w:t>&lt;.001</w:t>
            </w:r>
          </w:p>
        </w:tc>
        <w:tc>
          <w:tcPr>
            <w:tcW w:w="2518" w:type="dxa"/>
          </w:tcPr>
          <w:p w14:paraId="239F4B55" w14:textId="3016B004" w:rsidR="00587C33" w:rsidRDefault="00BF458A" w:rsidP="00587C33">
            <w:r>
              <w:t>(0.71, 0.88)</w:t>
            </w:r>
          </w:p>
        </w:tc>
      </w:tr>
      <w:tr w:rsidR="00587C33" w14:paraId="57FEB6AF" w14:textId="77777777" w:rsidTr="00587C33">
        <w:tc>
          <w:tcPr>
            <w:tcW w:w="2517" w:type="dxa"/>
          </w:tcPr>
          <w:p w14:paraId="44F55EDD" w14:textId="04CE85B5" w:rsidR="00587C33" w:rsidRDefault="00587C33" w:rsidP="00587C33">
            <w:r>
              <w:t>Month (March)</w:t>
            </w:r>
          </w:p>
        </w:tc>
        <w:tc>
          <w:tcPr>
            <w:tcW w:w="2517" w:type="dxa"/>
          </w:tcPr>
          <w:p w14:paraId="14451FC7" w14:textId="14FF3277" w:rsidR="00587C33" w:rsidRDefault="00587C33" w:rsidP="00587C33">
            <w:r>
              <w:t>0.947</w:t>
            </w:r>
          </w:p>
        </w:tc>
        <w:tc>
          <w:tcPr>
            <w:tcW w:w="2518" w:type="dxa"/>
          </w:tcPr>
          <w:p w14:paraId="3AE0C074" w14:textId="5F37843D" w:rsidR="00587C33" w:rsidRDefault="00BF458A" w:rsidP="00587C33">
            <w:r>
              <w:t>0.312</w:t>
            </w:r>
          </w:p>
        </w:tc>
        <w:tc>
          <w:tcPr>
            <w:tcW w:w="2518" w:type="dxa"/>
          </w:tcPr>
          <w:p w14:paraId="5B43ED98" w14:textId="2ECB8277" w:rsidR="00587C33" w:rsidRDefault="00BF458A" w:rsidP="00587C33">
            <w:r>
              <w:t>(0.85, 1.05)</w:t>
            </w:r>
          </w:p>
        </w:tc>
      </w:tr>
      <w:tr w:rsidR="00587C33" w14:paraId="70097619" w14:textId="77777777" w:rsidTr="00587C33">
        <w:tc>
          <w:tcPr>
            <w:tcW w:w="2517" w:type="dxa"/>
          </w:tcPr>
          <w:p w14:paraId="61B348F0" w14:textId="01EC322C" w:rsidR="00587C33" w:rsidRDefault="00587C33" w:rsidP="00587C33">
            <w:r>
              <w:t>Month (April)</w:t>
            </w:r>
          </w:p>
        </w:tc>
        <w:tc>
          <w:tcPr>
            <w:tcW w:w="2517" w:type="dxa"/>
          </w:tcPr>
          <w:p w14:paraId="36021892" w14:textId="54A1A33F" w:rsidR="00587C33" w:rsidRDefault="00587C33" w:rsidP="00587C33">
            <w:r>
              <w:t>1.105</w:t>
            </w:r>
          </w:p>
        </w:tc>
        <w:tc>
          <w:tcPr>
            <w:tcW w:w="2518" w:type="dxa"/>
          </w:tcPr>
          <w:p w14:paraId="09757CC6" w14:textId="1E25713D" w:rsidR="00587C33" w:rsidRDefault="00BF458A" w:rsidP="00587C33">
            <w:r>
              <w:t>0.061</w:t>
            </w:r>
          </w:p>
        </w:tc>
        <w:tc>
          <w:tcPr>
            <w:tcW w:w="2518" w:type="dxa"/>
          </w:tcPr>
          <w:p w14:paraId="7B406256" w14:textId="7D94E316" w:rsidR="00587C33" w:rsidRDefault="00BF458A" w:rsidP="00587C33">
            <w:r>
              <w:t>(1, 1.23)</w:t>
            </w:r>
          </w:p>
        </w:tc>
      </w:tr>
      <w:tr w:rsidR="00587C33" w14:paraId="21B35050" w14:textId="77777777" w:rsidTr="00587C33">
        <w:tc>
          <w:tcPr>
            <w:tcW w:w="2517" w:type="dxa"/>
          </w:tcPr>
          <w:p w14:paraId="036F4C88" w14:textId="771CD298" w:rsidR="00587C33" w:rsidRDefault="00587C33" w:rsidP="00587C33">
            <w:r>
              <w:t>Month (May)</w:t>
            </w:r>
          </w:p>
        </w:tc>
        <w:tc>
          <w:tcPr>
            <w:tcW w:w="2517" w:type="dxa"/>
          </w:tcPr>
          <w:p w14:paraId="5FD7B6E0" w14:textId="2D80D0F9" w:rsidR="00587C33" w:rsidRDefault="00587C33" w:rsidP="00587C33">
            <w:r>
              <w:t>1.416</w:t>
            </w:r>
          </w:p>
        </w:tc>
        <w:tc>
          <w:tcPr>
            <w:tcW w:w="2518" w:type="dxa"/>
          </w:tcPr>
          <w:p w14:paraId="718F956D" w14:textId="0EDDD5D2" w:rsidR="00587C33" w:rsidRDefault="00587C33" w:rsidP="00587C33">
            <w:r>
              <w:t>&lt;.001</w:t>
            </w:r>
          </w:p>
        </w:tc>
        <w:tc>
          <w:tcPr>
            <w:tcW w:w="2518" w:type="dxa"/>
          </w:tcPr>
          <w:p w14:paraId="2C645F93" w14:textId="32434F17" w:rsidR="00587C33" w:rsidRDefault="00BF458A" w:rsidP="00587C33">
            <w:r>
              <w:t>(1.28, 1.57)</w:t>
            </w:r>
          </w:p>
        </w:tc>
      </w:tr>
      <w:tr w:rsidR="00587C33" w14:paraId="5DE3738E" w14:textId="77777777" w:rsidTr="00587C33">
        <w:tc>
          <w:tcPr>
            <w:tcW w:w="2517" w:type="dxa"/>
          </w:tcPr>
          <w:p w14:paraId="53BCD96B" w14:textId="79D4F1B6" w:rsidR="00587C33" w:rsidRDefault="00587C33" w:rsidP="00587C33">
            <w:r>
              <w:t>Month (June)</w:t>
            </w:r>
          </w:p>
        </w:tc>
        <w:tc>
          <w:tcPr>
            <w:tcW w:w="2517" w:type="dxa"/>
          </w:tcPr>
          <w:p w14:paraId="0EEDB252" w14:textId="5B82FF6E" w:rsidR="00587C33" w:rsidRDefault="00587C33" w:rsidP="00587C33">
            <w:r>
              <w:t>1.529</w:t>
            </w:r>
          </w:p>
        </w:tc>
        <w:tc>
          <w:tcPr>
            <w:tcW w:w="2518" w:type="dxa"/>
          </w:tcPr>
          <w:p w14:paraId="4FDE9C1A" w14:textId="6F6095C1" w:rsidR="00587C33" w:rsidRDefault="00587C33" w:rsidP="00587C33">
            <w:r>
              <w:t>&lt;.001</w:t>
            </w:r>
          </w:p>
        </w:tc>
        <w:tc>
          <w:tcPr>
            <w:tcW w:w="2518" w:type="dxa"/>
          </w:tcPr>
          <w:p w14:paraId="2A1760A5" w14:textId="6A891F62" w:rsidR="00587C33" w:rsidRDefault="00BF458A" w:rsidP="00587C33">
            <w:r>
              <w:t>(1.38, 1.69)</w:t>
            </w:r>
          </w:p>
        </w:tc>
      </w:tr>
      <w:tr w:rsidR="00587C33" w14:paraId="182EAEDA" w14:textId="77777777" w:rsidTr="00587C33">
        <w:tc>
          <w:tcPr>
            <w:tcW w:w="2517" w:type="dxa"/>
          </w:tcPr>
          <w:p w14:paraId="2FA4A09C" w14:textId="51F6ABD3" w:rsidR="00587C33" w:rsidRDefault="00587C33" w:rsidP="00587C33">
            <w:r>
              <w:t>Month (July)</w:t>
            </w:r>
          </w:p>
        </w:tc>
        <w:tc>
          <w:tcPr>
            <w:tcW w:w="2517" w:type="dxa"/>
          </w:tcPr>
          <w:p w14:paraId="59B25CFB" w14:textId="5329ED0F" w:rsidR="00587C33" w:rsidRDefault="00587C33" w:rsidP="00587C33">
            <w:r>
              <w:t>1.71</w:t>
            </w:r>
          </w:p>
        </w:tc>
        <w:tc>
          <w:tcPr>
            <w:tcW w:w="2518" w:type="dxa"/>
          </w:tcPr>
          <w:p w14:paraId="2AA600FF" w14:textId="675DFD5B" w:rsidR="00587C33" w:rsidRDefault="00587C33" w:rsidP="00587C33">
            <w:r>
              <w:t>&lt;.001</w:t>
            </w:r>
          </w:p>
        </w:tc>
        <w:tc>
          <w:tcPr>
            <w:tcW w:w="2518" w:type="dxa"/>
          </w:tcPr>
          <w:p w14:paraId="3D80FB1F" w14:textId="05007D30" w:rsidR="00587C33" w:rsidRDefault="00BF458A" w:rsidP="00587C33">
            <w:r>
              <w:t>(1.55, 1.89)</w:t>
            </w:r>
          </w:p>
        </w:tc>
      </w:tr>
      <w:tr w:rsidR="00587C33" w14:paraId="0AA65BE0" w14:textId="77777777" w:rsidTr="00587C33">
        <w:tc>
          <w:tcPr>
            <w:tcW w:w="2517" w:type="dxa"/>
          </w:tcPr>
          <w:p w14:paraId="4CB57E1C" w14:textId="2B1F5221" w:rsidR="00587C33" w:rsidRDefault="00587C33" w:rsidP="00587C33">
            <w:r>
              <w:t>Month (August)</w:t>
            </w:r>
          </w:p>
        </w:tc>
        <w:tc>
          <w:tcPr>
            <w:tcW w:w="2517" w:type="dxa"/>
          </w:tcPr>
          <w:p w14:paraId="69B3DD2C" w14:textId="69251C1E" w:rsidR="00587C33" w:rsidRDefault="00587C33" w:rsidP="00587C33">
            <w:r>
              <w:t>1.718</w:t>
            </w:r>
          </w:p>
        </w:tc>
        <w:tc>
          <w:tcPr>
            <w:tcW w:w="2518" w:type="dxa"/>
          </w:tcPr>
          <w:p w14:paraId="3438DB7E" w14:textId="1BCD69CC" w:rsidR="00587C33" w:rsidRDefault="00587C33" w:rsidP="00587C33">
            <w:r>
              <w:t>&lt;.001</w:t>
            </w:r>
          </w:p>
        </w:tc>
        <w:tc>
          <w:tcPr>
            <w:tcW w:w="2518" w:type="dxa"/>
          </w:tcPr>
          <w:p w14:paraId="044949F1" w14:textId="50E89C22" w:rsidR="00587C33" w:rsidRDefault="00BF458A" w:rsidP="00587C33">
            <w:r>
              <w:t>(1.55, 1.9)</w:t>
            </w:r>
          </w:p>
        </w:tc>
      </w:tr>
      <w:tr w:rsidR="00BF458A" w14:paraId="1B7BD780" w14:textId="77777777" w:rsidTr="00587C33">
        <w:tc>
          <w:tcPr>
            <w:tcW w:w="2517" w:type="dxa"/>
          </w:tcPr>
          <w:p w14:paraId="7E797EC1" w14:textId="7906F7F4" w:rsidR="00BF458A" w:rsidRDefault="00BF458A" w:rsidP="00BF458A">
            <w:r>
              <w:t>Month (September)</w:t>
            </w:r>
          </w:p>
        </w:tc>
        <w:tc>
          <w:tcPr>
            <w:tcW w:w="2517" w:type="dxa"/>
          </w:tcPr>
          <w:p w14:paraId="1600B564" w14:textId="225674AE" w:rsidR="00BF458A" w:rsidRDefault="00BF458A" w:rsidP="00BF458A">
            <w:r>
              <w:t>1.421</w:t>
            </w:r>
          </w:p>
        </w:tc>
        <w:tc>
          <w:tcPr>
            <w:tcW w:w="2518" w:type="dxa"/>
          </w:tcPr>
          <w:p w14:paraId="343B79CC" w14:textId="32607381" w:rsidR="00BF458A" w:rsidRDefault="00BF458A" w:rsidP="00BF458A">
            <w:r>
              <w:t>&lt;.001</w:t>
            </w:r>
          </w:p>
        </w:tc>
        <w:tc>
          <w:tcPr>
            <w:tcW w:w="2518" w:type="dxa"/>
          </w:tcPr>
          <w:p w14:paraId="68BC50FD" w14:textId="5FDFD206" w:rsidR="00BF458A" w:rsidRDefault="00BF458A" w:rsidP="00BF458A">
            <w:r>
              <w:t>(1.28, 1.57)</w:t>
            </w:r>
          </w:p>
        </w:tc>
      </w:tr>
      <w:tr w:rsidR="00BF458A" w14:paraId="198373D2" w14:textId="77777777" w:rsidTr="00587C33">
        <w:tc>
          <w:tcPr>
            <w:tcW w:w="2517" w:type="dxa"/>
          </w:tcPr>
          <w:p w14:paraId="07108DED" w14:textId="62FEF5C3" w:rsidR="00BF458A" w:rsidRDefault="00BF458A" w:rsidP="00BF458A">
            <w:r>
              <w:t>Month (October)</w:t>
            </w:r>
          </w:p>
        </w:tc>
        <w:tc>
          <w:tcPr>
            <w:tcW w:w="2517" w:type="dxa"/>
          </w:tcPr>
          <w:p w14:paraId="212169AF" w14:textId="0373FE6D" w:rsidR="00BF458A" w:rsidRDefault="00BF458A" w:rsidP="00BF458A">
            <w:r>
              <w:t>1.314</w:t>
            </w:r>
          </w:p>
        </w:tc>
        <w:tc>
          <w:tcPr>
            <w:tcW w:w="2518" w:type="dxa"/>
          </w:tcPr>
          <w:p w14:paraId="19E014FA" w14:textId="393BDEC6" w:rsidR="00BF458A" w:rsidRDefault="00BF458A" w:rsidP="00BF458A">
            <w:r>
              <w:t>&lt;.001</w:t>
            </w:r>
          </w:p>
        </w:tc>
        <w:tc>
          <w:tcPr>
            <w:tcW w:w="2518" w:type="dxa"/>
          </w:tcPr>
          <w:p w14:paraId="4491695A" w14:textId="2889152F" w:rsidR="00BF458A" w:rsidRDefault="00BF458A" w:rsidP="00BF458A">
            <w:r>
              <w:t>(1.18, 1.46)</w:t>
            </w:r>
          </w:p>
        </w:tc>
      </w:tr>
      <w:tr w:rsidR="00BF458A" w14:paraId="24833166" w14:textId="77777777" w:rsidTr="00587C33">
        <w:tc>
          <w:tcPr>
            <w:tcW w:w="2517" w:type="dxa"/>
          </w:tcPr>
          <w:p w14:paraId="52DD18B7" w14:textId="580AD179" w:rsidR="00BF458A" w:rsidRDefault="00BF458A" w:rsidP="00BF458A">
            <w:r>
              <w:t>Month (November)</w:t>
            </w:r>
          </w:p>
        </w:tc>
        <w:tc>
          <w:tcPr>
            <w:tcW w:w="2517" w:type="dxa"/>
          </w:tcPr>
          <w:p w14:paraId="070A0391" w14:textId="588A747A" w:rsidR="00BF458A" w:rsidRDefault="00BF458A" w:rsidP="00BF458A">
            <w:r>
              <w:t>1.113</w:t>
            </w:r>
          </w:p>
        </w:tc>
        <w:tc>
          <w:tcPr>
            <w:tcW w:w="2518" w:type="dxa"/>
          </w:tcPr>
          <w:p w14:paraId="26379869" w14:textId="1B918CFA" w:rsidR="00BF458A" w:rsidRDefault="00BF458A" w:rsidP="00BF458A">
            <w:r>
              <w:t>0.049</w:t>
            </w:r>
          </w:p>
        </w:tc>
        <w:tc>
          <w:tcPr>
            <w:tcW w:w="2518" w:type="dxa"/>
          </w:tcPr>
          <w:p w14:paraId="3DDEB99B" w14:textId="2DFE8038" w:rsidR="00BF458A" w:rsidRDefault="00BF458A" w:rsidP="00BF458A">
            <w:r>
              <w:t>(1, 1.24)</w:t>
            </w:r>
          </w:p>
        </w:tc>
      </w:tr>
      <w:tr w:rsidR="00BF458A" w14:paraId="02E6267B" w14:textId="77777777" w:rsidTr="00587C33">
        <w:tc>
          <w:tcPr>
            <w:tcW w:w="2517" w:type="dxa"/>
          </w:tcPr>
          <w:p w14:paraId="48201BFE" w14:textId="525EE645" w:rsidR="00BF458A" w:rsidRDefault="00BF458A" w:rsidP="00BF458A">
            <w:r>
              <w:t>Month (December)</w:t>
            </w:r>
          </w:p>
        </w:tc>
        <w:tc>
          <w:tcPr>
            <w:tcW w:w="2517" w:type="dxa"/>
          </w:tcPr>
          <w:p w14:paraId="12DEC6E7" w14:textId="00B9E258" w:rsidR="00BF458A" w:rsidRDefault="00BF458A" w:rsidP="00BF458A">
            <w:r>
              <w:t>1.158</w:t>
            </w:r>
          </w:p>
        </w:tc>
        <w:tc>
          <w:tcPr>
            <w:tcW w:w="2518" w:type="dxa"/>
          </w:tcPr>
          <w:p w14:paraId="0781476A" w14:textId="674968C3" w:rsidR="00BF458A" w:rsidRDefault="00BF458A" w:rsidP="00BF458A">
            <w:r>
              <w:t>0.007</w:t>
            </w:r>
          </w:p>
        </w:tc>
        <w:tc>
          <w:tcPr>
            <w:tcW w:w="2518" w:type="dxa"/>
          </w:tcPr>
          <w:p w14:paraId="059D6987" w14:textId="0916A42F" w:rsidR="00BF458A" w:rsidRDefault="00BF458A" w:rsidP="00BF458A">
            <w:r>
              <w:t>(1.04, 1.29)</w:t>
            </w:r>
          </w:p>
        </w:tc>
      </w:tr>
      <w:bookmarkEnd w:id="0"/>
    </w:tbl>
    <w:p w14:paraId="1E03E186" w14:textId="77777777" w:rsidR="00587C33" w:rsidRDefault="00587C33"/>
    <w:sectPr w:rsidR="00587C33" w:rsidSect="00690580">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5ACFA" w14:textId="77777777" w:rsidR="00AA2EA9" w:rsidRDefault="00AA2EA9" w:rsidP="00C73FCB">
      <w:pPr>
        <w:spacing w:after="0" w:line="240" w:lineRule="auto"/>
      </w:pPr>
      <w:r>
        <w:separator/>
      </w:r>
    </w:p>
  </w:endnote>
  <w:endnote w:type="continuationSeparator" w:id="0">
    <w:p w14:paraId="3440CEFA" w14:textId="77777777" w:rsidR="00AA2EA9" w:rsidRDefault="00AA2EA9" w:rsidP="00C7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668A1" w14:textId="77777777" w:rsidR="00AA2EA9" w:rsidRDefault="00AA2EA9" w:rsidP="00C73FCB">
      <w:pPr>
        <w:spacing w:after="0" w:line="240" w:lineRule="auto"/>
      </w:pPr>
      <w:r>
        <w:separator/>
      </w:r>
    </w:p>
  </w:footnote>
  <w:footnote w:type="continuationSeparator" w:id="0">
    <w:p w14:paraId="092D9FEB" w14:textId="77777777" w:rsidR="00AA2EA9" w:rsidRDefault="00AA2EA9" w:rsidP="00C73FCB">
      <w:pPr>
        <w:spacing w:after="0" w:line="240" w:lineRule="auto"/>
      </w:pPr>
      <w:r>
        <w:continuationSeparator/>
      </w:r>
    </w:p>
  </w:footnote>
  <w:footnote w:id="1">
    <w:p w14:paraId="5CC16349" w14:textId="77777777" w:rsidR="00C73FCB" w:rsidRDefault="00C73FCB">
      <w:pPr>
        <w:pStyle w:val="FootnoteText"/>
      </w:pPr>
      <w:r>
        <w:rPr>
          <w:rStyle w:val="FootnoteReference"/>
        </w:rPr>
        <w:footnoteRef/>
      </w:r>
      <w:r>
        <w:t xml:space="preserve"> </w:t>
      </w:r>
      <w:r w:rsidRPr="00C73FCB">
        <w:t xml:space="preserve">Messner, S. F., Galea, S., </w:t>
      </w:r>
      <w:proofErr w:type="spellStart"/>
      <w:r w:rsidRPr="00C73FCB">
        <w:t>Tardiff</w:t>
      </w:r>
      <w:proofErr w:type="spellEnd"/>
      <w:r w:rsidRPr="00C73FCB">
        <w:t xml:space="preserve">, K. J., Tracy, M., </w:t>
      </w:r>
      <w:proofErr w:type="spellStart"/>
      <w:r w:rsidRPr="00C73FCB">
        <w:t>Bucciarelli</w:t>
      </w:r>
      <w:proofErr w:type="spellEnd"/>
      <w:r w:rsidRPr="00C73FCB">
        <w:t xml:space="preserve">, A., Piper, T. M., ... &amp; </w:t>
      </w:r>
      <w:proofErr w:type="spellStart"/>
      <w:r w:rsidRPr="00C73FCB">
        <w:t>Vlahov</w:t>
      </w:r>
      <w:proofErr w:type="spellEnd"/>
      <w:r w:rsidRPr="00C73FCB">
        <w:t>, D. (2007). Policing, drugs, and the homicide decline in New York City in the 1990s. </w:t>
      </w:r>
      <w:r w:rsidRPr="00C73FCB">
        <w:rPr>
          <w:i/>
          <w:iCs/>
        </w:rPr>
        <w:t>Criminology</w:t>
      </w:r>
      <w:r w:rsidRPr="00C73FCB">
        <w:t>, </w:t>
      </w:r>
      <w:r w:rsidRPr="00C73FCB">
        <w:rPr>
          <w:i/>
          <w:iCs/>
        </w:rPr>
        <w:t>45</w:t>
      </w:r>
      <w:r w:rsidRPr="00C73FCB">
        <w:t>(2), 385-414.</w:t>
      </w:r>
    </w:p>
  </w:footnote>
  <w:footnote w:id="2">
    <w:p w14:paraId="020AD824" w14:textId="77777777" w:rsidR="00C73FCB" w:rsidRDefault="00C73FCB" w:rsidP="00C73FCB">
      <w:pPr>
        <w:pStyle w:val="FootnoteText"/>
      </w:pPr>
      <w:r>
        <w:rPr>
          <w:rStyle w:val="FootnoteReference"/>
        </w:rPr>
        <w:footnoteRef/>
      </w:r>
      <w:r>
        <w:t xml:space="preserve"> </w:t>
      </w:r>
      <w:r w:rsidRPr="00283227">
        <w:t>https://www.nytimes.com/2019/08/06/nyregion/newyorktoday/nyc-gun-violence.html</w:t>
      </w:r>
    </w:p>
  </w:footnote>
  <w:footnote w:id="3">
    <w:p w14:paraId="751290C7" w14:textId="77777777" w:rsidR="00C73FCB" w:rsidRDefault="00C73FCB" w:rsidP="00C73FCB">
      <w:pPr>
        <w:pStyle w:val="FootnoteText"/>
      </w:pPr>
      <w:r>
        <w:rPr>
          <w:rStyle w:val="FootnoteReference"/>
        </w:rPr>
        <w:footnoteRef/>
      </w:r>
      <w:r>
        <w:t xml:space="preserve"> </w:t>
      </w:r>
      <w:r w:rsidRPr="00283227">
        <w:t>vpc.org/press/states-with-weak-gun-laws-and-higher-gun-ownership-lead-nation-in-gun-deaths-new-data-for-2015-confirms/</w:t>
      </w:r>
      <w:r>
        <w:t xml:space="preserve"> </w:t>
      </w:r>
    </w:p>
  </w:footnote>
  <w:footnote w:id="4">
    <w:p w14:paraId="644908DF" w14:textId="77777777" w:rsidR="00C73FCB" w:rsidRDefault="00C73FCB" w:rsidP="00C73FCB">
      <w:pPr>
        <w:pStyle w:val="FootnoteText"/>
      </w:pPr>
      <w:r>
        <w:rPr>
          <w:rStyle w:val="FootnoteReference"/>
        </w:rPr>
        <w:footnoteRef/>
      </w:r>
      <w:r>
        <w:t xml:space="preserve"> </w:t>
      </w:r>
      <w:r w:rsidRPr="004E79E3">
        <w:t>https://johnjayrec.nyc/2017/10/02/cvinsobronxeastny/</w:t>
      </w:r>
    </w:p>
  </w:footnote>
  <w:footnote w:id="5">
    <w:p w14:paraId="60E6370A" w14:textId="77777777" w:rsidR="00C73FCB" w:rsidRDefault="00C73FCB" w:rsidP="00C73FCB">
      <w:pPr>
        <w:pStyle w:val="FootnoteText"/>
      </w:pPr>
      <w:r>
        <w:rPr>
          <w:rStyle w:val="FootnoteReference"/>
        </w:rPr>
        <w:footnoteRef/>
      </w:r>
      <w:r>
        <w:t xml:space="preserve"> </w:t>
      </w:r>
      <w:r w:rsidRPr="00960292">
        <w:t>https://www.foxnews.com/us/new-york-citys-weekend-free-of-shootings-is-first-in-decades</w:t>
      </w:r>
    </w:p>
  </w:footnote>
  <w:footnote w:id="6">
    <w:p w14:paraId="7ADA6747" w14:textId="77777777" w:rsidR="006C13B5" w:rsidRDefault="006C13B5">
      <w:pPr>
        <w:pStyle w:val="FootnoteText"/>
      </w:pPr>
      <w:r>
        <w:rPr>
          <w:rStyle w:val="FootnoteReference"/>
        </w:rPr>
        <w:footnoteRef/>
      </w:r>
      <w:r>
        <w:t xml:space="preserve"> </w:t>
      </w:r>
      <w:r w:rsidRPr="006C13B5">
        <w:t xml:space="preserve">Larsen, D. A., Lane, S., Jennings-Bey, T., Haygood-El, A., Brundage, K., &amp; Rubinstein, R. A. (2017). </w:t>
      </w:r>
      <w:proofErr w:type="spellStart"/>
      <w:r w:rsidRPr="006C13B5">
        <w:t>Spatio</w:t>
      </w:r>
      <w:proofErr w:type="spellEnd"/>
      <w:r w:rsidRPr="006C13B5">
        <w:t>-temporal patterns of gun violence in Syracuse, New York 2009-2015. </w:t>
      </w:r>
      <w:proofErr w:type="spellStart"/>
      <w:r w:rsidRPr="006C13B5">
        <w:rPr>
          <w:i/>
          <w:iCs/>
        </w:rPr>
        <w:t>PloS</w:t>
      </w:r>
      <w:proofErr w:type="spellEnd"/>
      <w:r w:rsidRPr="006C13B5">
        <w:rPr>
          <w:i/>
          <w:iCs/>
        </w:rPr>
        <w:t xml:space="preserve"> one</w:t>
      </w:r>
      <w:r w:rsidRPr="006C13B5">
        <w:t>, </w:t>
      </w:r>
      <w:r w:rsidRPr="006C13B5">
        <w:rPr>
          <w:i/>
          <w:iCs/>
        </w:rPr>
        <w:t>12</w:t>
      </w:r>
      <w:r w:rsidRPr="006C13B5">
        <w:t>(3).</w:t>
      </w:r>
    </w:p>
  </w:footnote>
  <w:footnote w:id="7">
    <w:p w14:paraId="27B8F72B" w14:textId="77777777" w:rsidR="00144121" w:rsidRDefault="00144121">
      <w:pPr>
        <w:pStyle w:val="FootnoteText"/>
      </w:pPr>
      <w:r>
        <w:rPr>
          <w:rStyle w:val="FootnoteReference"/>
        </w:rPr>
        <w:footnoteRef/>
      </w:r>
      <w:r>
        <w:t xml:space="preserve"> </w:t>
      </w:r>
      <w:r w:rsidRPr="00144121">
        <w:t>Lauritsen, J. L., &amp; White, N. (2014). </w:t>
      </w:r>
      <w:r w:rsidRPr="00144121">
        <w:rPr>
          <w:i/>
          <w:iCs/>
        </w:rPr>
        <w:t>Seasonal patterns in criminal victimization trends</w:t>
      </w:r>
      <w:r w:rsidRPr="00144121">
        <w:t>. US Department of Justice, Office of Justice Programs, Bureau of Justice Statistics.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CB"/>
    <w:rsid w:val="00080D76"/>
    <w:rsid w:val="00116FD8"/>
    <w:rsid w:val="00144121"/>
    <w:rsid w:val="002F6ED1"/>
    <w:rsid w:val="00391B45"/>
    <w:rsid w:val="005351BE"/>
    <w:rsid w:val="005616F2"/>
    <w:rsid w:val="00587C33"/>
    <w:rsid w:val="005E62DF"/>
    <w:rsid w:val="00690580"/>
    <w:rsid w:val="006C13B5"/>
    <w:rsid w:val="006D3DB9"/>
    <w:rsid w:val="008D22DA"/>
    <w:rsid w:val="00902B84"/>
    <w:rsid w:val="009C6847"/>
    <w:rsid w:val="00AA2EA9"/>
    <w:rsid w:val="00BF458A"/>
    <w:rsid w:val="00C73FCB"/>
    <w:rsid w:val="00E0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87FE"/>
  <w15:chartTrackingRefBased/>
  <w15:docId w15:val="{BCCEAD04-E0D8-49F0-A2C7-1C0D06DE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CB"/>
  </w:style>
  <w:style w:type="paragraph" w:styleId="Heading1">
    <w:name w:val="heading 1"/>
    <w:basedOn w:val="Normal"/>
    <w:next w:val="Normal"/>
    <w:link w:val="Heading1Char"/>
    <w:uiPriority w:val="9"/>
    <w:qFormat/>
    <w:rsid w:val="00C73F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CB"/>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73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FCB"/>
    <w:rPr>
      <w:sz w:val="20"/>
      <w:szCs w:val="20"/>
    </w:rPr>
  </w:style>
  <w:style w:type="character" w:styleId="FootnoteReference">
    <w:name w:val="footnote reference"/>
    <w:basedOn w:val="DefaultParagraphFont"/>
    <w:uiPriority w:val="99"/>
    <w:semiHidden/>
    <w:unhideWhenUsed/>
    <w:rsid w:val="00C73FCB"/>
    <w:rPr>
      <w:vertAlign w:val="superscript"/>
    </w:rPr>
  </w:style>
  <w:style w:type="character" w:customStyle="1" w:styleId="js-about-item-abstr">
    <w:name w:val="js-about-item-abstr"/>
    <w:basedOn w:val="DefaultParagraphFont"/>
    <w:rsid w:val="00C73FCB"/>
  </w:style>
  <w:style w:type="character" w:styleId="LineNumber">
    <w:name w:val="line number"/>
    <w:basedOn w:val="DefaultParagraphFont"/>
    <w:uiPriority w:val="99"/>
    <w:semiHidden/>
    <w:unhideWhenUsed/>
    <w:rsid w:val="00C73FCB"/>
  </w:style>
  <w:style w:type="table" w:styleId="PlainTable2">
    <w:name w:val="Plain Table 2"/>
    <w:basedOn w:val="TableNormal"/>
    <w:uiPriority w:val="42"/>
    <w:rsid w:val="006905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87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0A76-9040-4199-B162-F6A9C30B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CDPHE</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Rachel</dc:creator>
  <cp:keywords/>
  <dc:description/>
  <cp:lastModifiedBy>Weber, Rachel</cp:lastModifiedBy>
  <cp:revision>6</cp:revision>
  <dcterms:created xsi:type="dcterms:W3CDTF">2020-03-12T16:02:00Z</dcterms:created>
  <dcterms:modified xsi:type="dcterms:W3CDTF">2020-04-02T21:25:00Z</dcterms:modified>
</cp:coreProperties>
</file>