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37A43" w14:textId="05522372" w:rsidR="005351BE" w:rsidRDefault="005351BE" w:rsidP="00BE49EF">
      <w:pPr>
        <w:pStyle w:val="Heading1"/>
        <w:spacing w:line="240" w:lineRule="auto"/>
        <w:jc w:val="center"/>
        <w:rPr>
          <w:b/>
          <w:sz w:val="36"/>
          <w:szCs w:val="28"/>
        </w:rPr>
      </w:pPr>
      <w:r>
        <w:rPr>
          <w:b/>
          <w:sz w:val="36"/>
          <w:szCs w:val="28"/>
        </w:rPr>
        <w:t>Investigating the</w:t>
      </w:r>
      <w:r w:rsidR="008A1E56">
        <w:rPr>
          <w:b/>
          <w:sz w:val="36"/>
          <w:szCs w:val="28"/>
        </w:rPr>
        <w:t xml:space="preserve"> impact of SAFE Act passage on incidence of gun violence in New York City</w:t>
      </w:r>
    </w:p>
    <w:p w14:paraId="473641DE" w14:textId="77777777" w:rsidR="005351BE" w:rsidRPr="005351BE" w:rsidRDefault="005351BE" w:rsidP="0098602A">
      <w:pPr>
        <w:spacing w:line="480" w:lineRule="auto"/>
        <w:jc w:val="center"/>
      </w:pPr>
      <w:r>
        <w:t>Rachel C. Weber, MPH Candidate</w:t>
      </w:r>
    </w:p>
    <w:p w14:paraId="0789C036" w14:textId="77777777" w:rsidR="00C73FCB" w:rsidRPr="00C73FCB" w:rsidRDefault="00C73FCB" w:rsidP="0098602A">
      <w:pPr>
        <w:pStyle w:val="Heading1"/>
        <w:spacing w:line="480" w:lineRule="auto"/>
        <w:rPr>
          <w:b/>
          <w:sz w:val="28"/>
          <w:szCs w:val="28"/>
        </w:rPr>
      </w:pPr>
      <w:r w:rsidRPr="00C73FCB">
        <w:rPr>
          <w:b/>
          <w:sz w:val="28"/>
          <w:szCs w:val="28"/>
        </w:rPr>
        <w:t>Background</w:t>
      </w:r>
    </w:p>
    <w:p w14:paraId="4A9F93EF" w14:textId="7B47F787" w:rsidR="00C73FCB" w:rsidRDefault="00C73FCB" w:rsidP="0098602A">
      <w:pPr>
        <w:spacing w:line="480" w:lineRule="auto"/>
      </w:pPr>
      <w:r>
        <w:t>New York City has a tumultuous history of gun violence. After a significant drop in gun violence in the 1990’s, New York City has made steady progress in reducing shooting incidences in the new millennium</w:t>
      </w:r>
      <w:r w:rsidR="00BE49EF">
        <w:rPr>
          <w:vertAlign w:val="superscript"/>
        </w:rPr>
        <w:t>3</w:t>
      </w:r>
      <w:r>
        <w:t>. The New York Times reported in August 2019 that gun violence is at a two-decade low for the city</w:t>
      </w:r>
      <w:r w:rsidR="00BE49EF">
        <w:rPr>
          <w:vertAlign w:val="superscript"/>
        </w:rPr>
        <w:t>4</w:t>
      </w:r>
      <w:r>
        <w:t>. Many researchers cite the state’s strong gun control laws and progressive police training as reason</w:t>
      </w:r>
      <w:r w:rsidR="000B125D">
        <w:t>s</w:t>
      </w:r>
      <w:r>
        <w:t xml:space="preserve"> for New York’s improvement.</w:t>
      </w:r>
      <w:r w:rsidR="00BE49EF">
        <w:rPr>
          <w:vertAlign w:val="superscript"/>
        </w:rPr>
        <w:t>6</w:t>
      </w:r>
      <w:r>
        <w:t xml:space="preserve"> Along with state-level regulation, the national culture around gun ownership and resulting violence has been in major flux. Though New York City’s worst years of gun violence are in the past, growing national incidence of mass shootings has brought community activists to action.</w:t>
      </w:r>
    </w:p>
    <w:p w14:paraId="67C3AD58" w14:textId="29E2E498" w:rsidR="00690580" w:rsidRDefault="00690580" w:rsidP="0098602A">
      <w:pPr>
        <w:spacing w:line="480" w:lineRule="auto"/>
        <w:jc w:val="center"/>
      </w:pPr>
      <w:r w:rsidRPr="006A56C7">
        <w:rPr>
          <w:noProof/>
        </w:rPr>
        <w:drawing>
          <wp:inline distT="0" distB="0" distL="0" distR="0" wp14:anchorId="15587EF4" wp14:editId="7F0B16B3">
            <wp:extent cx="4546600" cy="3293579"/>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389" cy="3297773"/>
                    </a:xfrm>
                    <a:prstGeom prst="rect">
                      <a:avLst/>
                    </a:prstGeom>
                  </pic:spPr>
                </pic:pic>
              </a:graphicData>
            </a:graphic>
          </wp:inline>
        </w:drawing>
      </w:r>
    </w:p>
    <w:p w14:paraId="006874FD" w14:textId="1C4275AF" w:rsidR="00690580" w:rsidRPr="00690580" w:rsidRDefault="00690580" w:rsidP="0098602A">
      <w:pPr>
        <w:spacing w:line="480" w:lineRule="auto"/>
        <w:jc w:val="center"/>
        <w:rPr>
          <w:i/>
          <w:iCs/>
          <w:sz w:val="20"/>
          <w:szCs w:val="20"/>
        </w:rPr>
      </w:pPr>
      <w:r w:rsidRPr="000741D9">
        <w:rPr>
          <w:i/>
          <w:iCs/>
          <w:sz w:val="20"/>
          <w:szCs w:val="20"/>
        </w:rPr>
        <w:t>Figure 1: Histogram of Number of Shootings in NYC per year (2006-</w:t>
      </w:r>
      <w:r w:rsidR="00024386" w:rsidRPr="00024386">
        <w:rPr>
          <w:b/>
          <w:bCs/>
          <w:i/>
          <w:iCs/>
          <w:sz w:val="20"/>
          <w:szCs w:val="20"/>
        </w:rPr>
        <w:t>September</w:t>
      </w:r>
      <w:r w:rsidR="009B1E97">
        <w:rPr>
          <w:i/>
          <w:iCs/>
          <w:sz w:val="20"/>
          <w:szCs w:val="20"/>
        </w:rPr>
        <w:t xml:space="preserve"> </w:t>
      </w:r>
      <w:r w:rsidRPr="000741D9">
        <w:rPr>
          <w:i/>
          <w:iCs/>
          <w:sz w:val="20"/>
          <w:szCs w:val="20"/>
        </w:rPr>
        <w:t>201</w:t>
      </w:r>
      <w:r>
        <w:rPr>
          <w:i/>
          <w:iCs/>
          <w:sz w:val="20"/>
          <w:szCs w:val="20"/>
        </w:rPr>
        <w:t>9</w:t>
      </w:r>
      <w:r w:rsidRPr="000741D9">
        <w:rPr>
          <w:i/>
          <w:iCs/>
          <w:sz w:val="20"/>
          <w:szCs w:val="20"/>
        </w:rPr>
        <w:t>)</w:t>
      </w:r>
    </w:p>
    <w:p w14:paraId="66FB1A21" w14:textId="712C8561" w:rsidR="00C73FCB" w:rsidRDefault="00C73FCB" w:rsidP="0098602A">
      <w:pPr>
        <w:spacing w:line="480" w:lineRule="auto"/>
        <w:rPr>
          <w:rStyle w:val="js-about-item-abstr"/>
        </w:rPr>
      </w:pPr>
      <w:r>
        <w:lastRenderedPageBreak/>
        <w:t>Following the Sandy</w:t>
      </w:r>
      <w:r w:rsidR="000B125D">
        <w:t xml:space="preserve"> </w:t>
      </w:r>
      <w:r>
        <w:t>Hook shooting in December 2012 and the December 24</w:t>
      </w:r>
      <w:r w:rsidRPr="002600B7">
        <w:rPr>
          <w:vertAlign w:val="superscript"/>
        </w:rPr>
        <w:t>th</w:t>
      </w:r>
      <w:r>
        <w:t xml:space="preserve"> Webster shooting, New York passed the </w:t>
      </w:r>
      <w:r>
        <w:rPr>
          <w:rStyle w:val="js-about-item-abstr"/>
        </w:rPr>
        <w:t>Secure Ammunition and Firearms Enforcement Act (SAFE Act)</w:t>
      </w:r>
      <w:r w:rsidR="004546D1">
        <w:rPr>
          <w:rStyle w:val="js-about-item-abstr"/>
        </w:rPr>
        <w:t>,</w:t>
      </w:r>
      <w:r>
        <w:rPr>
          <w:rStyle w:val="js-about-item-abstr"/>
        </w:rPr>
        <w:t xml:space="preserve"> which contains several firearms regulations. These include broader definitions of ‘assault style weapons’, prohibitions on high capacity magazines, mandated background checks, and safe storage provisions. In 2010, New York City implemented Chicago’s Cure Violence public health model to use community outreach as a means of curbing gun violence. As of 2017 there were 18 active Cure Violence programs around the city working to ‘</w:t>
      </w:r>
      <w:proofErr w:type="spellStart"/>
      <w:r>
        <w:rPr>
          <w:rStyle w:val="js-about-item-abstr"/>
        </w:rPr>
        <w:t>denormalize</w:t>
      </w:r>
      <w:proofErr w:type="spellEnd"/>
      <w:r>
        <w:rPr>
          <w:rStyle w:val="js-about-item-abstr"/>
        </w:rPr>
        <w:t>’ gun violence</w:t>
      </w:r>
      <w:r w:rsidR="00BE49EF">
        <w:rPr>
          <w:rStyle w:val="js-about-item-abstr"/>
          <w:vertAlign w:val="superscript"/>
        </w:rPr>
        <w:t>1</w:t>
      </w:r>
      <w:r>
        <w:rPr>
          <w:rStyle w:val="js-about-item-abstr"/>
        </w:rPr>
        <w:t>.</w:t>
      </w:r>
    </w:p>
    <w:p w14:paraId="4A2649D1" w14:textId="19ABE648" w:rsidR="00C73FCB" w:rsidRDefault="004546D1" w:rsidP="0098602A">
      <w:pPr>
        <w:spacing w:line="480" w:lineRule="auto"/>
        <w:rPr>
          <w:rStyle w:val="js-about-item-abstr"/>
        </w:rPr>
      </w:pPr>
      <w:r>
        <w:rPr>
          <w:rStyle w:val="js-about-item-abstr"/>
        </w:rPr>
        <w:t>In t</w:t>
      </w:r>
      <w:r w:rsidR="00C73FCB">
        <w:rPr>
          <w:rStyle w:val="js-about-item-abstr"/>
        </w:rPr>
        <w:t>his analysis</w:t>
      </w:r>
      <w:r>
        <w:rPr>
          <w:rStyle w:val="js-about-item-abstr"/>
        </w:rPr>
        <w:t xml:space="preserve"> we</w:t>
      </w:r>
      <w:r w:rsidR="00C73FCB">
        <w:rPr>
          <w:rStyle w:val="js-about-item-abstr"/>
        </w:rPr>
        <w:t xml:space="preserve"> </w:t>
      </w:r>
      <w:r w:rsidR="00BA0983">
        <w:rPr>
          <w:rStyle w:val="js-about-item-abstr"/>
        </w:rPr>
        <w:t>built</w:t>
      </w:r>
      <w:r w:rsidR="00C73FCB">
        <w:rPr>
          <w:rStyle w:val="js-about-item-abstr"/>
        </w:rPr>
        <w:t xml:space="preserve"> an interrupted time series negative binomial model to ascertain the </w:t>
      </w:r>
      <w:r w:rsidR="00BA0983">
        <w:rPr>
          <w:rStyle w:val="js-about-item-abstr"/>
        </w:rPr>
        <w:t>number of shootings expected on a given day</w:t>
      </w:r>
      <w:r w:rsidR="00C73FCB">
        <w:rPr>
          <w:rStyle w:val="js-about-item-abstr"/>
        </w:rPr>
        <w:t xml:space="preserve">. </w:t>
      </w:r>
      <w:r w:rsidR="00BA0983">
        <w:rPr>
          <w:rStyle w:val="js-about-item-abstr"/>
        </w:rPr>
        <w:t>We used incidence rate ratios to understand the impact the SAFE act had on gun violence and assess how this may have impacted the likelihood of a shooting-free weekend</w:t>
      </w:r>
      <w:r w:rsidR="00AF7C82">
        <w:rPr>
          <w:rStyle w:val="js-about-item-abstr"/>
        </w:rPr>
        <w:t>, like that which occurred in October 2018</w:t>
      </w:r>
      <w:r w:rsidR="00BA0983">
        <w:rPr>
          <w:rStyle w:val="js-about-item-abstr"/>
        </w:rPr>
        <w:t>.</w:t>
      </w:r>
      <w:r w:rsidR="00AF7C82">
        <w:rPr>
          <w:rStyle w:val="js-about-item-abstr"/>
        </w:rPr>
        <w:t xml:space="preserve"> Such was heralded as a success of legislation and improved policing, but the question remains </w:t>
      </w:r>
      <w:r>
        <w:rPr>
          <w:rStyle w:val="js-about-item-abstr"/>
        </w:rPr>
        <w:t>of how much</w:t>
      </w:r>
      <w:r w:rsidR="00AF7C82">
        <w:rPr>
          <w:rStyle w:val="js-about-item-abstr"/>
        </w:rPr>
        <w:t xml:space="preserve"> its likelihood </w:t>
      </w:r>
      <w:r w:rsidR="009C57A9">
        <w:rPr>
          <w:rStyle w:val="js-about-item-abstr"/>
        </w:rPr>
        <w:t>increased following SAFE Act passage</w:t>
      </w:r>
      <w:r w:rsidR="00AF7C82">
        <w:rPr>
          <w:rStyle w:val="js-about-item-abstr"/>
        </w:rPr>
        <w:t>.</w:t>
      </w:r>
    </w:p>
    <w:p w14:paraId="5AB769D0" w14:textId="79D34B5D" w:rsidR="009C57A9" w:rsidRPr="009C57A9" w:rsidRDefault="009C57A9" w:rsidP="0098602A">
      <w:pPr>
        <w:spacing w:line="480" w:lineRule="auto"/>
        <w:rPr>
          <w:b/>
          <w:bCs/>
          <w:sz w:val="28"/>
          <w:szCs w:val="28"/>
        </w:rPr>
      </w:pPr>
      <w:r w:rsidRPr="009C57A9">
        <w:rPr>
          <w:b/>
          <w:bCs/>
          <w:sz w:val="28"/>
          <w:szCs w:val="28"/>
        </w:rPr>
        <w:t>Data</w:t>
      </w:r>
    </w:p>
    <w:p w14:paraId="7AAECAD4" w14:textId="25194533" w:rsidR="006C13B5" w:rsidRDefault="006C13B5" w:rsidP="0098602A">
      <w:pPr>
        <w:spacing w:line="480" w:lineRule="auto"/>
      </w:pPr>
      <w:r>
        <w:t xml:space="preserve">Data are supplied by NYC Open Data. The dataset spans years 2006 through </w:t>
      </w:r>
      <w:r w:rsidR="00024386">
        <w:t xml:space="preserve">September </w:t>
      </w:r>
      <w:r>
        <w:t>2019</w:t>
      </w:r>
      <w:r w:rsidR="00AB6C75">
        <w:t xml:space="preserve"> and includes </w:t>
      </w:r>
      <w:r w:rsidR="009B1E97">
        <w:t>5021</w:t>
      </w:r>
      <w:r w:rsidR="00AB6C75">
        <w:t xml:space="preserve"> </w:t>
      </w:r>
      <w:r w:rsidR="000F7302">
        <w:t xml:space="preserve">consecutive </w:t>
      </w:r>
      <w:r w:rsidR="00AB6C75">
        <w:t>days</w:t>
      </w:r>
      <w:r>
        <w:t>. Each row contains the time and date of a shooting, the location (precinct and latitude/longitude), and perpetrator/victim demographic information</w:t>
      </w:r>
      <w:r w:rsidR="00BD497C">
        <w:t>.</w:t>
      </w:r>
    </w:p>
    <w:p w14:paraId="1EA83130" w14:textId="231C59E7" w:rsidR="006C13B5" w:rsidRDefault="006C13B5" w:rsidP="0098602A">
      <w:pPr>
        <w:spacing w:line="480" w:lineRule="auto"/>
      </w:pPr>
      <w:r>
        <w:t xml:space="preserve">Data is manually extracted every quarter and reviewed by the </w:t>
      </w:r>
      <w:r w:rsidRPr="003E366E">
        <w:t>Office of Management Analysis and Planning</w:t>
      </w:r>
      <w:r>
        <w:t>. Data is intended for public use</w:t>
      </w:r>
      <w:r w:rsidR="00E77610">
        <w:t>,</w:t>
      </w:r>
      <w:r>
        <w:t xml:space="preserve"> to “explore the nature of shooting/criminal activity” in NYC.</w:t>
      </w:r>
      <w:r w:rsidR="009B1E97">
        <w:t xml:space="preserve"> Data for the final quarter in 2019 are missing as the most recent review period was stalled—likely as a result of COVID-19.</w:t>
      </w:r>
    </w:p>
    <w:p w14:paraId="2E3016CC" w14:textId="2ED76BB5" w:rsidR="009C57A9" w:rsidRDefault="009C57A9" w:rsidP="0098602A">
      <w:pPr>
        <w:spacing w:line="480" w:lineRule="auto"/>
      </w:pPr>
      <w:r>
        <w:t>Number of shootings per day ranged from 0 to 30 with an average of 4.3 shootings per day and median of 3</w:t>
      </w:r>
      <w:r w:rsidRPr="009C57A9">
        <w:t xml:space="preserve">. </w:t>
      </w:r>
      <w:r w:rsidR="00BD497C">
        <w:t xml:space="preserve">There were </w:t>
      </w:r>
      <w:r w:rsidRPr="009C57A9">
        <w:t xml:space="preserve">387 </w:t>
      </w:r>
      <w:r w:rsidR="00BD497C">
        <w:t>days without shootings in the dataset. This represents 8% of</w:t>
      </w:r>
      <w:r w:rsidR="00E77610">
        <w:t xml:space="preserve"> the </w:t>
      </w:r>
      <w:r w:rsidR="009B1E97">
        <w:t>5021</w:t>
      </w:r>
      <w:r w:rsidR="00BD497C">
        <w:t xml:space="preserve"> days.</w:t>
      </w:r>
    </w:p>
    <w:p w14:paraId="7D7C1155" w14:textId="22383D48" w:rsidR="009C57A9" w:rsidRPr="009C57A9" w:rsidRDefault="009C57A9" w:rsidP="0098602A">
      <w:pPr>
        <w:spacing w:line="480" w:lineRule="auto"/>
        <w:rPr>
          <w:b/>
          <w:sz w:val="28"/>
        </w:rPr>
      </w:pPr>
      <w:r w:rsidRPr="006C13B5">
        <w:rPr>
          <w:b/>
          <w:sz w:val="28"/>
        </w:rPr>
        <w:t>Methods</w:t>
      </w:r>
    </w:p>
    <w:p w14:paraId="3647686D" w14:textId="2053E577" w:rsidR="007A7C61" w:rsidRDefault="006C13B5" w:rsidP="00BE49EF">
      <w:pPr>
        <w:spacing w:line="480" w:lineRule="auto"/>
      </w:pPr>
      <w:r>
        <w:lastRenderedPageBreak/>
        <w:t>All analyses w</w:t>
      </w:r>
      <w:r w:rsidR="009C57A9">
        <w:t>ere</w:t>
      </w:r>
      <w:r>
        <w:t xml:space="preserve"> performed in R version </w:t>
      </w:r>
      <w:r w:rsidR="0046394A">
        <w:t>3.6.0</w:t>
      </w:r>
      <w:r>
        <w:t xml:space="preserve">. </w:t>
      </w:r>
      <w:r w:rsidR="00A508A7">
        <w:t>Only d</w:t>
      </w:r>
      <w:r>
        <w:t xml:space="preserve">ate and time data were </w:t>
      </w:r>
      <w:r w:rsidR="00BD497C">
        <w:t>used for</w:t>
      </w:r>
      <w:r>
        <w:t xml:space="preserve"> analysis as adjustment for precinct/location </w:t>
      </w:r>
      <w:r w:rsidR="00A508A7">
        <w:t xml:space="preserve">and victim/perpetrator characteristics </w:t>
      </w:r>
      <w:r>
        <w:t>w</w:t>
      </w:r>
      <w:r w:rsidR="00A508A7">
        <w:t>ere</w:t>
      </w:r>
      <w:r>
        <w:t xml:space="preserve"> beyond the scope of this study. Date and time fields have zero missing</w:t>
      </w:r>
      <w:r w:rsidR="00A508A7">
        <w:t xml:space="preserve"> values</w:t>
      </w:r>
      <w:r>
        <w:t xml:space="preserve">. Days without shootings were not present in the dataset. These days were added as new rows </w:t>
      </w:r>
      <w:r w:rsidR="00A508A7">
        <w:t xml:space="preserve">with 0 shootings </w:t>
      </w:r>
      <w:r>
        <w:t xml:space="preserve">to allow for counts and visualizations of </w:t>
      </w:r>
      <w:r w:rsidR="00690580">
        <w:t>such</w:t>
      </w:r>
      <w:r>
        <w:t xml:space="preserve">. </w:t>
      </w:r>
      <w:r w:rsidR="00BD497C">
        <w:t>V</w:t>
      </w:r>
      <w:r>
        <w:t xml:space="preserve">ariables for </w:t>
      </w:r>
      <w:r w:rsidR="009C57A9">
        <w:t>month</w:t>
      </w:r>
      <w:r>
        <w:t xml:space="preserve"> and year were added using the</w:t>
      </w:r>
      <w:r w:rsidR="00690580">
        <w:t xml:space="preserve"> </w:t>
      </w:r>
      <w:r>
        <w:t>date variabl</w:t>
      </w:r>
      <w:r w:rsidR="00690580">
        <w:t>e</w:t>
      </w:r>
      <w:r>
        <w:t>.</w:t>
      </w:r>
      <w:r w:rsidR="00391B45">
        <w:t xml:space="preserve"> It has been</w:t>
      </w:r>
      <w:r>
        <w:t xml:space="preserve"> documented</w:t>
      </w:r>
      <w:r w:rsidR="00391B45">
        <w:t xml:space="preserve"> that</w:t>
      </w:r>
      <w:r>
        <w:t xml:space="preserve"> shooting incidence changes depending on time of </w:t>
      </w:r>
      <w:r w:rsidR="00AF7C82">
        <w:t>year,</w:t>
      </w:r>
      <w:r w:rsidR="00391B45">
        <w:t xml:space="preserve"> rising in the summer and falling in the winter</w:t>
      </w:r>
      <w:r w:rsidR="00BE49EF" w:rsidRPr="00BE49EF">
        <w:rPr>
          <w:vertAlign w:val="superscript"/>
        </w:rPr>
        <w:t>2,5</w:t>
      </w:r>
      <w:r>
        <w:t>.</w:t>
      </w:r>
      <w:r w:rsidR="00391B45">
        <w:t xml:space="preserve"> </w:t>
      </w:r>
      <w:r w:rsidR="005351BE">
        <w:t>The extent to which this data agrees with this understanding can</w:t>
      </w:r>
      <w:r>
        <w:t xml:space="preserve"> be seen in the shooting incidence graph </w:t>
      </w:r>
      <w:r w:rsidR="007A7C61">
        <w:t>below.</w:t>
      </w:r>
    </w:p>
    <w:p w14:paraId="11999EC3" w14:textId="6EA7E7D7" w:rsidR="007A7C61" w:rsidRDefault="007A7C61" w:rsidP="007A7C61">
      <w:pPr>
        <w:spacing w:line="480" w:lineRule="auto"/>
        <w:jc w:val="center"/>
      </w:pPr>
      <w:r>
        <w:rPr>
          <w:noProof/>
        </w:rPr>
        <w:drawing>
          <wp:inline distT="0" distB="0" distL="0" distR="0" wp14:anchorId="2BB00328" wp14:editId="124B694E">
            <wp:extent cx="4171950" cy="27018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1390" r="2177"/>
                    <a:stretch/>
                  </pic:blipFill>
                  <pic:spPr bwMode="auto">
                    <a:xfrm>
                      <a:off x="0" y="0"/>
                      <a:ext cx="4193393" cy="271571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A76027D" w14:textId="462B75CE" w:rsidR="007A7C61" w:rsidRPr="007A7C61" w:rsidRDefault="007A7C61" w:rsidP="007A7C61">
      <w:pPr>
        <w:spacing w:line="480" w:lineRule="auto"/>
        <w:jc w:val="center"/>
        <w:rPr>
          <w:i/>
          <w:iCs/>
          <w:sz w:val="20"/>
          <w:szCs w:val="20"/>
        </w:rPr>
      </w:pPr>
      <w:r w:rsidRPr="007A7C61">
        <w:rPr>
          <w:i/>
          <w:iCs/>
          <w:sz w:val="20"/>
          <w:szCs w:val="20"/>
        </w:rPr>
        <w:t>Figure 2: Shooting incidence per month 2006-</w:t>
      </w:r>
      <w:r w:rsidR="00024386" w:rsidRPr="00BE49EF">
        <w:rPr>
          <w:b/>
          <w:bCs/>
          <w:i/>
          <w:iCs/>
          <w:sz w:val="20"/>
          <w:szCs w:val="20"/>
        </w:rPr>
        <w:t>September</w:t>
      </w:r>
      <w:r w:rsidR="00024386">
        <w:rPr>
          <w:i/>
          <w:iCs/>
          <w:sz w:val="20"/>
          <w:szCs w:val="20"/>
        </w:rPr>
        <w:t xml:space="preserve"> </w:t>
      </w:r>
      <w:r w:rsidRPr="007A7C61">
        <w:rPr>
          <w:i/>
          <w:iCs/>
          <w:sz w:val="20"/>
          <w:szCs w:val="20"/>
        </w:rPr>
        <w:t>2019</w:t>
      </w:r>
    </w:p>
    <w:p w14:paraId="3573AFD1" w14:textId="5A5F5B26" w:rsidR="006C13B5" w:rsidRDefault="006C13B5" w:rsidP="0098602A">
      <w:pPr>
        <w:spacing w:line="480" w:lineRule="auto"/>
      </w:pPr>
      <w:r>
        <w:t xml:space="preserve"> </w:t>
      </w:r>
      <w:r w:rsidR="00391B45">
        <w:t xml:space="preserve">Month was included as a factor variable to accommodate these </w:t>
      </w:r>
      <w:r w:rsidR="00BC6886">
        <w:t xml:space="preserve">time of year </w:t>
      </w:r>
      <w:r w:rsidR="00391B45">
        <w:t>fluctuations</w:t>
      </w:r>
      <w:r w:rsidR="009C57A9">
        <w:t xml:space="preserve"> and to give higher resolution to </w:t>
      </w:r>
      <w:r w:rsidR="00BD497C">
        <w:t>such</w:t>
      </w:r>
      <w:r w:rsidR="009C57A9">
        <w:t xml:space="preserve"> changes than a </w:t>
      </w:r>
      <w:r w:rsidR="00BC6886">
        <w:t>four</w:t>
      </w:r>
      <w:r w:rsidR="004A325A">
        <w:t>-</w:t>
      </w:r>
      <w:r w:rsidR="00BC6886">
        <w:t xml:space="preserve">level </w:t>
      </w:r>
      <w:r w:rsidR="009C57A9">
        <w:t xml:space="preserve">seasonal variable </w:t>
      </w:r>
      <w:r w:rsidR="00BD497C">
        <w:t>c</w:t>
      </w:r>
      <w:r w:rsidR="009C57A9">
        <w:t>ould provide</w:t>
      </w:r>
      <w:r w:rsidR="00391B45">
        <w:t xml:space="preserve">. </w:t>
      </w:r>
      <w:r w:rsidR="008046BD">
        <w:t xml:space="preserve">Number of shootings also varies with day of the week, with more shootings during weekends, so day of week was included as a factor variable.  </w:t>
      </w:r>
      <w:r>
        <w:t xml:space="preserve">Finally, an interrupted time series variable for pre/post SAFE act implementation was </w:t>
      </w:r>
      <w:r w:rsidR="00B5499F">
        <w:t xml:space="preserve">included </w:t>
      </w:r>
      <w:r>
        <w:t xml:space="preserve">to understand the effect this </w:t>
      </w:r>
      <w:r w:rsidR="00690580">
        <w:t>new</w:t>
      </w:r>
      <w:r>
        <w:t xml:space="preserve"> legislation </w:t>
      </w:r>
      <w:r w:rsidR="007048D8">
        <w:t xml:space="preserve">may have </w:t>
      </w:r>
      <w:r>
        <w:t>had on incidence of gun violence</w:t>
      </w:r>
      <w:r w:rsidR="005351BE">
        <w:t xml:space="preserve"> </w:t>
      </w:r>
      <w:r w:rsidR="00BD497C">
        <w:t>at the daily and monthly level</w:t>
      </w:r>
      <w:r>
        <w:t>.</w:t>
      </w:r>
      <w:r w:rsidR="00B5499F">
        <w:t xml:space="preserve">  Models allowed for a level shift and a change in slope at the time of SAFE Act implementation, </w:t>
      </w:r>
      <w:r w:rsidR="004A325A">
        <w:t>01</w:t>
      </w:r>
      <w:r w:rsidR="00B5499F">
        <w:t>/</w:t>
      </w:r>
      <w:r w:rsidR="004A325A">
        <w:t>13</w:t>
      </w:r>
      <w:r w:rsidR="00B5499F">
        <w:t>/20</w:t>
      </w:r>
      <w:r w:rsidR="004A325A">
        <w:t>13</w:t>
      </w:r>
      <w:r w:rsidR="00B5499F">
        <w:t>.</w:t>
      </w:r>
      <w:r w:rsidR="00A03B29">
        <w:t xml:space="preserve">  A Generalized Linear Model with Negative Binomial distribution and log link, i.e. Negative Binomial regression, was </w:t>
      </w:r>
      <w:r w:rsidR="00A03B29">
        <w:lastRenderedPageBreak/>
        <w:t>used to model t</w:t>
      </w:r>
      <w:r w:rsidR="007443B6">
        <w:t>he outcome, number of shootings per day</w:t>
      </w:r>
      <w:r w:rsidR="00A03B29">
        <w:t>.  Negative Binomial is</w:t>
      </w:r>
      <w:r w:rsidR="007443B6">
        <w:t xml:space="preserve"> a generalization of Poisson that allows overdispersion</w:t>
      </w:r>
      <w:r w:rsidR="00A03B29">
        <w:t>, i.e. variance greater than the mean</w:t>
      </w:r>
      <w:r w:rsidR="007443B6">
        <w:t>.</w:t>
      </w:r>
      <w:r w:rsidR="00A81520">
        <w:t xml:space="preserve">  Rate ratios shown in Figure 2 are exponentiated regression coefficients from this model.</w:t>
      </w:r>
    </w:p>
    <w:p w14:paraId="322CB34D" w14:textId="6FA8EB56" w:rsidR="006C13B5" w:rsidRDefault="006C13B5" w:rsidP="0098602A">
      <w:pPr>
        <w:spacing w:line="480" w:lineRule="auto"/>
      </w:pPr>
      <w:r>
        <w:t>Univariate modeling was conducted to identify variables ass</w:t>
      </w:r>
      <w:r w:rsidR="00144121">
        <w:t>ociated with changes in shooting</w:t>
      </w:r>
      <w:r w:rsidR="009C57A9">
        <w:t xml:space="preserve"> incidence</w:t>
      </w:r>
      <w:r>
        <w:t xml:space="preserve">. </w:t>
      </w:r>
      <w:r w:rsidR="001C61A0">
        <w:t xml:space="preserve">All </w:t>
      </w:r>
      <w:r>
        <w:t>variables</w:t>
      </w:r>
      <w:r w:rsidR="001C61A0">
        <w:t xml:space="preserve"> were</w:t>
      </w:r>
      <w:r>
        <w:t xml:space="preserve"> found to be statistically significant (p &lt; .05) in univariate analysis</w:t>
      </w:r>
      <w:r w:rsidR="001C61A0">
        <w:t xml:space="preserve"> and so</w:t>
      </w:r>
      <w:r>
        <w:t xml:space="preserve"> were used in multivariable modeling.</w:t>
      </w:r>
      <w:r w:rsidR="009C57A9">
        <w:t xml:space="preserve"> Models were built at the day level and </w:t>
      </w:r>
      <w:r w:rsidR="001C61A0">
        <w:t xml:space="preserve">interpreted at the </w:t>
      </w:r>
      <w:r w:rsidR="009C57A9">
        <w:t>month level to better visualize variation in incidence rate ratios.</w:t>
      </w:r>
    </w:p>
    <w:p w14:paraId="7C609783" w14:textId="42EAB13D" w:rsidR="0086115C" w:rsidRPr="00230DF3" w:rsidRDefault="00690580" w:rsidP="007A7C61">
      <w:pPr>
        <w:pStyle w:val="Heading1"/>
        <w:spacing w:line="480" w:lineRule="auto"/>
        <w:rPr>
          <w:i/>
          <w:iCs/>
        </w:rPr>
      </w:pPr>
      <w:r w:rsidRPr="007A7C61">
        <w:rPr>
          <w:rFonts w:asciiTheme="minorHAnsi" w:hAnsiTheme="minorHAnsi" w:cstheme="minorHAnsi"/>
          <w:b/>
          <w:bCs/>
          <w:sz w:val="28"/>
          <w:szCs w:val="28"/>
        </w:rPr>
        <w:t>Findings</w:t>
      </w:r>
    </w:p>
    <w:p w14:paraId="3D267FFF" w14:textId="22B9048F" w:rsidR="0046394A" w:rsidRDefault="00690580" w:rsidP="0098602A">
      <w:pPr>
        <w:spacing w:line="480" w:lineRule="auto"/>
      </w:pPr>
      <w:r>
        <w:t>The model</w:t>
      </w:r>
      <w:r w:rsidR="009C57A9">
        <w:t xml:space="preserve"> estimating shootings-per-day</w:t>
      </w:r>
      <w:r>
        <w:t xml:space="preserve"> suggested that </w:t>
      </w:r>
      <w:r w:rsidR="009C57A9">
        <w:t>m</w:t>
      </w:r>
      <w:r w:rsidR="00391B45">
        <w:t>onth</w:t>
      </w:r>
      <w:r w:rsidR="00374ECA">
        <w:t xml:space="preserve"> of year</w:t>
      </w:r>
      <w:r>
        <w:t xml:space="preserve">, day of the week, and SAFE </w:t>
      </w:r>
      <w:r w:rsidR="009C57A9">
        <w:t>A</w:t>
      </w:r>
      <w:r>
        <w:t>ct passage were significantly associated wit</w:t>
      </w:r>
      <w:r w:rsidR="009C57A9">
        <w:t xml:space="preserve">h our expected shooting rates </w:t>
      </w:r>
      <w:r>
        <w:t>(</w:t>
      </w:r>
      <w:r w:rsidR="00AF7C82">
        <w:t>Figure 2Days Tuesday, Wednesday and Thursday are estimated to decrease our expectation of shooting incidence by 14-19%</w:t>
      </w:r>
      <w:r w:rsidR="00922E98">
        <w:t xml:space="preserve"> relative to Fridays</w:t>
      </w:r>
      <w:r w:rsidR="00AF7C82">
        <w:t xml:space="preserve">. </w:t>
      </w:r>
      <w:r w:rsidR="00922E98">
        <w:t xml:space="preserve"> Compared with Fridays, </w:t>
      </w:r>
      <w:r w:rsidR="00AF7C82">
        <w:t>Saturday and Sunday have incidence ratios suggesting a rate increase of 44% and 53%, respectively.</w:t>
      </w:r>
    </w:p>
    <w:p w14:paraId="1E03E186" w14:textId="00D58BB4" w:rsidR="00587C33" w:rsidRDefault="004A325A" w:rsidP="0098602A">
      <w:pPr>
        <w:spacing w:line="480" w:lineRule="auto"/>
        <w:jc w:val="center"/>
      </w:pPr>
      <w:r w:rsidRPr="004A325A">
        <w:rPr>
          <w:noProof/>
        </w:rPr>
        <w:drawing>
          <wp:inline distT="0" distB="0" distL="0" distR="0" wp14:anchorId="6F60D787" wp14:editId="327DC33E">
            <wp:extent cx="5448300" cy="3185039"/>
            <wp:effectExtent l="0" t="0" r="0" b="0"/>
            <wp:docPr id="9" name="Picture 8">
              <a:extLst xmlns:a="http://schemas.openxmlformats.org/drawingml/2006/main">
                <a:ext uri="{FF2B5EF4-FFF2-40B4-BE49-F238E27FC236}">
                  <a16:creationId xmlns:a16="http://schemas.microsoft.com/office/drawing/2014/main" id="{339F3A0B-DD6A-4013-89C3-97E1E505E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9F3A0B-DD6A-4013-89C3-97E1E505EB7C}"/>
                        </a:ext>
                      </a:extLst>
                    </pic:cNvPr>
                    <pic:cNvPicPr>
                      <a:picLocks noChangeAspect="1"/>
                    </pic:cNvPicPr>
                  </pic:nvPicPr>
                  <pic:blipFill rotWithShape="1">
                    <a:blip r:embed="rId10"/>
                    <a:srcRect l="1372" t="1612" r="1189"/>
                    <a:stretch/>
                  </pic:blipFill>
                  <pic:spPr>
                    <a:xfrm>
                      <a:off x="0" y="0"/>
                      <a:ext cx="5471421" cy="3198555"/>
                    </a:xfrm>
                    <a:prstGeom prst="rect">
                      <a:avLst/>
                    </a:prstGeom>
                  </pic:spPr>
                </pic:pic>
              </a:graphicData>
            </a:graphic>
          </wp:inline>
        </w:drawing>
      </w:r>
    </w:p>
    <w:p w14:paraId="03D3CE2D" w14:textId="0C53005F" w:rsidR="0046394A" w:rsidRPr="0046394A" w:rsidRDefault="0046394A" w:rsidP="0098602A">
      <w:pPr>
        <w:spacing w:line="480" w:lineRule="auto"/>
        <w:jc w:val="center"/>
        <w:rPr>
          <w:i/>
          <w:iCs/>
          <w:sz w:val="20"/>
          <w:szCs w:val="20"/>
        </w:rPr>
      </w:pPr>
      <w:r>
        <w:rPr>
          <w:i/>
          <w:iCs/>
          <w:sz w:val="20"/>
          <w:szCs w:val="20"/>
        </w:rPr>
        <w:lastRenderedPageBreak/>
        <w:t>Figure 2: Incidence Rate Ratios and Confidence Intervals for the negative binomial regression predicting number of reported shootings per day</w:t>
      </w:r>
    </w:p>
    <w:p w14:paraId="17AFD7E4" w14:textId="3E503A76" w:rsidR="003C3784" w:rsidRDefault="009B1E97" w:rsidP="0098602A">
      <w:pPr>
        <w:spacing w:line="480" w:lineRule="auto"/>
      </w:pPr>
      <w:r>
        <w:t xml:space="preserve">). The intercept represents a Friday in January, pre-intervention and was 3.88. On a typical Friday in January 2006, we anticipate 3.88 shootings may occur. The incident rate ratio for post-SAFE Act level shift was 0.86, indicating a 14% (95% CI 7%-20%) reduction in shooting incidence following act passage. </w:t>
      </w:r>
      <w:r w:rsidR="003C3784">
        <w:t xml:space="preserve">February was the only month that had a significantly lower rate than January. We estimate that shooting incidence per day in the month of February is 15% </w:t>
      </w:r>
      <w:r w:rsidR="00C1648A">
        <w:t xml:space="preserve">(95% CI </w:t>
      </w:r>
      <w:r w:rsidR="00CD1CF3">
        <w:t>6</w:t>
      </w:r>
      <w:r w:rsidR="00C1648A">
        <w:t xml:space="preserve">% - </w:t>
      </w:r>
      <w:r w:rsidR="00CD1CF3">
        <w:t>23</w:t>
      </w:r>
      <w:r w:rsidR="00C1648A">
        <w:t xml:space="preserve">%) </w:t>
      </w:r>
      <w:r w:rsidR="003C3784">
        <w:t xml:space="preserve">lower than </w:t>
      </w:r>
      <w:r w:rsidR="00D70BC8">
        <w:t xml:space="preserve">that </w:t>
      </w:r>
      <w:r w:rsidR="003C3784">
        <w:t>expected in January. All remaining month</w:t>
      </w:r>
      <w:r w:rsidR="002477CA">
        <w:t>s,</w:t>
      </w:r>
      <w:r w:rsidR="003C3784">
        <w:t xml:space="preserve"> excluding March</w:t>
      </w:r>
      <w:r w:rsidR="002477CA">
        <w:t>,</w:t>
      </w:r>
      <w:r w:rsidR="003C3784">
        <w:t xml:space="preserve"> had significantly higher rate ratios than January. </w:t>
      </w:r>
      <w:r w:rsidR="007B78FE">
        <w:t xml:space="preserve"> Highest rates were in July and August, about 75% higher than January.  </w:t>
      </w:r>
      <w:r w:rsidR="003C3784">
        <w:t xml:space="preserve">This agrees with the </w:t>
      </w:r>
      <w:r w:rsidR="002477CA">
        <w:t>belief</w:t>
      </w:r>
      <w:r w:rsidR="003C3784">
        <w:t xml:space="preserve"> that shootings rise in warm weather</w:t>
      </w:r>
      <w:r w:rsidR="0086115C">
        <w:t xml:space="preserve"> </w:t>
      </w:r>
      <w:r w:rsidR="003C3784">
        <w:t>and fall in cold weather.</w:t>
      </w:r>
    </w:p>
    <w:p w14:paraId="2980446D" w14:textId="076EAEF9" w:rsidR="00D70BC8" w:rsidRDefault="00D70BC8" w:rsidP="0098602A">
      <w:pPr>
        <w:spacing w:line="480" w:lineRule="auto"/>
      </w:pPr>
      <w:r>
        <w:t xml:space="preserve">The </w:t>
      </w:r>
      <w:r w:rsidR="0086115C">
        <w:t>B</w:t>
      </w:r>
      <w:r>
        <w:t xml:space="preserve">aseline </w:t>
      </w:r>
      <w:r w:rsidR="0086115C">
        <w:t>S</w:t>
      </w:r>
      <w:r>
        <w:t xml:space="preserve">lope </w:t>
      </w:r>
      <w:r w:rsidR="0086115C">
        <w:t xml:space="preserve">variable seen </w:t>
      </w:r>
      <w:r>
        <w:t>above shows th</w:t>
      </w:r>
      <w:r w:rsidR="0086115C">
        <w:t>e</w:t>
      </w:r>
      <w:r>
        <w:t xml:space="preserve"> general trend in shootings </w:t>
      </w:r>
      <w:r w:rsidR="00281043">
        <w:t>prior to the SAFE Act</w:t>
      </w:r>
      <w:r>
        <w:t>. Such indicates a 2% decline in shooting inciden</w:t>
      </w:r>
      <w:r w:rsidR="0086115C">
        <w:t>ce</w:t>
      </w:r>
      <w:r>
        <w:t xml:space="preserve"> per year. The </w:t>
      </w:r>
      <w:r w:rsidR="0086115C">
        <w:t>S</w:t>
      </w:r>
      <w:r>
        <w:t xml:space="preserve">lope </w:t>
      </w:r>
      <w:r w:rsidR="0086115C">
        <w:t>C</w:t>
      </w:r>
      <w:r>
        <w:t xml:space="preserve">hange variable represents the change in slope seen following the passage of the SAFE Act. The slope steepened an additional 6% from the decline </w:t>
      </w:r>
      <w:r w:rsidR="0086115C">
        <w:t>observed</w:t>
      </w:r>
      <w:r>
        <w:t xml:space="preserve"> prior to legislative change.</w:t>
      </w:r>
      <w:r w:rsidR="00AA79C4">
        <w:t xml:space="preserve"> </w:t>
      </w:r>
    </w:p>
    <w:p w14:paraId="37741DC3" w14:textId="46D90C86" w:rsidR="008F5125" w:rsidRPr="009B1858" w:rsidRDefault="008F5125" w:rsidP="0098602A">
      <w:pPr>
        <w:pStyle w:val="Heading1"/>
        <w:spacing w:line="480" w:lineRule="auto"/>
      </w:pPr>
      <w:r w:rsidRPr="009B1858">
        <w:rPr>
          <w:b/>
          <w:bCs/>
        </w:rPr>
        <w:t>Discussion</w:t>
      </w:r>
    </w:p>
    <w:p w14:paraId="21418744" w14:textId="4572AC94" w:rsidR="00221086" w:rsidRDefault="00221086" w:rsidP="0098602A">
      <w:pPr>
        <w:spacing w:line="480" w:lineRule="auto"/>
      </w:pPr>
      <w:r>
        <w:t>When accounting for day of the week and month</w:t>
      </w:r>
      <w:r w:rsidR="00E5267A">
        <w:t xml:space="preserve"> of the year</w:t>
      </w:r>
      <w:r>
        <w:t>, the estimated incidence of shooting on a given day</w:t>
      </w:r>
      <w:r w:rsidR="00E5267A">
        <w:t xml:space="preserve"> </w:t>
      </w:r>
      <w:r w:rsidR="005B26D8">
        <w:t xml:space="preserve">after the SAFE Act was </w:t>
      </w:r>
      <w:r>
        <w:t>14%</w:t>
      </w:r>
      <w:r w:rsidR="005B26D8">
        <w:t xml:space="preserve"> lower than just before the SAFE Act</w:t>
      </w:r>
      <w:r>
        <w:t xml:space="preserve">. </w:t>
      </w:r>
      <w:r w:rsidR="005B26D8">
        <w:t>Shootings continued to decrease at a faster rate after the act’s passage, by</w:t>
      </w:r>
      <w:r w:rsidR="00961C03">
        <w:t xml:space="preserve"> an additional</w:t>
      </w:r>
      <w:r w:rsidR="005B26D8">
        <w:t xml:space="preserve"> 6% per year.  </w:t>
      </w:r>
      <w:r>
        <w:t xml:space="preserve">Looking at the shooting-free weekend (Friday, Saturday, Sunday) that occurred in October 2018, we estimated the </w:t>
      </w:r>
      <w:r w:rsidR="00961C03">
        <w:t xml:space="preserve">expected </w:t>
      </w:r>
      <w:r>
        <w:t>number of shootings to be 10. For the same weekend in 2012, the year before implementation of the SAFE Act, we estimated 17 shootings would be reported. However, this is not a direct comparison due to 6 years of incidence reduction efforts outside of the SAFE Act. Had incidence decline followed its observed trend</w:t>
      </w:r>
      <w:r w:rsidR="00E27ACD">
        <w:t xml:space="preserve"> prior to the SAFE Act</w:t>
      </w:r>
      <w:r>
        <w:t xml:space="preserve">, the shooting-free weekend in October 2018 would have been expected to have 16 reported shootings. </w:t>
      </w:r>
    </w:p>
    <w:p w14:paraId="14A96D57" w14:textId="47E0BB2F" w:rsidR="009B1858" w:rsidRPr="009B1858" w:rsidRDefault="009B1858" w:rsidP="0098602A">
      <w:pPr>
        <w:pStyle w:val="Heading1"/>
        <w:spacing w:line="480" w:lineRule="auto"/>
        <w:rPr>
          <w:b/>
          <w:bCs/>
        </w:rPr>
      </w:pPr>
      <w:r w:rsidRPr="009B1858">
        <w:rPr>
          <w:b/>
          <w:bCs/>
        </w:rPr>
        <w:lastRenderedPageBreak/>
        <w:t>Limitations</w:t>
      </w:r>
    </w:p>
    <w:p w14:paraId="1379C96D" w14:textId="7D9F82A8" w:rsidR="009B1858" w:rsidRDefault="009B1858" w:rsidP="0098602A">
      <w:pPr>
        <w:spacing w:line="480" w:lineRule="auto"/>
      </w:pPr>
      <w:r>
        <w:t>The models assume that shootings on given days or months are independent of those that immediately precede them. This assum</w:t>
      </w:r>
      <w:r w:rsidR="00BD497C">
        <w:t>ption</w:t>
      </w:r>
      <w:r>
        <w:t xml:space="preserve"> is likely false but was made for ease of interpretation of the interrupted time series variables. Further work can be done to create a model that accounts for prior shooting incidence</w:t>
      </w:r>
      <w:r w:rsidR="00BD497C">
        <w:t>.</w:t>
      </w:r>
    </w:p>
    <w:p w14:paraId="3233436B" w14:textId="262F59E9" w:rsidR="009B1858" w:rsidRDefault="009B1858" w:rsidP="0098602A">
      <w:pPr>
        <w:spacing w:line="480" w:lineRule="auto"/>
      </w:pPr>
      <w:r>
        <w:t>Additionally, th</w:t>
      </w:r>
      <w:r w:rsidR="00BD497C">
        <w:t>ese</w:t>
      </w:r>
      <w:r>
        <w:t xml:space="preserve"> model</w:t>
      </w:r>
      <w:r w:rsidR="00BD497C">
        <w:t>s</w:t>
      </w:r>
      <w:r>
        <w:t xml:space="preserve"> did not include other gun violence interventions such as changes in policing practices and the Cure Violence program discussed in the introduction. Such </w:t>
      </w:r>
      <w:r w:rsidR="008B178F">
        <w:t>changes were</w:t>
      </w:r>
      <w:r>
        <w:t xml:space="preserve"> excluded due to the heterogen</w:t>
      </w:r>
      <w:r w:rsidR="008B178F">
        <w:t>e</w:t>
      </w:r>
      <w:r>
        <w:t>ous nature of such changes. No other intervention</w:t>
      </w:r>
      <w:r w:rsidR="008B178F">
        <w:t xml:space="preserve"> besides the SAFE Act</w:t>
      </w:r>
      <w:r>
        <w:t xml:space="preserve"> impacted</w:t>
      </w:r>
      <w:r w:rsidR="00BD497C">
        <w:t xml:space="preserve"> all of</w:t>
      </w:r>
      <w:r>
        <w:t xml:space="preserve"> New York City at the same level or the same time. Including </w:t>
      </w:r>
      <w:r w:rsidR="008B178F">
        <w:t xml:space="preserve">other interventions </w:t>
      </w:r>
      <w:r>
        <w:t>would have required greater granularity in model outcome. It is likely that these other interventions had a measurable impact on gun violence, but inclusion of such was beyond the scope of this study.</w:t>
      </w:r>
    </w:p>
    <w:p w14:paraId="019915D1" w14:textId="0E6BCC70" w:rsidR="00ED339F" w:rsidRDefault="00024386" w:rsidP="0098602A">
      <w:pPr>
        <w:spacing w:line="480" w:lineRule="auto"/>
      </w:pPr>
      <w:r>
        <w:t>T</w:t>
      </w:r>
      <w:r w:rsidR="00ED339F">
        <w:t xml:space="preserve">hese findings reflect the temperature patterns observed in New York City and may not translate to areas with different seasonal patterns. </w:t>
      </w:r>
      <w:r>
        <w:t>And finally, the lack of 4</w:t>
      </w:r>
      <w:r w:rsidRPr="00024386">
        <w:rPr>
          <w:vertAlign w:val="superscript"/>
        </w:rPr>
        <w:t>th</w:t>
      </w:r>
      <w:r>
        <w:t xml:space="preserve"> quarter 2019 data limits our ability to interpret 2019 patterns and decreases data available for these months.</w:t>
      </w:r>
    </w:p>
    <w:p w14:paraId="657FEA81" w14:textId="191C0B6A" w:rsidR="009B1858" w:rsidRPr="0046394A" w:rsidRDefault="0098602A" w:rsidP="0098602A">
      <w:pPr>
        <w:pStyle w:val="Heading1"/>
        <w:spacing w:line="480" w:lineRule="auto"/>
        <w:rPr>
          <w:b/>
          <w:bCs/>
        </w:rPr>
      </w:pPr>
      <w:r>
        <w:rPr>
          <w:b/>
          <w:bCs/>
        </w:rPr>
        <w:t>Conclusion</w:t>
      </w:r>
    </w:p>
    <w:p w14:paraId="45EC2003" w14:textId="30F7AFDA" w:rsidR="009B1858" w:rsidRDefault="006239E4" w:rsidP="0098602A">
      <w:pPr>
        <w:spacing w:line="480" w:lineRule="auto"/>
      </w:pPr>
      <w:r>
        <w:t>Following the SAFE Act, t</w:t>
      </w:r>
      <w:r w:rsidR="009B1858">
        <w:t>he</w:t>
      </w:r>
      <w:r>
        <w:t xml:space="preserve">re was an immediate decrease in </w:t>
      </w:r>
      <w:r w:rsidR="009B1858">
        <w:t>the incidence of gun violence in New York City</w:t>
      </w:r>
      <w:r w:rsidR="00BD497C">
        <w:t xml:space="preserve"> by approximately 13%</w:t>
      </w:r>
      <w:r>
        <w:t>, and an</w:t>
      </w:r>
      <w:r w:rsidR="002477CA">
        <w:t xml:space="preserve"> accelerated incidence decline in following years</w:t>
      </w:r>
      <w:r>
        <w:t xml:space="preserve"> by an additional 6% per year </w:t>
      </w:r>
      <w:r w:rsidR="00306481">
        <w:t>compared with the trend prior to the SAFE Act</w:t>
      </w:r>
      <w:r w:rsidR="009B1858">
        <w:t>. Day of the week is a significant predictor of incidence rate with reported shootings rising on weekends and falling mid-week. Such makes the shooting-free weekend seen in October 2018 more surprising, though its likelihood has increased greatly in recent years. Month is also a significant predictor of shooting incidence with rates highest in June, July and August, and lowest in January and February. With a</w:t>
      </w:r>
      <w:r w:rsidR="0046394A">
        <w:t>n observed</w:t>
      </w:r>
      <w:r w:rsidR="009B1858">
        <w:t xml:space="preserve"> reduction </w:t>
      </w:r>
      <w:r w:rsidR="0046394A">
        <w:t xml:space="preserve">in gun violence </w:t>
      </w:r>
      <w:r w:rsidR="009B1858">
        <w:t>of 1</w:t>
      </w:r>
      <w:r w:rsidR="0046394A">
        <w:t>3</w:t>
      </w:r>
      <w:r w:rsidR="009B1858">
        <w:t>%</w:t>
      </w:r>
      <w:r w:rsidR="0046394A">
        <w:t xml:space="preserve"> per </w:t>
      </w:r>
      <w:r w:rsidR="004A325A">
        <w:t>day</w:t>
      </w:r>
      <w:r w:rsidR="0046394A">
        <w:t xml:space="preserve">, our study supports the argument that </w:t>
      </w:r>
      <w:r w:rsidR="0046394A">
        <w:lastRenderedPageBreak/>
        <w:t>comprehensive gun legislation</w:t>
      </w:r>
      <w:r w:rsidR="00306481">
        <w:t xml:space="preserve"> such as the SAFE Act</w:t>
      </w:r>
      <w:r w:rsidR="0046394A">
        <w:t xml:space="preserve"> can have a significant immediate </w:t>
      </w:r>
      <w:r w:rsidR="00306481">
        <w:t xml:space="preserve">and </w:t>
      </w:r>
      <w:r w:rsidR="009F5B76">
        <w:t>longer-term</w:t>
      </w:r>
      <w:r w:rsidR="00306481">
        <w:t xml:space="preserve"> </w:t>
      </w:r>
      <w:r w:rsidR="0046394A">
        <w:t>impact on gun violence in states where such is passed.</w:t>
      </w:r>
    </w:p>
    <w:p w14:paraId="0FC2529D" w14:textId="6F551336" w:rsidR="008F5125" w:rsidRDefault="008F5125" w:rsidP="0098602A">
      <w:pPr>
        <w:spacing w:line="480" w:lineRule="auto"/>
      </w:pPr>
    </w:p>
    <w:p w14:paraId="2DCEF48E" w14:textId="78F0C9C1" w:rsidR="00024386" w:rsidRDefault="00024386" w:rsidP="0098602A">
      <w:pPr>
        <w:spacing w:line="480" w:lineRule="auto"/>
      </w:pPr>
    </w:p>
    <w:p w14:paraId="4878DBD0" w14:textId="31F3D6D8" w:rsidR="00024386" w:rsidRDefault="00024386" w:rsidP="0098602A">
      <w:pPr>
        <w:spacing w:line="480" w:lineRule="auto"/>
      </w:pPr>
    </w:p>
    <w:p w14:paraId="7285FCE6" w14:textId="26B4A051" w:rsidR="00024386" w:rsidRDefault="00024386" w:rsidP="0098602A">
      <w:pPr>
        <w:spacing w:line="480" w:lineRule="auto"/>
      </w:pPr>
    </w:p>
    <w:p w14:paraId="7A77024A" w14:textId="05B87D21" w:rsidR="00024386" w:rsidRDefault="00024386" w:rsidP="0098602A">
      <w:pPr>
        <w:spacing w:line="480" w:lineRule="auto"/>
      </w:pPr>
    </w:p>
    <w:p w14:paraId="11A4FFEE" w14:textId="6E2FEC09" w:rsidR="00024386" w:rsidRDefault="00024386" w:rsidP="0098602A">
      <w:pPr>
        <w:spacing w:line="480" w:lineRule="auto"/>
      </w:pPr>
      <w:r>
        <w:t>References</w:t>
      </w:r>
    </w:p>
    <w:p w14:paraId="1BB7EF58" w14:textId="77777777" w:rsidR="00024386" w:rsidRDefault="00024386" w:rsidP="00024386">
      <w:pPr>
        <w:pStyle w:val="ListParagraph"/>
        <w:numPr>
          <w:ilvl w:val="0"/>
          <w:numId w:val="1"/>
        </w:numPr>
        <w:spacing w:line="480" w:lineRule="auto"/>
      </w:pPr>
      <w:proofErr w:type="spellStart"/>
      <w:r>
        <w:t>JohnJayREC</w:t>
      </w:r>
      <w:proofErr w:type="spellEnd"/>
      <w:r>
        <w:t>. (2019, July 10). The Effects of Cure Violence Programs in 2 New York City Neighborhoods. Retrieved from https://johnjayrec.nyc/2017/10/02/cvinsobronxeastny/</w:t>
      </w:r>
    </w:p>
    <w:p w14:paraId="7A65B3D2" w14:textId="77777777" w:rsidR="00024386" w:rsidRDefault="00024386" w:rsidP="00024386">
      <w:pPr>
        <w:pStyle w:val="ListParagraph"/>
        <w:numPr>
          <w:ilvl w:val="0"/>
          <w:numId w:val="1"/>
        </w:numPr>
        <w:spacing w:line="480" w:lineRule="auto"/>
      </w:pPr>
      <w:r>
        <w:t xml:space="preserve">Larsen, D. A., Lane, S., Jennings-Bey, T., Haygood-El, A., Brundage, K., &amp; Rubinstein, R. A. (2017). </w:t>
      </w:r>
      <w:proofErr w:type="spellStart"/>
      <w:r>
        <w:t>Spatio</w:t>
      </w:r>
      <w:proofErr w:type="spellEnd"/>
      <w:r>
        <w:t xml:space="preserve">-temporal patterns of gun violence in Syracuse, New York 2009-2015. </w:t>
      </w:r>
      <w:proofErr w:type="spellStart"/>
      <w:r>
        <w:t>Plos</w:t>
      </w:r>
      <w:proofErr w:type="spellEnd"/>
      <w:r>
        <w:t xml:space="preserve"> One, 12(3). </w:t>
      </w:r>
      <w:proofErr w:type="spellStart"/>
      <w:r>
        <w:t>doi</w:t>
      </w:r>
      <w:proofErr w:type="spellEnd"/>
      <w:r>
        <w:t>: 10.1371/journal.pone.0173001</w:t>
      </w:r>
    </w:p>
    <w:p w14:paraId="2AB0699D" w14:textId="1D97BF36" w:rsidR="00024386" w:rsidRDefault="00024386" w:rsidP="00024386">
      <w:pPr>
        <w:pStyle w:val="ListParagraph"/>
        <w:numPr>
          <w:ilvl w:val="0"/>
          <w:numId w:val="1"/>
        </w:numPr>
        <w:spacing w:line="480" w:lineRule="auto"/>
      </w:pPr>
      <w:r>
        <w:t>M</w:t>
      </w:r>
      <w:r w:rsidR="00BE49EF">
        <w:t>e</w:t>
      </w:r>
      <w:r>
        <w:t>s</w:t>
      </w:r>
      <w:r w:rsidR="00BE49EF">
        <w:t>sner</w:t>
      </w:r>
      <w:r>
        <w:t xml:space="preserve">, D. J. L. (2008). Policing, drugs and the homicide decline in New York City in the 1990s. Policing: An International Journal of Police Strategies &amp; Management, 31(1). </w:t>
      </w:r>
      <w:proofErr w:type="spellStart"/>
      <w:r>
        <w:t>doi</w:t>
      </w:r>
      <w:proofErr w:type="spellEnd"/>
      <w:r>
        <w:t>: 10.1108/pijpsm.2008.18131aae.002</w:t>
      </w:r>
    </w:p>
    <w:p w14:paraId="4CD07C48" w14:textId="77777777" w:rsidR="00024386" w:rsidRDefault="00024386" w:rsidP="00024386">
      <w:pPr>
        <w:pStyle w:val="ListParagraph"/>
        <w:numPr>
          <w:ilvl w:val="0"/>
          <w:numId w:val="1"/>
        </w:numPr>
        <w:spacing w:line="480" w:lineRule="auto"/>
      </w:pPr>
      <w:proofErr w:type="spellStart"/>
      <w:r>
        <w:t>Paybarah</w:t>
      </w:r>
      <w:proofErr w:type="spellEnd"/>
      <w:r>
        <w:t>, A. (2019, August 6). Gun Violence: New York's Own Problem. Retrieved from https://www.nytimes.com/2019/08/06/nyregion/newyorktoday/nyc-gun-violence.html</w:t>
      </w:r>
    </w:p>
    <w:p w14:paraId="753CC499" w14:textId="77777777" w:rsidR="00024386" w:rsidRDefault="00024386" w:rsidP="00024386">
      <w:pPr>
        <w:pStyle w:val="ListParagraph"/>
        <w:numPr>
          <w:ilvl w:val="0"/>
          <w:numId w:val="1"/>
        </w:numPr>
        <w:spacing w:line="480" w:lineRule="auto"/>
      </w:pPr>
      <w:r>
        <w:t>Seasonal Patterns in Criminal Victimization Trends. (n.d.). Retrieved from https://www.bjs.gov/content/pub/pdf/spcvt.pdf</w:t>
      </w:r>
    </w:p>
    <w:p w14:paraId="3F7F0237" w14:textId="374F17BF" w:rsidR="00024386" w:rsidRDefault="00024386" w:rsidP="00024386">
      <w:pPr>
        <w:pStyle w:val="ListParagraph"/>
        <w:numPr>
          <w:ilvl w:val="0"/>
          <w:numId w:val="1"/>
        </w:numPr>
        <w:spacing w:line="480" w:lineRule="auto"/>
      </w:pPr>
      <w:r>
        <w:lastRenderedPageBreak/>
        <w:t>States with Weak Gun Laws and Higher Gun Ownership Lead Nation in Gun Deaths, New Data for 2015 Confirms. (2017, January 10). Retrieved from https://vpc.org/press/states-with-weak-gun-laws-and-higher-gun-ownership-lead-nation-in-gun-deaths-new-data-for-2015-confirms/</w:t>
      </w:r>
    </w:p>
    <w:sectPr w:rsidR="00024386" w:rsidSect="00690580">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F44A" w14:textId="77777777" w:rsidR="00DA2368" w:rsidRDefault="00DA2368" w:rsidP="00C73FCB">
      <w:pPr>
        <w:spacing w:after="0" w:line="240" w:lineRule="auto"/>
      </w:pPr>
      <w:r>
        <w:separator/>
      </w:r>
    </w:p>
  </w:endnote>
  <w:endnote w:type="continuationSeparator" w:id="0">
    <w:p w14:paraId="784D69D5" w14:textId="77777777" w:rsidR="00DA2368" w:rsidRDefault="00DA2368" w:rsidP="00C7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Menlo Bold"/>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DEC6D" w14:textId="77777777" w:rsidR="00DA2368" w:rsidRDefault="00DA2368" w:rsidP="00C73FCB">
      <w:pPr>
        <w:spacing w:after="0" w:line="240" w:lineRule="auto"/>
      </w:pPr>
      <w:r>
        <w:separator/>
      </w:r>
    </w:p>
  </w:footnote>
  <w:footnote w:type="continuationSeparator" w:id="0">
    <w:p w14:paraId="5DD6CCB3" w14:textId="77777777" w:rsidR="00DA2368" w:rsidRDefault="00DA2368" w:rsidP="00C7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607F5"/>
    <w:multiLevelType w:val="hybridMultilevel"/>
    <w:tmpl w:val="BFF8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FCB"/>
    <w:rsid w:val="00024386"/>
    <w:rsid w:val="00080D76"/>
    <w:rsid w:val="000B125D"/>
    <w:rsid w:val="000B2418"/>
    <w:rsid w:val="000B5F34"/>
    <w:rsid w:val="000F7302"/>
    <w:rsid w:val="00116FD8"/>
    <w:rsid w:val="00144121"/>
    <w:rsid w:val="001C61A0"/>
    <w:rsid w:val="001C6326"/>
    <w:rsid w:val="001E66C3"/>
    <w:rsid w:val="00207CF5"/>
    <w:rsid w:val="00221086"/>
    <w:rsid w:val="00230DF3"/>
    <w:rsid w:val="002477CA"/>
    <w:rsid w:val="00281043"/>
    <w:rsid w:val="002B3D99"/>
    <w:rsid w:val="002F6ED1"/>
    <w:rsid w:val="00306481"/>
    <w:rsid w:val="0036435D"/>
    <w:rsid w:val="00374ECA"/>
    <w:rsid w:val="00382170"/>
    <w:rsid w:val="003856D6"/>
    <w:rsid w:val="00391B45"/>
    <w:rsid w:val="003C3784"/>
    <w:rsid w:val="00452FDB"/>
    <w:rsid w:val="004546D1"/>
    <w:rsid w:val="0046394A"/>
    <w:rsid w:val="004A325A"/>
    <w:rsid w:val="004D4812"/>
    <w:rsid w:val="0051364C"/>
    <w:rsid w:val="005351BE"/>
    <w:rsid w:val="005616F2"/>
    <w:rsid w:val="00587C33"/>
    <w:rsid w:val="005B26D8"/>
    <w:rsid w:val="005E62DF"/>
    <w:rsid w:val="006239E4"/>
    <w:rsid w:val="00664ECC"/>
    <w:rsid w:val="00690580"/>
    <w:rsid w:val="006C13B5"/>
    <w:rsid w:val="006D3DB9"/>
    <w:rsid w:val="006E304E"/>
    <w:rsid w:val="006E719E"/>
    <w:rsid w:val="007048D8"/>
    <w:rsid w:val="007443B6"/>
    <w:rsid w:val="007469EE"/>
    <w:rsid w:val="007A7C61"/>
    <w:rsid w:val="007B78FE"/>
    <w:rsid w:val="008046BD"/>
    <w:rsid w:val="00830ABA"/>
    <w:rsid w:val="0086115C"/>
    <w:rsid w:val="008911DA"/>
    <w:rsid w:val="008A1E56"/>
    <w:rsid w:val="008B178F"/>
    <w:rsid w:val="008D22DA"/>
    <w:rsid w:val="008F5125"/>
    <w:rsid w:val="00902B84"/>
    <w:rsid w:val="009172D8"/>
    <w:rsid w:val="009207BC"/>
    <w:rsid w:val="00922E98"/>
    <w:rsid w:val="009415E7"/>
    <w:rsid w:val="00961C03"/>
    <w:rsid w:val="0098602A"/>
    <w:rsid w:val="009B1858"/>
    <w:rsid w:val="009B1E97"/>
    <w:rsid w:val="009C57A9"/>
    <w:rsid w:val="009C6847"/>
    <w:rsid w:val="009F0EC7"/>
    <w:rsid w:val="009F5B76"/>
    <w:rsid w:val="00A03B29"/>
    <w:rsid w:val="00A05E8D"/>
    <w:rsid w:val="00A508A7"/>
    <w:rsid w:val="00A81520"/>
    <w:rsid w:val="00AA2EA9"/>
    <w:rsid w:val="00AA79C4"/>
    <w:rsid w:val="00AB6C75"/>
    <w:rsid w:val="00AF7C82"/>
    <w:rsid w:val="00B5499F"/>
    <w:rsid w:val="00B72469"/>
    <w:rsid w:val="00BA0983"/>
    <w:rsid w:val="00BC6886"/>
    <w:rsid w:val="00BD497C"/>
    <w:rsid w:val="00BE49EF"/>
    <w:rsid w:val="00BF458A"/>
    <w:rsid w:val="00C1648A"/>
    <w:rsid w:val="00C66C2A"/>
    <w:rsid w:val="00C73FCB"/>
    <w:rsid w:val="00CD1CF3"/>
    <w:rsid w:val="00D66A2C"/>
    <w:rsid w:val="00D70BC8"/>
    <w:rsid w:val="00D878E0"/>
    <w:rsid w:val="00DA2368"/>
    <w:rsid w:val="00DF0743"/>
    <w:rsid w:val="00E014BC"/>
    <w:rsid w:val="00E27ACD"/>
    <w:rsid w:val="00E32A5F"/>
    <w:rsid w:val="00E5267A"/>
    <w:rsid w:val="00E66FD3"/>
    <w:rsid w:val="00E77610"/>
    <w:rsid w:val="00EA120B"/>
    <w:rsid w:val="00ED339F"/>
    <w:rsid w:val="00FF0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987FE"/>
  <w15:docId w15:val="{0B24DACC-D02B-4E4C-A4C4-FCDA16BE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CB"/>
  </w:style>
  <w:style w:type="paragraph" w:styleId="Heading1">
    <w:name w:val="heading 1"/>
    <w:basedOn w:val="Normal"/>
    <w:next w:val="Normal"/>
    <w:link w:val="Heading1Char"/>
    <w:uiPriority w:val="9"/>
    <w:qFormat/>
    <w:rsid w:val="009B185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58"/>
    <w:rPr>
      <w:rFonts w:asciiTheme="majorHAnsi" w:eastAsiaTheme="majorEastAsia" w:hAnsiTheme="majorHAnsi" w:cstheme="majorBidi"/>
      <w:sz w:val="32"/>
      <w:szCs w:val="32"/>
    </w:rPr>
  </w:style>
  <w:style w:type="paragraph" w:styleId="FootnoteText">
    <w:name w:val="footnote text"/>
    <w:basedOn w:val="Normal"/>
    <w:link w:val="FootnoteTextChar"/>
    <w:uiPriority w:val="99"/>
    <w:semiHidden/>
    <w:unhideWhenUsed/>
    <w:rsid w:val="00C73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FCB"/>
    <w:rPr>
      <w:sz w:val="20"/>
      <w:szCs w:val="20"/>
    </w:rPr>
  </w:style>
  <w:style w:type="character" w:styleId="FootnoteReference">
    <w:name w:val="footnote reference"/>
    <w:basedOn w:val="DefaultParagraphFont"/>
    <w:uiPriority w:val="99"/>
    <w:semiHidden/>
    <w:unhideWhenUsed/>
    <w:rsid w:val="00C73FCB"/>
    <w:rPr>
      <w:vertAlign w:val="superscript"/>
    </w:rPr>
  </w:style>
  <w:style w:type="character" w:customStyle="1" w:styleId="js-about-item-abstr">
    <w:name w:val="js-about-item-abstr"/>
    <w:basedOn w:val="DefaultParagraphFont"/>
    <w:rsid w:val="00C73FCB"/>
  </w:style>
  <w:style w:type="character" w:styleId="LineNumber">
    <w:name w:val="line number"/>
    <w:basedOn w:val="DefaultParagraphFont"/>
    <w:uiPriority w:val="99"/>
    <w:semiHidden/>
    <w:unhideWhenUsed/>
    <w:rsid w:val="00C73FCB"/>
  </w:style>
  <w:style w:type="table" w:customStyle="1" w:styleId="PlainTable21">
    <w:name w:val="Plain Table 21"/>
    <w:basedOn w:val="TableNormal"/>
    <w:uiPriority w:val="42"/>
    <w:rsid w:val="006905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87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7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CF5"/>
    <w:rPr>
      <w:rFonts w:ascii="Segoe UI" w:hAnsi="Segoe UI" w:cs="Segoe UI"/>
      <w:sz w:val="18"/>
      <w:szCs w:val="18"/>
    </w:rPr>
  </w:style>
  <w:style w:type="character" w:styleId="CommentReference">
    <w:name w:val="annotation reference"/>
    <w:basedOn w:val="DefaultParagraphFont"/>
    <w:uiPriority w:val="99"/>
    <w:semiHidden/>
    <w:unhideWhenUsed/>
    <w:rsid w:val="007048D8"/>
    <w:rPr>
      <w:sz w:val="18"/>
      <w:szCs w:val="18"/>
    </w:rPr>
  </w:style>
  <w:style w:type="paragraph" w:styleId="CommentText">
    <w:name w:val="annotation text"/>
    <w:basedOn w:val="Normal"/>
    <w:link w:val="CommentTextChar"/>
    <w:uiPriority w:val="99"/>
    <w:semiHidden/>
    <w:unhideWhenUsed/>
    <w:rsid w:val="007048D8"/>
    <w:pPr>
      <w:spacing w:line="240" w:lineRule="auto"/>
    </w:pPr>
    <w:rPr>
      <w:sz w:val="24"/>
      <w:szCs w:val="24"/>
    </w:rPr>
  </w:style>
  <w:style w:type="character" w:customStyle="1" w:styleId="CommentTextChar">
    <w:name w:val="Comment Text Char"/>
    <w:basedOn w:val="DefaultParagraphFont"/>
    <w:link w:val="CommentText"/>
    <w:uiPriority w:val="99"/>
    <w:semiHidden/>
    <w:rsid w:val="007048D8"/>
    <w:rPr>
      <w:sz w:val="24"/>
      <w:szCs w:val="24"/>
    </w:rPr>
  </w:style>
  <w:style w:type="paragraph" w:styleId="CommentSubject">
    <w:name w:val="annotation subject"/>
    <w:basedOn w:val="CommentText"/>
    <w:next w:val="CommentText"/>
    <w:link w:val="CommentSubjectChar"/>
    <w:uiPriority w:val="99"/>
    <w:semiHidden/>
    <w:unhideWhenUsed/>
    <w:rsid w:val="007048D8"/>
    <w:rPr>
      <w:b/>
      <w:bCs/>
      <w:sz w:val="20"/>
      <w:szCs w:val="20"/>
    </w:rPr>
  </w:style>
  <w:style w:type="character" w:customStyle="1" w:styleId="CommentSubjectChar">
    <w:name w:val="Comment Subject Char"/>
    <w:basedOn w:val="CommentTextChar"/>
    <w:link w:val="CommentSubject"/>
    <w:uiPriority w:val="99"/>
    <w:semiHidden/>
    <w:rsid w:val="007048D8"/>
    <w:rPr>
      <w:b/>
      <w:bCs/>
      <w:sz w:val="20"/>
      <w:szCs w:val="20"/>
    </w:rPr>
  </w:style>
  <w:style w:type="paragraph" w:styleId="ListParagraph">
    <w:name w:val="List Paragraph"/>
    <w:basedOn w:val="Normal"/>
    <w:uiPriority w:val="34"/>
    <w:qFormat/>
    <w:rsid w:val="0002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89445">
      <w:bodyDiv w:val="1"/>
      <w:marLeft w:val="0"/>
      <w:marRight w:val="0"/>
      <w:marTop w:val="0"/>
      <w:marBottom w:val="0"/>
      <w:divBdr>
        <w:top w:val="none" w:sz="0" w:space="0" w:color="auto"/>
        <w:left w:val="none" w:sz="0" w:space="0" w:color="auto"/>
        <w:bottom w:val="none" w:sz="0" w:space="0" w:color="auto"/>
        <w:right w:val="none" w:sz="0" w:space="0" w:color="auto"/>
      </w:divBdr>
      <w:divsChild>
        <w:div w:id="1073504440">
          <w:marLeft w:val="0"/>
          <w:marRight w:val="0"/>
          <w:marTop w:val="0"/>
          <w:marBottom w:val="0"/>
          <w:divBdr>
            <w:top w:val="none" w:sz="0" w:space="0" w:color="auto"/>
            <w:left w:val="none" w:sz="0" w:space="0" w:color="auto"/>
            <w:bottom w:val="none" w:sz="0" w:space="0" w:color="auto"/>
            <w:right w:val="none" w:sz="0" w:space="0" w:color="auto"/>
          </w:divBdr>
          <w:divsChild>
            <w:div w:id="552153844">
              <w:marLeft w:val="0"/>
              <w:marRight w:val="0"/>
              <w:marTop w:val="0"/>
              <w:marBottom w:val="0"/>
              <w:divBdr>
                <w:top w:val="none" w:sz="0" w:space="0" w:color="auto"/>
                <w:left w:val="none" w:sz="0" w:space="0" w:color="auto"/>
                <w:bottom w:val="none" w:sz="0" w:space="0" w:color="auto"/>
                <w:right w:val="none" w:sz="0" w:space="0" w:color="auto"/>
              </w:divBdr>
              <w:divsChild>
                <w:div w:id="2145998339">
                  <w:marLeft w:val="0"/>
                  <w:marRight w:val="0"/>
                  <w:marTop w:val="0"/>
                  <w:marBottom w:val="0"/>
                  <w:divBdr>
                    <w:top w:val="none" w:sz="0" w:space="0" w:color="auto"/>
                    <w:left w:val="none" w:sz="0" w:space="0" w:color="auto"/>
                    <w:bottom w:val="none" w:sz="0" w:space="0" w:color="auto"/>
                    <w:right w:val="none" w:sz="0" w:space="0" w:color="auto"/>
                  </w:divBdr>
                </w:div>
                <w:div w:id="1290745128">
                  <w:marLeft w:val="0"/>
                  <w:marRight w:val="0"/>
                  <w:marTop w:val="0"/>
                  <w:marBottom w:val="0"/>
                  <w:divBdr>
                    <w:top w:val="none" w:sz="0" w:space="0" w:color="auto"/>
                    <w:left w:val="none" w:sz="0" w:space="0" w:color="auto"/>
                    <w:bottom w:val="none" w:sz="0" w:space="0" w:color="auto"/>
                    <w:right w:val="none" w:sz="0" w:space="0" w:color="auto"/>
                  </w:divBdr>
                </w:div>
                <w:div w:id="1647468446">
                  <w:marLeft w:val="0"/>
                  <w:marRight w:val="0"/>
                  <w:marTop w:val="0"/>
                  <w:marBottom w:val="0"/>
                  <w:divBdr>
                    <w:top w:val="none" w:sz="0" w:space="0" w:color="auto"/>
                    <w:left w:val="none" w:sz="0" w:space="0" w:color="auto"/>
                    <w:bottom w:val="none" w:sz="0" w:space="0" w:color="auto"/>
                    <w:right w:val="none" w:sz="0" w:space="0" w:color="auto"/>
                  </w:divBdr>
                </w:div>
                <w:div w:id="1523394655">
                  <w:marLeft w:val="0"/>
                  <w:marRight w:val="0"/>
                  <w:marTop w:val="0"/>
                  <w:marBottom w:val="0"/>
                  <w:divBdr>
                    <w:top w:val="none" w:sz="0" w:space="0" w:color="auto"/>
                    <w:left w:val="none" w:sz="0" w:space="0" w:color="auto"/>
                    <w:bottom w:val="none" w:sz="0" w:space="0" w:color="auto"/>
                    <w:right w:val="none" w:sz="0" w:space="0" w:color="auto"/>
                  </w:divBdr>
                </w:div>
                <w:div w:id="1206484643">
                  <w:marLeft w:val="0"/>
                  <w:marRight w:val="0"/>
                  <w:marTop w:val="0"/>
                  <w:marBottom w:val="0"/>
                  <w:divBdr>
                    <w:top w:val="none" w:sz="0" w:space="0" w:color="auto"/>
                    <w:left w:val="none" w:sz="0" w:space="0" w:color="auto"/>
                    <w:bottom w:val="none" w:sz="0" w:space="0" w:color="auto"/>
                    <w:right w:val="none" w:sz="0" w:space="0" w:color="auto"/>
                  </w:divBdr>
                </w:div>
                <w:div w:id="17619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A1FF-C1F7-4871-9F1A-F00D5F58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CDPHE</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Rachel</dc:creator>
  <cp:keywords/>
  <dc:description/>
  <cp:lastModifiedBy>Rachel Weber</cp:lastModifiedBy>
  <cp:revision>2</cp:revision>
  <dcterms:created xsi:type="dcterms:W3CDTF">2020-04-29T21:55:00Z</dcterms:created>
  <dcterms:modified xsi:type="dcterms:W3CDTF">2020-04-29T21:55:00Z</dcterms:modified>
</cp:coreProperties>
</file>