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55842C" w14:textId="55FEB487" w:rsidR="000671DD" w:rsidRDefault="007C05AC" w:rsidP="004220DD">
      <w:pPr>
        <w:pStyle w:val="Title"/>
        <w:spacing w:line="276" w:lineRule="auto"/>
      </w:pPr>
      <w:r>
        <w:t>Capstone Plan Document</w:t>
      </w:r>
    </w:p>
    <w:p w14:paraId="27607896" w14:textId="7AE4D07A" w:rsidR="007C05AC" w:rsidRDefault="007C05AC" w:rsidP="004220DD">
      <w:pPr>
        <w:pStyle w:val="Subtitle"/>
        <w:spacing w:line="276" w:lineRule="auto"/>
      </w:pPr>
      <w:r>
        <w:t xml:space="preserve">Investigating the Shooting-Free </w:t>
      </w:r>
      <w:r w:rsidR="004220DD">
        <w:t>W</w:t>
      </w:r>
      <w:r>
        <w:t>eekend in New York City</w:t>
      </w:r>
    </w:p>
    <w:p w14:paraId="1DD34183" w14:textId="1EB709F0" w:rsidR="007C05AC" w:rsidRPr="007C05AC" w:rsidRDefault="007C05AC" w:rsidP="004220DD">
      <w:pPr>
        <w:spacing w:line="276" w:lineRule="auto"/>
      </w:pPr>
      <w:r>
        <w:t>Rachel Weber, MPH student</w:t>
      </w:r>
    </w:p>
    <w:p w14:paraId="63C09823" w14:textId="2545EFC5" w:rsidR="007C05AC" w:rsidRPr="007C05AC" w:rsidRDefault="007C05AC" w:rsidP="004220DD">
      <w:pPr>
        <w:pStyle w:val="Heading1"/>
        <w:spacing w:line="276" w:lineRule="auto"/>
      </w:pPr>
      <w:r w:rsidRPr="007C05AC">
        <w:t>Background</w:t>
      </w:r>
    </w:p>
    <w:p w14:paraId="0EE0A947" w14:textId="2284D199" w:rsidR="007C05AC" w:rsidRDefault="007C05AC" w:rsidP="004220DD">
      <w:pPr>
        <w:spacing w:line="276" w:lineRule="auto"/>
      </w:pPr>
      <w:r>
        <w:t>New York City has a tumultuous history of gun violence. After a significant drop in gun violence in the 1990’s, New York City has made steady progress in reducing shooting incidences in the new millennium. The New York Times reported in August 2019 that gun violence is at a two-decade low for the cit</w:t>
      </w:r>
      <w:r w:rsidR="000D4189">
        <w:t>y</w:t>
      </w:r>
      <w:r w:rsidR="000D4189">
        <w:rPr>
          <w:vertAlign w:val="superscript"/>
        </w:rPr>
        <w:t>3</w:t>
      </w:r>
      <w:r>
        <w:t>. Many researchers cite the state’s strong gun control laws and progressive police training as the reason for New York’s improvement</w:t>
      </w:r>
      <w:r w:rsidR="000D4189">
        <w:rPr>
          <w:vertAlign w:val="superscript"/>
        </w:rPr>
        <w:t>1</w:t>
      </w:r>
      <w:r>
        <w:t>. Along with state-level regulation, the national culture around gun ownership and resulting violence has been in major flux. Though New York City’s worst years of gun violence are in the past, growing national incidence of mass shootings has brought community activists to action.</w:t>
      </w:r>
    </w:p>
    <w:p w14:paraId="0A8321CE" w14:textId="5D443007" w:rsidR="007C05AC" w:rsidRDefault="007C05AC" w:rsidP="004220DD">
      <w:pPr>
        <w:spacing w:line="276" w:lineRule="auto"/>
        <w:rPr>
          <w:rStyle w:val="js-about-item-abstr"/>
        </w:rPr>
      </w:pPr>
      <w:r>
        <w:t>Following the Sandy-Hook shooting in December 2012 and the December 24</w:t>
      </w:r>
      <w:r w:rsidRPr="002600B7">
        <w:rPr>
          <w:vertAlign w:val="superscript"/>
        </w:rPr>
        <w:t>th</w:t>
      </w:r>
      <w:r>
        <w:t xml:space="preserve"> Webster shooting, New York passed the </w:t>
      </w:r>
      <w:r>
        <w:rPr>
          <w:rStyle w:val="js-about-item-abstr"/>
        </w:rPr>
        <w:t>Secure Ammunition and Firearms Enforcement Act (SAFE Act) which contains several firearms regulations. These include broader definitions of ‘assault style weapons’, prohibitions on high capacity magazines, mandated background checks, and safe storage provisions.</w:t>
      </w:r>
      <w:r w:rsidR="003E366E">
        <w:rPr>
          <w:rStyle w:val="js-about-item-abstr"/>
        </w:rPr>
        <w:t xml:space="preserve"> </w:t>
      </w:r>
      <w:r>
        <w:rPr>
          <w:rStyle w:val="js-about-item-abstr"/>
        </w:rPr>
        <w:t>In 2010, New York City implemented Chicago’s Cure Violence public health model to use community outreach as a means of curbing gun violence. As of 2017 there were 18 active Cure Violence programs around the city working to ‘</w:t>
      </w:r>
      <w:proofErr w:type="spellStart"/>
      <w:r>
        <w:rPr>
          <w:rStyle w:val="js-about-item-abstr"/>
        </w:rPr>
        <w:t>denormalize</w:t>
      </w:r>
      <w:proofErr w:type="spellEnd"/>
      <w:r>
        <w:rPr>
          <w:rStyle w:val="js-about-item-abstr"/>
        </w:rPr>
        <w:t>’ gun violence</w:t>
      </w:r>
      <w:r w:rsidR="000D4189">
        <w:rPr>
          <w:vertAlign w:val="superscript"/>
        </w:rPr>
        <w:t>1</w:t>
      </w:r>
      <w:r>
        <w:rPr>
          <w:rStyle w:val="js-about-item-abstr"/>
        </w:rPr>
        <w:t>.</w:t>
      </w:r>
    </w:p>
    <w:p w14:paraId="63B48917" w14:textId="39F38ECA" w:rsidR="007C05AC" w:rsidRDefault="007C05AC" w:rsidP="004220DD">
      <w:pPr>
        <w:spacing w:line="276" w:lineRule="auto"/>
        <w:rPr>
          <w:rStyle w:val="js-about-item-abstr"/>
        </w:rPr>
      </w:pPr>
      <w:r>
        <w:rPr>
          <w:rStyle w:val="js-about-item-abstr"/>
        </w:rPr>
        <w:t>The first shooting free weekend (Friday, Saturday, Sunday) NYC has had in decades happened in Mid-October 2018. This event made national news with the usual exclamations of ‘amazing’ and ‘a milestone’</w:t>
      </w:r>
      <w:r w:rsidR="000D4189">
        <w:rPr>
          <w:vertAlign w:val="superscript"/>
        </w:rPr>
        <w:t>2</w:t>
      </w:r>
      <w:r>
        <w:rPr>
          <w:rStyle w:val="js-about-item-abstr"/>
        </w:rPr>
        <w:t xml:space="preserve">. But the crux of the matter is this: what this event a very lucky run or inevitable? </w:t>
      </w:r>
    </w:p>
    <w:p w14:paraId="660F8F68" w14:textId="1EA55B21" w:rsidR="007C05AC" w:rsidRDefault="007C05AC" w:rsidP="004220DD">
      <w:pPr>
        <w:spacing w:line="276" w:lineRule="auto"/>
        <w:rPr>
          <w:rStyle w:val="js-about-item-abstr"/>
        </w:rPr>
      </w:pPr>
      <w:r>
        <w:rPr>
          <w:rStyle w:val="js-about-item-abstr"/>
        </w:rPr>
        <w:t>The Law of Truly Large Numbers states that with enough repetitions of an experiment, even outlandishly unlikely events become inevitable.</w:t>
      </w:r>
      <w:r w:rsidR="00C979A8">
        <w:t xml:space="preserve"> </w:t>
      </w:r>
      <w:r w:rsidR="00C979A8">
        <w:rPr>
          <w:rStyle w:val="js-about-item-abstr"/>
        </w:rPr>
        <w:t>It is logical to consider an event that occurs 1 in 1 million times to be extremely rare</w:t>
      </w:r>
      <w:r>
        <w:rPr>
          <w:rStyle w:val="js-about-item-abstr"/>
        </w:rPr>
        <w:t>, but with a population of roughly 329 million people, the United States is expected to see that event happen to 329 people—not a bad sample size. The same concept allows us to view the shooting</w:t>
      </w:r>
      <w:r w:rsidR="004220DD">
        <w:rPr>
          <w:rStyle w:val="js-about-item-abstr"/>
        </w:rPr>
        <w:t>-</w:t>
      </w:r>
      <w:r>
        <w:rPr>
          <w:rStyle w:val="js-about-item-abstr"/>
        </w:rPr>
        <w:t>free weekend in NYC through a different lens. With enough weekends and enough time, was a shooting</w:t>
      </w:r>
      <w:r w:rsidR="004220DD">
        <w:rPr>
          <w:rStyle w:val="js-about-item-abstr"/>
        </w:rPr>
        <w:t>-</w:t>
      </w:r>
      <w:r>
        <w:rPr>
          <w:rStyle w:val="js-about-item-abstr"/>
        </w:rPr>
        <w:t xml:space="preserve">free weekend bound to happen eventually? </w:t>
      </w:r>
      <w:r w:rsidR="008B1D7A">
        <w:rPr>
          <w:rStyle w:val="js-about-item-abstr"/>
        </w:rPr>
        <w:t xml:space="preserve">Though we have just a few hundred weekends in our dataset, we can still apply probability theory to determine </w:t>
      </w:r>
      <w:r w:rsidR="00326760">
        <w:rPr>
          <w:rStyle w:val="js-about-item-abstr"/>
        </w:rPr>
        <w:t>odds</w:t>
      </w:r>
      <w:r w:rsidR="008B1D7A">
        <w:rPr>
          <w:rStyle w:val="js-about-item-abstr"/>
        </w:rPr>
        <w:t>.</w:t>
      </w:r>
    </w:p>
    <w:p w14:paraId="02612515" w14:textId="1DEF4756" w:rsidR="003E366E" w:rsidRDefault="003E366E" w:rsidP="003E366E">
      <w:pPr>
        <w:pStyle w:val="Heading1"/>
        <w:rPr>
          <w:rStyle w:val="js-about-item-abstr"/>
        </w:rPr>
      </w:pPr>
      <w:r>
        <w:rPr>
          <w:rStyle w:val="js-about-item-abstr"/>
        </w:rPr>
        <w:t>Data Description</w:t>
      </w:r>
    </w:p>
    <w:p w14:paraId="67957EA4" w14:textId="0C7C6206" w:rsidR="003E366E" w:rsidRDefault="003E366E" w:rsidP="004220DD">
      <w:pPr>
        <w:spacing w:line="276" w:lineRule="auto"/>
      </w:pPr>
      <w:r>
        <w:t>Data are supplied by NYC Open Data. The dataset spans years 2006 to 2018. Each row contains the time and date of a shooting, the location (precinct and latitude/longitude), and perpetrator/victim demographic information (including sex, race, and age group).</w:t>
      </w:r>
    </w:p>
    <w:p w14:paraId="064E4AA3" w14:textId="059E8472" w:rsidR="003E366E" w:rsidRDefault="003E366E" w:rsidP="004220DD">
      <w:pPr>
        <w:spacing w:line="276" w:lineRule="auto"/>
      </w:pPr>
      <w:r>
        <w:t xml:space="preserve">Data is manually extracted every quarter and reviewed by the </w:t>
      </w:r>
      <w:r w:rsidRPr="003E366E">
        <w:t>Office of Management Analysis and Planning</w:t>
      </w:r>
      <w:r>
        <w:t>. Data is intended for public use to, “explore the nature of shooting/criminal activity” in NYC.</w:t>
      </w:r>
    </w:p>
    <w:p w14:paraId="4CDF70E8" w14:textId="0E7145A8" w:rsidR="003E366E" w:rsidRPr="007C05AC" w:rsidRDefault="003E366E" w:rsidP="003E366E">
      <w:pPr>
        <w:pStyle w:val="Heading1"/>
      </w:pPr>
      <w:r>
        <w:lastRenderedPageBreak/>
        <w:t xml:space="preserve">Study </w:t>
      </w:r>
      <w:r w:rsidRPr="007C05AC">
        <w:t>Aims:</w:t>
      </w:r>
    </w:p>
    <w:p w14:paraId="38C9E0C1" w14:textId="5E85495B" w:rsidR="007C05AC" w:rsidRDefault="007C05AC" w:rsidP="00FF2979">
      <w:pPr>
        <w:spacing w:line="276" w:lineRule="auto"/>
      </w:pPr>
      <w:r>
        <w:t xml:space="preserve">This study primarily seeks to ascertain if the shooting-free weekend in NYC in October 2018 was an anomaly or if it was </w:t>
      </w:r>
      <w:r w:rsidR="00C92DA9">
        <w:t>expected</w:t>
      </w:r>
      <w:r>
        <w:t xml:space="preserve"> to happen. The secondary goal of this study is to build a </w:t>
      </w:r>
      <w:r w:rsidR="00FF2979">
        <w:t>negative binomial</w:t>
      </w:r>
      <w:r>
        <w:t xml:space="preserve"> model to predict the </w:t>
      </w:r>
      <w:r w:rsidR="00FF2979">
        <w:t>number of shootings expected on a given day</w:t>
      </w:r>
      <w:r>
        <w:t>.</w:t>
      </w:r>
    </w:p>
    <w:p w14:paraId="004F5650" w14:textId="2AFF4E98" w:rsidR="007C05AC" w:rsidRDefault="007C05AC" w:rsidP="004220DD">
      <w:pPr>
        <w:spacing w:line="276" w:lineRule="auto"/>
      </w:pPr>
      <w:r>
        <w:t xml:space="preserve">The results of our study will shed light on the likelihood of the shooting-free weekend that happened </w:t>
      </w:r>
      <w:r w:rsidR="00A1089B">
        <w:t>in October 2018</w:t>
      </w:r>
      <w:r>
        <w:t xml:space="preserve"> and provide a </w:t>
      </w:r>
      <w:r w:rsidR="00FF2979">
        <w:t>model for estimating the number of shootings to occur on a day.</w:t>
      </w:r>
      <w:r>
        <w:t xml:space="preserve"> This</w:t>
      </w:r>
      <w:r w:rsidR="00FF2979">
        <w:t xml:space="preserve"> model</w:t>
      </w:r>
      <w:r>
        <w:t xml:space="preserve"> can be used to understand seasonal and yearly differences in shootings that may impact NYPD and community group policy on reducing risk of gun violence.</w:t>
      </w:r>
    </w:p>
    <w:p w14:paraId="214BBE04" w14:textId="7C1B8273" w:rsidR="007C05AC" w:rsidRPr="007C05AC" w:rsidRDefault="007C05AC" w:rsidP="004220DD">
      <w:pPr>
        <w:pStyle w:val="Heading1"/>
        <w:spacing w:line="276" w:lineRule="auto"/>
      </w:pPr>
      <w:r w:rsidRPr="007C05AC">
        <w:t>Statistical Hypotheses:</w:t>
      </w:r>
    </w:p>
    <w:p w14:paraId="46686100" w14:textId="6F59EDAE" w:rsidR="007C05AC" w:rsidRDefault="007C05AC" w:rsidP="004220DD">
      <w:pPr>
        <w:pStyle w:val="Heading3"/>
        <w:spacing w:line="276" w:lineRule="auto"/>
      </w:pPr>
      <w:r>
        <w:t>Primary</w:t>
      </w:r>
    </w:p>
    <w:tbl>
      <w:tblPr>
        <w:tblStyle w:val="TableGrid"/>
        <w:tblW w:w="0" w:type="auto"/>
        <w:tblLook w:val="04A0" w:firstRow="1" w:lastRow="0" w:firstColumn="1" w:lastColumn="0" w:noHBand="0" w:noVBand="1"/>
      </w:tblPr>
      <w:tblGrid>
        <w:gridCol w:w="2875"/>
        <w:gridCol w:w="6475"/>
      </w:tblGrid>
      <w:tr w:rsidR="007C05AC" w14:paraId="6CE4FF22" w14:textId="77777777" w:rsidTr="007C05AC">
        <w:tc>
          <w:tcPr>
            <w:tcW w:w="2875" w:type="dxa"/>
            <w:shd w:val="clear" w:color="auto" w:fill="D9D9D9" w:themeFill="background1" w:themeFillShade="D9"/>
          </w:tcPr>
          <w:p w14:paraId="4193D0A8" w14:textId="33C930C7" w:rsidR="007C05AC" w:rsidRPr="007C05AC" w:rsidRDefault="007C05AC" w:rsidP="004220DD">
            <w:pPr>
              <w:spacing w:line="276" w:lineRule="auto"/>
            </w:pPr>
            <w:r w:rsidRPr="007C05AC">
              <w:t>Hypothesis</w:t>
            </w:r>
          </w:p>
        </w:tc>
        <w:tc>
          <w:tcPr>
            <w:tcW w:w="6475" w:type="dxa"/>
          </w:tcPr>
          <w:p w14:paraId="5EB8A6D4" w14:textId="3E778961" w:rsidR="007C05AC" w:rsidRDefault="007C05AC" w:rsidP="004220DD">
            <w:pPr>
              <w:spacing w:line="276" w:lineRule="auto"/>
            </w:pPr>
            <w:r>
              <w:t xml:space="preserve">The shooting-free weekend was not an anomaly but was </w:t>
            </w:r>
            <w:r w:rsidR="00BE71E9">
              <w:t>expected</w:t>
            </w:r>
          </w:p>
        </w:tc>
      </w:tr>
      <w:tr w:rsidR="007C05AC" w14:paraId="70F42517" w14:textId="77777777" w:rsidTr="007C05AC">
        <w:tc>
          <w:tcPr>
            <w:tcW w:w="2875" w:type="dxa"/>
            <w:shd w:val="clear" w:color="auto" w:fill="D9D9D9" w:themeFill="background1" w:themeFillShade="D9"/>
          </w:tcPr>
          <w:p w14:paraId="281CBFAD" w14:textId="3005F8A1" w:rsidR="007C05AC" w:rsidRPr="007C05AC" w:rsidRDefault="007C05AC" w:rsidP="004220DD">
            <w:pPr>
              <w:spacing w:line="276" w:lineRule="auto"/>
            </w:pPr>
            <w:r w:rsidRPr="007C05AC">
              <w:t>Outcome(s)</w:t>
            </w:r>
          </w:p>
        </w:tc>
        <w:tc>
          <w:tcPr>
            <w:tcW w:w="6475" w:type="dxa"/>
          </w:tcPr>
          <w:p w14:paraId="71F2214B" w14:textId="6624DACB" w:rsidR="007C05AC" w:rsidRDefault="007C05AC" w:rsidP="004220DD">
            <w:pPr>
              <w:spacing w:line="276" w:lineRule="auto"/>
            </w:pPr>
            <w:r>
              <w:t>Probability of a shooting-free weekend</w:t>
            </w:r>
          </w:p>
        </w:tc>
      </w:tr>
      <w:tr w:rsidR="007C05AC" w14:paraId="19FFA1B6" w14:textId="77777777" w:rsidTr="007C05AC">
        <w:tc>
          <w:tcPr>
            <w:tcW w:w="2875" w:type="dxa"/>
            <w:shd w:val="clear" w:color="auto" w:fill="D9D9D9" w:themeFill="background1" w:themeFillShade="D9"/>
          </w:tcPr>
          <w:p w14:paraId="613FE475" w14:textId="227CDF10" w:rsidR="007C05AC" w:rsidRPr="007C05AC" w:rsidRDefault="007C05AC" w:rsidP="004220DD">
            <w:pPr>
              <w:spacing w:line="276" w:lineRule="auto"/>
            </w:pPr>
            <w:r w:rsidRPr="007C05AC">
              <w:t>Explanatory Variable</w:t>
            </w:r>
          </w:p>
        </w:tc>
        <w:tc>
          <w:tcPr>
            <w:tcW w:w="6475" w:type="dxa"/>
          </w:tcPr>
          <w:p w14:paraId="6B2C3524" w14:textId="6F0DE944" w:rsidR="007C05AC" w:rsidRDefault="007C05AC" w:rsidP="004220DD">
            <w:pPr>
              <w:spacing w:line="276" w:lineRule="auto"/>
            </w:pPr>
          </w:p>
        </w:tc>
      </w:tr>
      <w:tr w:rsidR="007C05AC" w14:paraId="12C97292" w14:textId="77777777" w:rsidTr="007C05AC">
        <w:tc>
          <w:tcPr>
            <w:tcW w:w="2875" w:type="dxa"/>
            <w:shd w:val="clear" w:color="auto" w:fill="D9D9D9" w:themeFill="background1" w:themeFillShade="D9"/>
          </w:tcPr>
          <w:p w14:paraId="7EEB91DD" w14:textId="13016D2B" w:rsidR="007C05AC" w:rsidRPr="007C05AC" w:rsidRDefault="007C05AC" w:rsidP="004220DD">
            <w:pPr>
              <w:spacing w:line="276" w:lineRule="auto"/>
            </w:pPr>
            <w:r w:rsidRPr="007C05AC">
              <w:t>Confounding/Precision Variables</w:t>
            </w:r>
          </w:p>
        </w:tc>
        <w:tc>
          <w:tcPr>
            <w:tcW w:w="6475" w:type="dxa"/>
          </w:tcPr>
          <w:p w14:paraId="2E47C7D1" w14:textId="14EF0315" w:rsidR="007C05AC" w:rsidRDefault="007C05AC" w:rsidP="004220DD">
            <w:pPr>
              <w:spacing w:line="276" w:lineRule="auto"/>
            </w:pPr>
          </w:p>
        </w:tc>
      </w:tr>
      <w:tr w:rsidR="007C05AC" w14:paraId="73C02212" w14:textId="77777777" w:rsidTr="007C05AC">
        <w:tc>
          <w:tcPr>
            <w:tcW w:w="2875" w:type="dxa"/>
            <w:shd w:val="clear" w:color="auto" w:fill="D9D9D9" w:themeFill="background1" w:themeFillShade="D9"/>
          </w:tcPr>
          <w:p w14:paraId="553D161E" w14:textId="6F6C7056" w:rsidR="007C05AC" w:rsidRPr="007C05AC" w:rsidRDefault="007C05AC" w:rsidP="004220DD">
            <w:pPr>
              <w:spacing w:line="276" w:lineRule="auto"/>
            </w:pPr>
            <w:r w:rsidRPr="007C05AC">
              <w:t>Analysis Method</w:t>
            </w:r>
          </w:p>
        </w:tc>
        <w:tc>
          <w:tcPr>
            <w:tcW w:w="6475" w:type="dxa"/>
          </w:tcPr>
          <w:p w14:paraId="238656E4" w14:textId="422D94CF" w:rsidR="007C05AC" w:rsidRDefault="007C05AC" w:rsidP="004220DD">
            <w:pPr>
              <w:spacing w:line="276" w:lineRule="auto"/>
            </w:pPr>
            <w:r>
              <w:t>Probability Theory</w:t>
            </w:r>
          </w:p>
        </w:tc>
      </w:tr>
      <w:tr w:rsidR="007C05AC" w14:paraId="294BB89C" w14:textId="77777777" w:rsidTr="007C05AC">
        <w:tc>
          <w:tcPr>
            <w:tcW w:w="2875" w:type="dxa"/>
            <w:shd w:val="clear" w:color="auto" w:fill="D9D9D9" w:themeFill="background1" w:themeFillShade="D9"/>
          </w:tcPr>
          <w:p w14:paraId="2CE8040D" w14:textId="30811C88" w:rsidR="007C05AC" w:rsidRPr="007C05AC" w:rsidRDefault="007C05AC" w:rsidP="004220DD">
            <w:pPr>
              <w:spacing w:line="276" w:lineRule="auto"/>
            </w:pPr>
            <w:r w:rsidRPr="007C05AC">
              <w:t>Model building approach if applicable</w:t>
            </w:r>
          </w:p>
        </w:tc>
        <w:tc>
          <w:tcPr>
            <w:tcW w:w="6475" w:type="dxa"/>
          </w:tcPr>
          <w:p w14:paraId="5BF035C5" w14:textId="16EB2E7D" w:rsidR="007C05AC" w:rsidRDefault="007C05AC" w:rsidP="004220DD">
            <w:pPr>
              <w:spacing w:line="276" w:lineRule="auto"/>
            </w:pPr>
          </w:p>
        </w:tc>
      </w:tr>
      <w:tr w:rsidR="007C05AC" w14:paraId="78F9CF1F" w14:textId="77777777" w:rsidTr="007C05AC">
        <w:tc>
          <w:tcPr>
            <w:tcW w:w="2875" w:type="dxa"/>
            <w:shd w:val="clear" w:color="auto" w:fill="D9D9D9" w:themeFill="background1" w:themeFillShade="D9"/>
          </w:tcPr>
          <w:p w14:paraId="58F5FDAE" w14:textId="7DF0EBEE" w:rsidR="007C05AC" w:rsidRPr="007C05AC" w:rsidRDefault="007C05AC" w:rsidP="004220DD">
            <w:pPr>
              <w:spacing w:line="276" w:lineRule="auto"/>
            </w:pPr>
            <w:r w:rsidRPr="007C05AC">
              <w:t>How will you check and summarize missing data</w:t>
            </w:r>
          </w:p>
        </w:tc>
        <w:tc>
          <w:tcPr>
            <w:tcW w:w="6475" w:type="dxa"/>
          </w:tcPr>
          <w:p w14:paraId="7011E136" w14:textId="0DC5E8B8" w:rsidR="007C05AC" w:rsidRDefault="007C05AC" w:rsidP="004220DD">
            <w:pPr>
              <w:spacing w:line="276" w:lineRule="auto"/>
            </w:pPr>
            <w:r>
              <w:t>No missing data</w:t>
            </w:r>
          </w:p>
        </w:tc>
      </w:tr>
    </w:tbl>
    <w:p w14:paraId="01DD2621" w14:textId="165A7039" w:rsidR="007C05AC" w:rsidRDefault="007C05AC" w:rsidP="004220DD">
      <w:pPr>
        <w:spacing w:line="276" w:lineRule="auto"/>
      </w:pPr>
    </w:p>
    <w:p w14:paraId="268FF7A0" w14:textId="179F9B62" w:rsidR="007C05AC" w:rsidRDefault="007C05AC" w:rsidP="004220DD">
      <w:pPr>
        <w:pStyle w:val="Heading3"/>
        <w:spacing w:line="276" w:lineRule="auto"/>
      </w:pPr>
      <w:r>
        <w:t>Secondary:</w:t>
      </w:r>
    </w:p>
    <w:tbl>
      <w:tblPr>
        <w:tblStyle w:val="TableGrid"/>
        <w:tblW w:w="0" w:type="auto"/>
        <w:tblLook w:val="04A0" w:firstRow="1" w:lastRow="0" w:firstColumn="1" w:lastColumn="0" w:noHBand="0" w:noVBand="1"/>
      </w:tblPr>
      <w:tblGrid>
        <w:gridCol w:w="2875"/>
        <w:gridCol w:w="6475"/>
      </w:tblGrid>
      <w:tr w:rsidR="007C05AC" w14:paraId="539EC26E" w14:textId="77777777" w:rsidTr="007C05AC">
        <w:tc>
          <w:tcPr>
            <w:tcW w:w="2875" w:type="dxa"/>
            <w:shd w:val="clear" w:color="auto" w:fill="D9D9D9" w:themeFill="background1" w:themeFillShade="D9"/>
          </w:tcPr>
          <w:p w14:paraId="0C3366AD" w14:textId="77777777" w:rsidR="007C05AC" w:rsidRDefault="007C05AC" w:rsidP="004220DD">
            <w:pPr>
              <w:spacing w:line="276" w:lineRule="auto"/>
            </w:pPr>
            <w:r>
              <w:t>Hypothesis</w:t>
            </w:r>
          </w:p>
        </w:tc>
        <w:tc>
          <w:tcPr>
            <w:tcW w:w="6475" w:type="dxa"/>
          </w:tcPr>
          <w:p w14:paraId="2AF6A82E" w14:textId="6C54FE5A" w:rsidR="007C05AC" w:rsidRDefault="007C05AC" w:rsidP="004220DD">
            <w:pPr>
              <w:spacing w:line="276" w:lineRule="auto"/>
            </w:pPr>
            <w:r>
              <w:t xml:space="preserve">Day of the week is a significant predictor of </w:t>
            </w:r>
            <w:r w:rsidR="00713712">
              <w:t>the number of shootings estimated to occur</w:t>
            </w:r>
          </w:p>
        </w:tc>
      </w:tr>
      <w:tr w:rsidR="007C05AC" w14:paraId="10370935" w14:textId="77777777" w:rsidTr="007C05AC">
        <w:tc>
          <w:tcPr>
            <w:tcW w:w="2875" w:type="dxa"/>
            <w:shd w:val="clear" w:color="auto" w:fill="D9D9D9" w:themeFill="background1" w:themeFillShade="D9"/>
          </w:tcPr>
          <w:p w14:paraId="0C95C803" w14:textId="77777777" w:rsidR="007C05AC" w:rsidRDefault="007C05AC" w:rsidP="004220DD">
            <w:pPr>
              <w:spacing w:line="276" w:lineRule="auto"/>
            </w:pPr>
            <w:r>
              <w:t>Outcome(s)</w:t>
            </w:r>
          </w:p>
        </w:tc>
        <w:tc>
          <w:tcPr>
            <w:tcW w:w="6475" w:type="dxa"/>
          </w:tcPr>
          <w:p w14:paraId="6926CA98" w14:textId="4F686A78" w:rsidR="007C05AC" w:rsidRDefault="00713712" w:rsidP="004220DD">
            <w:pPr>
              <w:spacing w:line="276" w:lineRule="auto"/>
            </w:pPr>
            <w:r>
              <w:t>Number of shootings in a day</w:t>
            </w:r>
          </w:p>
        </w:tc>
      </w:tr>
      <w:tr w:rsidR="007C05AC" w14:paraId="6972B385" w14:textId="77777777" w:rsidTr="007C05AC">
        <w:tc>
          <w:tcPr>
            <w:tcW w:w="2875" w:type="dxa"/>
            <w:shd w:val="clear" w:color="auto" w:fill="D9D9D9" w:themeFill="background1" w:themeFillShade="D9"/>
          </w:tcPr>
          <w:p w14:paraId="2A68DD85" w14:textId="77777777" w:rsidR="007C05AC" w:rsidRDefault="007C05AC" w:rsidP="004220DD">
            <w:pPr>
              <w:spacing w:line="276" w:lineRule="auto"/>
            </w:pPr>
            <w:r>
              <w:t>Explanatory Variable</w:t>
            </w:r>
          </w:p>
        </w:tc>
        <w:tc>
          <w:tcPr>
            <w:tcW w:w="6475" w:type="dxa"/>
          </w:tcPr>
          <w:p w14:paraId="1406F1B0" w14:textId="49B7946A" w:rsidR="007C05AC" w:rsidRDefault="007C05AC" w:rsidP="004220DD">
            <w:pPr>
              <w:spacing w:line="276" w:lineRule="auto"/>
            </w:pPr>
            <w:r>
              <w:t>Day of the week</w:t>
            </w:r>
          </w:p>
        </w:tc>
      </w:tr>
      <w:tr w:rsidR="007C05AC" w14:paraId="6B1F1160" w14:textId="77777777" w:rsidTr="007C05AC">
        <w:tc>
          <w:tcPr>
            <w:tcW w:w="2875" w:type="dxa"/>
            <w:shd w:val="clear" w:color="auto" w:fill="D9D9D9" w:themeFill="background1" w:themeFillShade="D9"/>
          </w:tcPr>
          <w:p w14:paraId="705DD333" w14:textId="77777777" w:rsidR="007C05AC" w:rsidRDefault="007C05AC" w:rsidP="004220DD">
            <w:pPr>
              <w:spacing w:line="276" w:lineRule="auto"/>
            </w:pPr>
            <w:r>
              <w:t>Confounding/Precision Variables</w:t>
            </w:r>
          </w:p>
        </w:tc>
        <w:tc>
          <w:tcPr>
            <w:tcW w:w="6475" w:type="dxa"/>
          </w:tcPr>
          <w:p w14:paraId="5A7C3C38" w14:textId="5B89665C" w:rsidR="007C05AC" w:rsidRDefault="007C05AC" w:rsidP="004220DD">
            <w:pPr>
              <w:spacing w:line="276" w:lineRule="auto"/>
            </w:pPr>
            <w:r>
              <w:t>Year, season</w:t>
            </w:r>
            <w:r w:rsidR="00C92DA9">
              <w:t>, before/after legislation change</w:t>
            </w:r>
          </w:p>
        </w:tc>
      </w:tr>
      <w:tr w:rsidR="007C05AC" w14:paraId="031DF9BB" w14:textId="77777777" w:rsidTr="007C05AC">
        <w:tc>
          <w:tcPr>
            <w:tcW w:w="2875" w:type="dxa"/>
            <w:shd w:val="clear" w:color="auto" w:fill="D9D9D9" w:themeFill="background1" w:themeFillShade="D9"/>
          </w:tcPr>
          <w:p w14:paraId="21EA7255" w14:textId="77777777" w:rsidR="007C05AC" w:rsidRDefault="007C05AC" w:rsidP="004220DD">
            <w:pPr>
              <w:spacing w:line="276" w:lineRule="auto"/>
            </w:pPr>
            <w:r>
              <w:t>Analysis Method</w:t>
            </w:r>
          </w:p>
        </w:tc>
        <w:tc>
          <w:tcPr>
            <w:tcW w:w="6475" w:type="dxa"/>
          </w:tcPr>
          <w:p w14:paraId="3A30F46E" w14:textId="25BF1802" w:rsidR="007C05AC" w:rsidRDefault="00713712" w:rsidP="004220DD">
            <w:pPr>
              <w:spacing w:line="276" w:lineRule="auto"/>
            </w:pPr>
            <w:r>
              <w:t>Negative binomial</w:t>
            </w:r>
            <w:r w:rsidR="007C05AC">
              <w:t xml:space="preserve"> regression</w:t>
            </w:r>
          </w:p>
        </w:tc>
      </w:tr>
      <w:tr w:rsidR="007C05AC" w14:paraId="4D960B67" w14:textId="77777777" w:rsidTr="007C05AC">
        <w:tc>
          <w:tcPr>
            <w:tcW w:w="2875" w:type="dxa"/>
            <w:shd w:val="clear" w:color="auto" w:fill="D9D9D9" w:themeFill="background1" w:themeFillShade="D9"/>
          </w:tcPr>
          <w:p w14:paraId="30021F46" w14:textId="77777777" w:rsidR="007C05AC" w:rsidRDefault="007C05AC" w:rsidP="004220DD">
            <w:pPr>
              <w:spacing w:line="276" w:lineRule="auto"/>
            </w:pPr>
            <w:r>
              <w:t>Model building approach if applicable</w:t>
            </w:r>
          </w:p>
        </w:tc>
        <w:tc>
          <w:tcPr>
            <w:tcW w:w="6475" w:type="dxa"/>
          </w:tcPr>
          <w:p w14:paraId="5C769DF1" w14:textId="583DBACD" w:rsidR="007C05AC" w:rsidRDefault="007C05AC" w:rsidP="004220DD">
            <w:pPr>
              <w:spacing w:line="276" w:lineRule="auto"/>
            </w:pPr>
          </w:p>
        </w:tc>
      </w:tr>
      <w:tr w:rsidR="007C05AC" w14:paraId="71A76B5B" w14:textId="77777777" w:rsidTr="007C05AC">
        <w:tc>
          <w:tcPr>
            <w:tcW w:w="2875" w:type="dxa"/>
            <w:shd w:val="clear" w:color="auto" w:fill="D9D9D9" w:themeFill="background1" w:themeFillShade="D9"/>
          </w:tcPr>
          <w:p w14:paraId="10405AFE" w14:textId="77777777" w:rsidR="007C05AC" w:rsidRDefault="007C05AC" w:rsidP="004220DD">
            <w:pPr>
              <w:spacing w:line="276" w:lineRule="auto"/>
            </w:pPr>
            <w:r>
              <w:t>How will you check and summarize missing data</w:t>
            </w:r>
          </w:p>
        </w:tc>
        <w:tc>
          <w:tcPr>
            <w:tcW w:w="6475" w:type="dxa"/>
          </w:tcPr>
          <w:p w14:paraId="0FEF7D52" w14:textId="77777777" w:rsidR="007C05AC" w:rsidRDefault="007C05AC" w:rsidP="004220DD">
            <w:pPr>
              <w:spacing w:line="276" w:lineRule="auto"/>
            </w:pPr>
            <w:r>
              <w:t>No missing data</w:t>
            </w:r>
          </w:p>
        </w:tc>
      </w:tr>
    </w:tbl>
    <w:p w14:paraId="6374400E" w14:textId="1BF35F14" w:rsidR="00A4091B" w:rsidRDefault="00A4091B" w:rsidP="00757310">
      <w:pPr>
        <w:pStyle w:val="Heading1"/>
      </w:pPr>
      <w:bookmarkStart w:id="0" w:name="_GoBack"/>
      <w:bookmarkEnd w:id="0"/>
      <w:r>
        <w:t>Data Analysis Plan</w:t>
      </w:r>
    </w:p>
    <w:p w14:paraId="7FDAD0D5" w14:textId="197D2F8E" w:rsidR="00A4091B" w:rsidRDefault="00A4091B" w:rsidP="004220DD">
      <w:pPr>
        <w:spacing w:line="276" w:lineRule="auto"/>
      </w:pPr>
      <w:r>
        <w:t xml:space="preserve">All analyses will be performed in R version </w:t>
      </w:r>
      <w:proofErr w:type="gramStart"/>
      <w:r>
        <w:t>XX.XX.</w:t>
      </w:r>
      <w:proofErr w:type="gramEnd"/>
      <w:r w:rsidR="00786E32">
        <w:t xml:space="preserve"> </w:t>
      </w:r>
      <w:r w:rsidR="005804B2">
        <w:t xml:space="preserve">I will only be using the date and time data of which there is zero missingness. </w:t>
      </w:r>
    </w:p>
    <w:p w14:paraId="6F779325" w14:textId="3C559E3D" w:rsidR="00A4091B" w:rsidRDefault="00A4091B" w:rsidP="004220DD">
      <w:pPr>
        <w:spacing w:line="276" w:lineRule="auto"/>
      </w:pPr>
      <w:bookmarkStart w:id="1" w:name="_Hlk25139641"/>
      <w:r>
        <w:lastRenderedPageBreak/>
        <w:t xml:space="preserve">Before analyses can begin, the data must be prepared to answer my specific questions. </w:t>
      </w:r>
      <w:r w:rsidR="00951AB1">
        <w:t>All data points</w:t>
      </w:r>
      <w:r>
        <w:t xml:space="preserve"> have been verified by New York City before publishing</w:t>
      </w:r>
      <w:r w:rsidR="00951AB1">
        <w:t xml:space="preserve"> so data quality need not be addressed here</w:t>
      </w:r>
      <w:r>
        <w:t>. Days without shootings are missing from the dataset so these days will be added as new, empty rows to allow for counts and visualizations of these days. Additionally, a variable for season and year will be added using the time and date variable provided by the city. Finally, a binary variable for pre</w:t>
      </w:r>
      <w:r w:rsidR="00CD3B55">
        <w:t>/</w:t>
      </w:r>
      <w:r>
        <w:t xml:space="preserve">post SAFE Act implementation will be added for modeling done </w:t>
      </w:r>
      <w:r w:rsidR="00CD3B55">
        <w:t xml:space="preserve">to </w:t>
      </w:r>
      <w:r>
        <w:t>address</w:t>
      </w:r>
      <w:r w:rsidR="005804B2">
        <w:t xml:space="preserve"> the secondary</w:t>
      </w:r>
      <w:r>
        <w:t xml:space="preserve"> hypothesis.</w:t>
      </w:r>
    </w:p>
    <w:p w14:paraId="039CFE6F" w14:textId="4F605042" w:rsidR="00A4091B" w:rsidRDefault="00A4091B" w:rsidP="004220DD">
      <w:pPr>
        <w:spacing w:line="276" w:lineRule="auto"/>
      </w:pPr>
      <w:bookmarkStart w:id="2" w:name="_Hlk25139600"/>
      <w:bookmarkEnd w:id="1"/>
      <w:r>
        <w:t xml:space="preserve">To address </w:t>
      </w:r>
      <w:r w:rsidR="00890C19">
        <w:t xml:space="preserve">the primary </w:t>
      </w:r>
      <w:r>
        <w:t xml:space="preserve">hypothesis, I will use </w:t>
      </w:r>
      <w:r w:rsidR="00786E32">
        <w:t>manual</w:t>
      </w:r>
      <w:r>
        <w:t xml:space="preserve"> probability</w:t>
      </w:r>
      <w:r w:rsidR="00786E32">
        <w:t xml:space="preserve"> calculations</w:t>
      </w:r>
      <w:r>
        <w:t xml:space="preserve"> to </w:t>
      </w:r>
      <w:r w:rsidR="00786E32">
        <w:t>determine</w:t>
      </w:r>
      <w:r>
        <w:t xml:space="preserve"> the </w:t>
      </w:r>
      <w:r w:rsidR="00786E32">
        <w:t>odds</w:t>
      </w:r>
      <w:r>
        <w:t xml:space="preserve"> of a consecutive Friday, Saturday, and Sunday having zero shootings</w:t>
      </w:r>
      <w:r w:rsidR="00786E32">
        <w:t>, given the data</w:t>
      </w:r>
      <w:r>
        <w:t xml:space="preserve">. I will use conditional probability calculations to calculate the probabilities for Saturday and Sunday because I cannot assume that a shooting on Saturday is totally independent of a shooting on </w:t>
      </w:r>
      <w:r w:rsidR="00786E32">
        <w:t>Friday, and likewise for Sunday with Saturday and Friday</w:t>
      </w:r>
      <w:r>
        <w:t>. The final product of this analysis will be a single probability to be interpreted.</w:t>
      </w:r>
    </w:p>
    <w:p w14:paraId="102229B2" w14:textId="295BB29F" w:rsidR="00A4091B" w:rsidRDefault="00A4091B" w:rsidP="00713712">
      <w:pPr>
        <w:spacing w:line="276" w:lineRule="auto"/>
      </w:pPr>
      <w:r>
        <w:t xml:space="preserve">To address </w:t>
      </w:r>
      <w:r w:rsidR="00890C19">
        <w:t xml:space="preserve">the secondary </w:t>
      </w:r>
      <w:r>
        <w:t xml:space="preserve">hypothesis, I will perform </w:t>
      </w:r>
      <w:r w:rsidR="00713712">
        <w:t>negative binomial</w:t>
      </w:r>
      <w:r>
        <w:t xml:space="preserve"> regression to predict the </w:t>
      </w:r>
      <w:r w:rsidR="00713712">
        <w:t>number of shootings to occur on a given day</w:t>
      </w:r>
      <w:r w:rsidR="00FF2979">
        <w:t>.</w:t>
      </w:r>
      <w:r>
        <w:t xml:space="preserve"> I will start with a simple model that uses a categorical variable for day as the independent variable.</w:t>
      </w:r>
      <w:r w:rsidR="00DF60D9">
        <w:t xml:space="preserve"> I will then check collinearity of Year, Season, and </w:t>
      </w:r>
      <w:r w:rsidR="00CD3B55">
        <w:t>p</w:t>
      </w:r>
      <w:r w:rsidR="00DF60D9">
        <w:t>re</w:t>
      </w:r>
      <w:r w:rsidR="00CD3B55">
        <w:t>/p</w:t>
      </w:r>
      <w:r w:rsidR="00DF60D9">
        <w:t>ost SAFE Act to affirm that I am not using variables that contribute highly similar information to the model.</w:t>
      </w:r>
      <w:r w:rsidR="00CD3B55">
        <w:t xml:space="preserve"> </w:t>
      </w:r>
      <w:r w:rsidR="00713712">
        <w:t>These will then be added to the model and I will interpret the findings.</w:t>
      </w:r>
    </w:p>
    <w:bookmarkEnd w:id="2"/>
    <w:p w14:paraId="5E7A2483" w14:textId="0D9EDCA7" w:rsidR="00713712" w:rsidRDefault="00713712" w:rsidP="002F12E7">
      <w:pPr>
        <w:pStyle w:val="Heading1"/>
      </w:pPr>
      <w:r>
        <w:t>Table</w:t>
      </w:r>
      <w:r w:rsidR="002F12E7">
        <w:t>s and Figures</w:t>
      </w:r>
    </w:p>
    <w:p w14:paraId="2283A027" w14:textId="054D9FD9" w:rsidR="002F12E7" w:rsidRDefault="002F12E7" w:rsidP="002F12E7">
      <w:pPr>
        <w:pStyle w:val="Heading3"/>
      </w:pPr>
      <w:r>
        <w:t>Descriptive:</w:t>
      </w:r>
    </w:p>
    <w:p w14:paraId="2461CB8C" w14:textId="0CFE9C27" w:rsidR="002F12E7" w:rsidRDefault="002F12E7" w:rsidP="00476AAB">
      <w:pPr>
        <w:spacing w:line="276" w:lineRule="auto"/>
        <w:jc w:val="center"/>
      </w:pPr>
      <w:r w:rsidRPr="002F12E7">
        <w:rPr>
          <w:noProof/>
        </w:rPr>
        <w:drawing>
          <wp:inline distT="0" distB="0" distL="0" distR="0" wp14:anchorId="570626A2" wp14:editId="3C8954F1">
            <wp:extent cx="5470544" cy="2954622"/>
            <wp:effectExtent l="0" t="0" r="0" b="0"/>
            <wp:docPr id="4" name="Picture">
              <a:extLst xmlns:a="http://schemas.openxmlformats.org/drawingml/2006/main">
                <a:ext uri="{FF2B5EF4-FFF2-40B4-BE49-F238E27FC236}">
                  <a16:creationId xmlns:a16="http://schemas.microsoft.com/office/drawing/2014/main" id="{C3212A26-E53F-4656-A3EA-5F2991D38173}"/>
                </a:ext>
              </a:extLst>
            </wp:docPr>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4" name="Picture">
                      <a:extLst>
                        <a:ext uri="{FF2B5EF4-FFF2-40B4-BE49-F238E27FC236}">
                          <a16:creationId xmlns:a16="http://schemas.microsoft.com/office/drawing/2014/main" id="{C3212A26-E53F-4656-A3EA-5F2991D38173}"/>
                        </a:ext>
                      </a:extLst>
                    </pic:cNvPr>
                    <pic:cNvPicPr>
                      <a:picLocks noGrp="1"/>
                    </pic:cNvPicPr>
                  </pic:nvPicPr>
                  <pic:blipFill>
                    <a:blip r:embed="rId7"/>
                    <a:stretch>
                      <a:fillRect/>
                    </a:stretch>
                  </pic:blipFill>
                  <pic:spPr bwMode="auto">
                    <a:xfrm>
                      <a:off x="0" y="0"/>
                      <a:ext cx="5503476" cy="2972409"/>
                    </a:xfrm>
                    <a:prstGeom prst="rect">
                      <a:avLst/>
                    </a:prstGeom>
                    <a:noFill/>
                    <a:ln w="9525">
                      <a:noFill/>
                      <a:headEnd/>
                      <a:tailEnd/>
                    </a:ln>
                  </pic:spPr>
                </pic:pic>
              </a:graphicData>
            </a:graphic>
          </wp:inline>
        </w:drawing>
      </w:r>
    </w:p>
    <w:p w14:paraId="1EB93F5D" w14:textId="36BD0B39" w:rsidR="002F12E7" w:rsidRDefault="002F12E7" w:rsidP="00476AAB">
      <w:pPr>
        <w:spacing w:line="276" w:lineRule="auto"/>
        <w:jc w:val="center"/>
      </w:pPr>
      <w:r w:rsidRPr="002F12E7">
        <w:rPr>
          <w:noProof/>
        </w:rPr>
        <w:lastRenderedPageBreak/>
        <w:drawing>
          <wp:inline distT="0" distB="0" distL="0" distR="0" wp14:anchorId="445318CF" wp14:editId="1D71EDD0">
            <wp:extent cx="4756995" cy="2706201"/>
            <wp:effectExtent l="0" t="0" r="5715" b="0"/>
            <wp:docPr id="5" name="Picture">
              <a:extLst xmlns:a="http://schemas.openxmlformats.org/drawingml/2006/main">
                <a:ext uri="{FF2B5EF4-FFF2-40B4-BE49-F238E27FC236}">
                  <a16:creationId xmlns:a16="http://schemas.microsoft.com/office/drawing/2014/main" id="{A2A528FD-E7B8-4C22-9919-84FFA9E11CED}"/>
                </a:ext>
              </a:extLst>
            </wp:docPr>
            <wp:cNvGraphicFramePr/>
            <a:graphic xmlns:a="http://schemas.openxmlformats.org/drawingml/2006/main">
              <a:graphicData uri="http://schemas.openxmlformats.org/drawingml/2006/picture">
                <pic:pic xmlns:pic="http://schemas.openxmlformats.org/drawingml/2006/picture">
                  <pic:nvPicPr>
                    <pic:cNvPr id="5" name="Picture">
                      <a:extLst>
                        <a:ext uri="{FF2B5EF4-FFF2-40B4-BE49-F238E27FC236}">
                          <a16:creationId xmlns:a16="http://schemas.microsoft.com/office/drawing/2014/main" id="{A2A528FD-E7B8-4C22-9919-84FFA9E11CED}"/>
                        </a:ext>
                      </a:extLst>
                    </pic:cNvPr>
                    <pic:cNvPicPr/>
                  </pic:nvPicPr>
                  <pic:blipFill>
                    <a:blip r:embed="rId8"/>
                    <a:stretch>
                      <a:fillRect/>
                    </a:stretch>
                  </pic:blipFill>
                  <pic:spPr bwMode="auto">
                    <a:xfrm>
                      <a:off x="0" y="0"/>
                      <a:ext cx="4772790" cy="2715187"/>
                    </a:xfrm>
                    <a:prstGeom prst="rect">
                      <a:avLst/>
                    </a:prstGeom>
                    <a:noFill/>
                    <a:ln w="9525">
                      <a:noFill/>
                      <a:headEnd/>
                      <a:tailEnd/>
                    </a:ln>
                  </pic:spPr>
                </pic:pic>
              </a:graphicData>
            </a:graphic>
          </wp:inline>
        </w:drawing>
      </w:r>
    </w:p>
    <w:p w14:paraId="4C80BC79" w14:textId="449AC02A" w:rsidR="002F12E7" w:rsidRDefault="002F12E7" w:rsidP="002F12E7">
      <w:pPr>
        <w:pStyle w:val="Heading3"/>
      </w:pPr>
      <w:r>
        <w:t>Aim 1:</w:t>
      </w:r>
    </w:p>
    <w:p w14:paraId="7FCAD715" w14:textId="25276958" w:rsidR="002F12E7" w:rsidRDefault="002F12E7" w:rsidP="00713712">
      <w:pPr>
        <w:spacing w:line="276" w:lineRule="auto"/>
      </w:pPr>
      <w:r w:rsidRPr="002F12E7">
        <w:rPr>
          <w:noProof/>
        </w:rPr>
        <w:drawing>
          <wp:inline distT="0" distB="0" distL="0" distR="0" wp14:anchorId="5D28254F" wp14:editId="548C4B09">
            <wp:extent cx="3726313" cy="1876708"/>
            <wp:effectExtent l="0" t="0" r="7620" b="9525"/>
            <wp:docPr id="1" name="Picture 3">
              <a:extLst xmlns:a="http://schemas.openxmlformats.org/drawingml/2006/main">
                <a:ext uri="{FF2B5EF4-FFF2-40B4-BE49-F238E27FC236}">
                  <a16:creationId xmlns:a16="http://schemas.microsoft.com/office/drawing/2014/main" id="{CF51EBBC-C069-4655-AA35-571200DFB0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CF51EBBC-C069-4655-AA35-571200DFB09A}"/>
                        </a:ext>
                      </a:extLst>
                    </pic:cNvPr>
                    <pic:cNvPicPr>
                      <a:picLocks noChangeAspect="1"/>
                    </pic:cNvPicPr>
                  </pic:nvPicPr>
                  <pic:blipFill rotWithShape="1">
                    <a:blip r:embed="rId9"/>
                    <a:srcRect l="15843" t="34032" r="37809" b="22498"/>
                    <a:stretch/>
                  </pic:blipFill>
                  <pic:spPr>
                    <a:xfrm>
                      <a:off x="0" y="0"/>
                      <a:ext cx="3751863" cy="1889576"/>
                    </a:xfrm>
                    <a:prstGeom prst="rect">
                      <a:avLst/>
                    </a:prstGeom>
                  </pic:spPr>
                </pic:pic>
              </a:graphicData>
            </a:graphic>
          </wp:inline>
        </w:drawing>
      </w:r>
    </w:p>
    <w:p w14:paraId="74011CF9" w14:textId="48FB85AC" w:rsidR="002F12E7" w:rsidRDefault="002F12E7" w:rsidP="002F12E7">
      <w:pPr>
        <w:pStyle w:val="Heading3"/>
      </w:pPr>
      <w:r>
        <w:t>Aim 2:</w:t>
      </w:r>
    </w:p>
    <w:tbl>
      <w:tblPr>
        <w:tblStyle w:val="PlainTable2"/>
        <w:tblW w:w="5000" w:type="pct"/>
        <w:tblLook w:val="00A0" w:firstRow="1" w:lastRow="0" w:firstColumn="1" w:lastColumn="0" w:noHBand="0" w:noVBand="0"/>
      </w:tblPr>
      <w:tblGrid>
        <w:gridCol w:w="4140"/>
        <w:gridCol w:w="2070"/>
        <w:gridCol w:w="1346"/>
        <w:gridCol w:w="2519"/>
      </w:tblGrid>
      <w:tr w:rsidR="002F12E7" w:rsidRPr="002F12E7" w14:paraId="178401F9" w14:textId="77777777" w:rsidTr="002F12E7">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784420BA" w14:textId="77777777" w:rsidR="002F12E7" w:rsidRPr="002F12E7" w:rsidRDefault="002F12E7" w:rsidP="002F12E7">
            <w:pPr>
              <w:spacing w:after="160" w:line="276" w:lineRule="auto"/>
            </w:pPr>
            <w:r w:rsidRPr="002F12E7">
              <w:t>Variable</w:t>
            </w:r>
          </w:p>
        </w:tc>
        <w:tc>
          <w:tcPr>
            <w:cnfStyle w:val="000010000000" w:firstRow="0" w:lastRow="0" w:firstColumn="0" w:lastColumn="0" w:oddVBand="1" w:evenVBand="0" w:oddHBand="0" w:evenHBand="0" w:firstRowFirstColumn="0" w:firstRowLastColumn="0" w:lastRowFirstColumn="0" w:lastRowLastColumn="0"/>
            <w:tcW w:w="1027" w:type="pct"/>
            <w:hideMark/>
          </w:tcPr>
          <w:p w14:paraId="68A8828B" w14:textId="77777777" w:rsidR="002F12E7" w:rsidRPr="002F12E7" w:rsidRDefault="002F12E7" w:rsidP="002F12E7">
            <w:pPr>
              <w:spacing w:after="160" w:line="276" w:lineRule="auto"/>
            </w:pPr>
            <w:r w:rsidRPr="002F12E7">
              <w:t>Estimate</w:t>
            </w:r>
          </w:p>
        </w:tc>
        <w:tc>
          <w:tcPr>
            <w:cnfStyle w:val="000001000000" w:firstRow="0" w:lastRow="0" w:firstColumn="0" w:lastColumn="0" w:oddVBand="0" w:evenVBand="1" w:oddHBand="0" w:evenHBand="0" w:firstRowFirstColumn="0" w:firstRowLastColumn="0" w:lastRowFirstColumn="0" w:lastRowLastColumn="0"/>
            <w:tcW w:w="668" w:type="pct"/>
            <w:hideMark/>
          </w:tcPr>
          <w:p w14:paraId="23A4FBD2" w14:textId="77777777" w:rsidR="002F12E7" w:rsidRPr="002F12E7" w:rsidRDefault="002F12E7" w:rsidP="002F12E7">
            <w:pPr>
              <w:spacing w:after="160" w:line="276" w:lineRule="auto"/>
            </w:pPr>
            <w:r w:rsidRPr="002F12E7">
              <w:t>SE</w:t>
            </w:r>
          </w:p>
        </w:tc>
        <w:tc>
          <w:tcPr>
            <w:cnfStyle w:val="000010000000" w:firstRow="0" w:lastRow="0" w:firstColumn="0" w:lastColumn="0" w:oddVBand="1" w:evenVBand="0" w:oddHBand="0" w:evenHBand="0" w:firstRowFirstColumn="0" w:firstRowLastColumn="0" w:lastRowFirstColumn="0" w:lastRowLastColumn="0"/>
            <w:tcW w:w="1250" w:type="pct"/>
            <w:hideMark/>
          </w:tcPr>
          <w:p w14:paraId="0B5D5B4B" w14:textId="77777777" w:rsidR="002F12E7" w:rsidRPr="002F12E7" w:rsidRDefault="002F12E7" w:rsidP="002F12E7">
            <w:pPr>
              <w:spacing w:after="160" w:line="276" w:lineRule="auto"/>
            </w:pPr>
            <w:r w:rsidRPr="002F12E7">
              <w:t>P-value</w:t>
            </w:r>
          </w:p>
        </w:tc>
      </w:tr>
      <w:tr w:rsidR="002F12E7" w:rsidRPr="002F12E7" w14:paraId="57156677" w14:textId="77777777" w:rsidTr="002F12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3E4C6A00" w14:textId="77777777" w:rsidR="002F12E7" w:rsidRPr="002F12E7" w:rsidRDefault="002F12E7" w:rsidP="002F12E7">
            <w:pPr>
              <w:spacing w:after="160" w:line="276" w:lineRule="auto"/>
            </w:pPr>
            <w:r w:rsidRPr="002F12E7">
              <w:t>Year</w:t>
            </w:r>
          </w:p>
        </w:tc>
        <w:tc>
          <w:tcPr>
            <w:cnfStyle w:val="000010000000" w:firstRow="0" w:lastRow="0" w:firstColumn="0" w:lastColumn="0" w:oddVBand="1" w:evenVBand="0" w:oddHBand="0" w:evenHBand="0" w:firstRowFirstColumn="0" w:firstRowLastColumn="0" w:lastRowFirstColumn="0" w:lastRowLastColumn="0"/>
            <w:tcW w:w="1027" w:type="pct"/>
            <w:hideMark/>
          </w:tcPr>
          <w:p w14:paraId="148B52DA"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3FF6284C"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6174C0CD" w14:textId="77777777" w:rsidR="002F12E7" w:rsidRPr="002F12E7" w:rsidRDefault="002F12E7" w:rsidP="002F12E7">
            <w:pPr>
              <w:spacing w:after="160" w:line="276" w:lineRule="auto"/>
            </w:pPr>
          </w:p>
        </w:tc>
      </w:tr>
      <w:tr w:rsidR="002F12E7" w:rsidRPr="002F12E7" w14:paraId="56ED0AAE" w14:textId="77777777" w:rsidTr="002F12E7">
        <w:trPr>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6B08D5F2" w14:textId="77777777" w:rsidR="002F12E7" w:rsidRPr="002F12E7" w:rsidRDefault="002F12E7" w:rsidP="002F12E7">
            <w:pPr>
              <w:spacing w:after="160" w:line="276" w:lineRule="auto"/>
            </w:pPr>
            <w:r w:rsidRPr="002F12E7">
              <w:t>Monday</w:t>
            </w:r>
          </w:p>
        </w:tc>
        <w:tc>
          <w:tcPr>
            <w:cnfStyle w:val="000010000000" w:firstRow="0" w:lastRow="0" w:firstColumn="0" w:lastColumn="0" w:oddVBand="1" w:evenVBand="0" w:oddHBand="0" w:evenHBand="0" w:firstRowFirstColumn="0" w:firstRowLastColumn="0" w:lastRowFirstColumn="0" w:lastRowLastColumn="0"/>
            <w:tcW w:w="1027" w:type="pct"/>
            <w:hideMark/>
          </w:tcPr>
          <w:p w14:paraId="4D048246"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41069DDB"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35E2C003" w14:textId="77777777" w:rsidR="002F12E7" w:rsidRPr="002F12E7" w:rsidRDefault="002F12E7" w:rsidP="002F12E7">
            <w:pPr>
              <w:spacing w:after="160" w:line="276" w:lineRule="auto"/>
            </w:pPr>
          </w:p>
        </w:tc>
      </w:tr>
      <w:tr w:rsidR="002F12E7" w:rsidRPr="002F12E7" w14:paraId="281D9DE4" w14:textId="77777777" w:rsidTr="002F12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5EBF9C03" w14:textId="77777777" w:rsidR="002F12E7" w:rsidRPr="002F12E7" w:rsidRDefault="002F12E7" w:rsidP="002F12E7">
            <w:pPr>
              <w:spacing w:after="160" w:line="276" w:lineRule="auto"/>
            </w:pPr>
            <w:r w:rsidRPr="002F12E7">
              <w:t>Tuesday</w:t>
            </w:r>
          </w:p>
        </w:tc>
        <w:tc>
          <w:tcPr>
            <w:cnfStyle w:val="000010000000" w:firstRow="0" w:lastRow="0" w:firstColumn="0" w:lastColumn="0" w:oddVBand="1" w:evenVBand="0" w:oddHBand="0" w:evenHBand="0" w:firstRowFirstColumn="0" w:firstRowLastColumn="0" w:lastRowFirstColumn="0" w:lastRowLastColumn="0"/>
            <w:tcW w:w="1027" w:type="pct"/>
            <w:hideMark/>
          </w:tcPr>
          <w:p w14:paraId="77D10105"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2821062B"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15F66216" w14:textId="77777777" w:rsidR="002F12E7" w:rsidRPr="002F12E7" w:rsidRDefault="002F12E7" w:rsidP="002F12E7">
            <w:pPr>
              <w:spacing w:after="160" w:line="276" w:lineRule="auto"/>
            </w:pPr>
          </w:p>
        </w:tc>
      </w:tr>
      <w:tr w:rsidR="002F12E7" w:rsidRPr="002F12E7" w14:paraId="349B7473" w14:textId="77777777" w:rsidTr="002F12E7">
        <w:trPr>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133EFAA3" w14:textId="77777777" w:rsidR="002F12E7" w:rsidRPr="002F12E7" w:rsidRDefault="002F12E7" w:rsidP="002F12E7">
            <w:pPr>
              <w:spacing w:after="160" w:line="276" w:lineRule="auto"/>
            </w:pPr>
            <w:r w:rsidRPr="002F12E7">
              <w:t>…</w:t>
            </w:r>
          </w:p>
        </w:tc>
        <w:tc>
          <w:tcPr>
            <w:cnfStyle w:val="000010000000" w:firstRow="0" w:lastRow="0" w:firstColumn="0" w:lastColumn="0" w:oddVBand="1" w:evenVBand="0" w:oddHBand="0" w:evenHBand="0" w:firstRowFirstColumn="0" w:firstRowLastColumn="0" w:lastRowFirstColumn="0" w:lastRowLastColumn="0"/>
            <w:tcW w:w="1027" w:type="pct"/>
            <w:hideMark/>
          </w:tcPr>
          <w:p w14:paraId="72220BA4"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1F2576E9"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7B4F8482" w14:textId="77777777" w:rsidR="002F12E7" w:rsidRPr="002F12E7" w:rsidRDefault="002F12E7" w:rsidP="002F12E7">
            <w:pPr>
              <w:spacing w:after="160" w:line="276" w:lineRule="auto"/>
            </w:pPr>
          </w:p>
        </w:tc>
      </w:tr>
      <w:tr w:rsidR="002F12E7" w:rsidRPr="002F12E7" w14:paraId="61E0174F" w14:textId="77777777" w:rsidTr="002F12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4ACF381E" w14:textId="77777777" w:rsidR="002F12E7" w:rsidRPr="002F12E7" w:rsidRDefault="002F12E7" w:rsidP="002F12E7">
            <w:pPr>
              <w:spacing w:after="160" w:line="276" w:lineRule="auto"/>
            </w:pPr>
            <w:r w:rsidRPr="002F12E7">
              <w:t>Sunday</w:t>
            </w:r>
          </w:p>
        </w:tc>
        <w:tc>
          <w:tcPr>
            <w:cnfStyle w:val="000010000000" w:firstRow="0" w:lastRow="0" w:firstColumn="0" w:lastColumn="0" w:oddVBand="1" w:evenVBand="0" w:oddHBand="0" w:evenHBand="0" w:firstRowFirstColumn="0" w:firstRowLastColumn="0" w:lastRowFirstColumn="0" w:lastRowLastColumn="0"/>
            <w:tcW w:w="1027" w:type="pct"/>
            <w:hideMark/>
          </w:tcPr>
          <w:p w14:paraId="0AA8B6A9"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05742A1F"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548087A1" w14:textId="77777777" w:rsidR="002F12E7" w:rsidRPr="002F12E7" w:rsidRDefault="002F12E7" w:rsidP="002F12E7">
            <w:pPr>
              <w:spacing w:after="160" w:line="276" w:lineRule="auto"/>
            </w:pPr>
          </w:p>
        </w:tc>
      </w:tr>
      <w:tr w:rsidR="002F12E7" w:rsidRPr="002F12E7" w14:paraId="3EE7B735" w14:textId="77777777" w:rsidTr="002F12E7">
        <w:trPr>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6CEB1A26" w14:textId="77777777" w:rsidR="002F12E7" w:rsidRPr="002F12E7" w:rsidRDefault="002F12E7" w:rsidP="002F12E7">
            <w:pPr>
              <w:spacing w:after="160" w:line="276" w:lineRule="auto"/>
            </w:pPr>
            <w:r w:rsidRPr="002F12E7">
              <w:t>Pre/Post SAFE Act</w:t>
            </w:r>
          </w:p>
        </w:tc>
        <w:tc>
          <w:tcPr>
            <w:cnfStyle w:val="000010000000" w:firstRow="0" w:lastRow="0" w:firstColumn="0" w:lastColumn="0" w:oddVBand="1" w:evenVBand="0" w:oddHBand="0" w:evenHBand="0" w:firstRowFirstColumn="0" w:firstRowLastColumn="0" w:lastRowFirstColumn="0" w:lastRowLastColumn="0"/>
            <w:tcW w:w="1027" w:type="pct"/>
            <w:hideMark/>
          </w:tcPr>
          <w:p w14:paraId="12570597"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2F7E26FB"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15AA3CB5" w14:textId="77777777" w:rsidR="002F12E7" w:rsidRPr="002F12E7" w:rsidRDefault="002F12E7" w:rsidP="002F12E7">
            <w:pPr>
              <w:spacing w:after="160" w:line="276" w:lineRule="auto"/>
            </w:pPr>
          </w:p>
        </w:tc>
      </w:tr>
      <w:tr w:rsidR="002F12E7" w:rsidRPr="002F12E7" w14:paraId="67A754AF" w14:textId="77777777" w:rsidTr="002F12E7">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54" w:type="pct"/>
            <w:hideMark/>
          </w:tcPr>
          <w:p w14:paraId="5A6C42B8" w14:textId="77777777" w:rsidR="002F12E7" w:rsidRPr="002F12E7" w:rsidRDefault="002F12E7" w:rsidP="002F12E7">
            <w:pPr>
              <w:spacing w:after="160" w:line="276" w:lineRule="auto"/>
            </w:pPr>
            <w:r w:rsidRPr="002F12E7">
              <w:t>Season</w:t>
            </w:r>
          </w:p>
        </w:tc>
        <w:tc>
          <w:tcPr>
            <w:cnfStyle w:val="000010000000" w:firstRow="0" w:lastRow="0" w:firstColumn="0" w:lastColumn="0" w:oddVBand="1" w:evenVBand="0" w:oddHBand="0" w:evenHBand="0" w:firstRowFirstColumn="0" w:firstRowLastColumn="0" w:lastRowFirstColumn="0" w:lastRowLastColumn="0"/>
            <w:tcW w:w="1027" w:type="pct"/>
            <w:hideMark/>
          </w:tcPr>
          <w:p w14:paraId="06487E37" w14:textId="77777777" w:rsidR="002F12E7" w:rsidRPr="002F12E7" w:rsidRDefault="002F12E7" w:rsidP="002F12E7">
            <w:pPr>
              <w:spacing w:after="160" w:line="276" w:lineRule="auto"/>
            </w:pPr>
          </w:p>
        </w:tc>
        <w:tc>
          <w:tcPr>
            <w:cnfStyle w:val="000001000000" w:firstRow="0" w:lastRow="0" w:firstColumn="0" w:lastColumn="0" w:oddVBand="0" w:evenVBand="1" w:oddHBand="0" w:evenHBand="0" w:firstRowFirstColumn="0" w:firstRowLastColumn="0" w:lastRowFirstColumn="0" w:lastRowLastColumn="0"/>
            <w:tcW w:w="668" w:type="pct"/>
            <w:hideMark/>
          </w:tcPr>
          <w:p w14:paraId="261EB0A4" w14:textId="77777777" w:rsidR="002F12E7" w:rsidRPr="002F12E7" w:rsidRDefault="002F12E7" w:rsidP="002F12E7">
            <w:pPr>
              <w:spacing w:after="160" w:line="276" w:lineRule="auto"/>
            </w:pPr>
          </w:p>
        </w:tc>
        <w:tc>
          <w:tcPr>
            <w:cnfStyle w:val="000010000000" w:firstRow="0" w:lastRow="0" w:firstColumn="0" w:lastColumn="0" w:oddVBand="1" w:evenVBand="0" w:oddHBand="0" w:evenHBand="0" w:firstRowFirstColumn="0" w:firstRowLastColumn="0" w:lastRowFirstColumn="0" w:lastRowLastColumn="0"/>
            <w:tcW w:w="1250" w:type="pct"/>
            <w:hideMark/>
          </w:tcPr>
          <w:p w14:paraId="026B40F3" w14:textId="77777777" w:rsidR="002F12E7" w:rsidRPr="002F12E7" w:rsidRDefault="002F12E7" w:rsidP="002F12E7">
            <w:pPr>
              <w:spacing w:after="160" w:line="276" w:lineRule="auto"/>
            </w:pPr>
          </w:p>
        </w:tc>
      </w:tr>
      <w:tr w:rsidR="00476AAB" w:rsidRPr="002F12E7" w14:paraId="63DA529F" w14:textId="77777777" w:rsidTr="002F12E7">
        <w:trPr>
          <w:trHeight w:val="20"/>
        </w:trPr>
        <w:tc>
          <w:tcPr>
            <w:cnfStyle w:val="001000000000" w:firstRow="0" w:lastRow="0" w:firstColumn="1" w:lastColumn="0" w:oddVBand="0" w:evenVBand="0" w:oddHBand="0" w:evenHBand="0" w:firstRowFirstColumn="0" w:firstRowLastColumn="0" w:lastRowFirstColumn="0" w:lastRowLastColumn="0"/>
            <w:tcW w:w="2054" w:type="pct"/>
          </w:tcPr>
          <w:p w14:paraId="713E4C85" w14:textId="012E1F12" w:rsidR="00476AAB" w:rsidRPr="002F12E7" w:rsidRDefault="00476AAB" w:rsidP="002F12E7">
            <w:pPr>
              <w:spacing w:line="276" w:lineRule="auto"/>
            </w:pPr>
            <w:r>
              <w:t>Year (or time equivalent yet to be decided)</w:t>
            </w:r>
          </w:p>
        </w:tc>
        <w:tc>
          <w:tcPr>
            <w:cnfStyle w:val="000010000000" w:firstRow="0" w:lastRow="0" w:firstColumn="0" w:lastColumn="0" w:oddVBand="1" w:evenVBand="0" w:oddHBand="0" w:evenHBand="0" w:firstRowFirstColumn="0" w:firstRowLastColumn="0" w:lastRowFirstColumn="0" w:lastRowLastColumn="0"/>
            <w:tcW w:w="1027" w:type="pct"/>
          </w:tcPr>
          <w:p w14:paraId="7E0A84D2" w14:textId="77777777" w:rsidR="00476AAB" w:rsidRPr="002F12E7" w:rsidRDefault="00476AAB" w:rsidP="002F12E7">
            <w:pPr>
              <w:spacing w:line="276" w:lineRule="auto"/>
            </w:pPr>
          </w:p>
        </w:tc>
        <w:tc>
          <w:tcPr>
            <w:cnfStyle w:val="000001000000" w:firstRow="0" w:lastRow="0" w:firstColumn="0" w:lastColumn="0" w:oddVBand="0" w:evenVBand="1" w:oddHBand="0" w:evenHBand="0" w:firstRowFirstColumn="0" w:firstRowLastColumn="0" w:lastRowFirstColumn="0" w:lastRowLastColumn="0"/>
            <w:tcW w:w="668" w:type="pct"/>
          </w:tcPr>
          <w:p w14:paraId="74966BE4" w14:textId="77777777" w:rsidR="00476AAB" w:rsidRPr="002F12E7" w:rsidRDefault="00476AAB" w:rsidP="002F12E7">
            <w:pPr>
              <w:spacing w:line="276" w:lineRule="auto"/>
            </w:pPr>
          </w:p>
        </w:tc>
        <w:tc>
          <w:tcPr>
            <w:cnfStyle w:val="000010000000" w:firstRow="0" w:lastRow="0" w:firstColumn="0" w:lastColumn="0" w:oddVBand="1" w:evenVBand="0" w:oddHBand="0" w:evenHBand="0" w:firstRowFirstColumn="0" w:firstRowLastColumn="0" w:lastRowFirstColumn="0" w:lastRowLastColumn="0"/>
            <w:tcW w:w="1250" w:type="pct"/>
          </w:tcPr>
          <w:p w14:paraId="49B5F08E" w14:textId="77777777" w:rsidR="00476AAB" w:rsidRPr="002F12E7" w:rsidRDefault="00476AAB" w:rsidP="002F12E7">
            <w:pPr>
              <w:spacing w:line="276" w:lineRule="auto"/>
            </w:pPr>
          </w:p>
        </w:tc>
      </w:tr>
    </w:tbl>
    <w:p w14:paraId="645C51E0" w14:textId="44BDEE51" w:rsidR="00476AAB" w:rsidRDefault="00476AAB" w:rsidP="00713712">
      <w:pPr>
        <w:spacing w:line="276" w:lineRule="auto"/>
      </w:pPr>
    </w:p>
    <w:p w14:paraId="456C8180" w14:textId="6AE1B68D" w:rsidR="00476AAB" w:rsidRDefault="00476AAB" w:rsidP="00713712">
      <w:pPr>
        <w:spacing w:line="276" w:lineRule="auto"/>
      </w:pPr>
      <w:r>
        <w:lastRenderedPageBreak/>
        <w:t>References:</w:t>
      </w:r>
    </w:p>
    <w:p w14:paraId="5085BBDF" w14:textId="77777777" w:rsidR="00476AAB" w:rsidRDefault="00476AAB" w:rsidP="00476AAB">
      <w:pPr>
        <w:pStyle w:val="ListParagraph"/>
        <w:numPr>
          <w:ilvl w:val="0"/>
          <w:numId w:val="3"/>
        </w:numPr>
        <w:spacing w:line="276" w:lineRule="auto"/>
      </w:pPr>
      <w:r>
        <w:t xml:space="preserve">Delgado, S. A., </w:t>
      </w:r>
      <w:proofErr w:type="spellStart"/>
      <w:r>
        <w:t>Alsabahi</w:t>
      </w:r>
      <w:proofErr w:type="spellEnd"/>
      <w:r>
        <w:t xml:space="preserve">, L., Wolff, K., Alexander, N., </w:t>
      </w:r>
      <w:proofErr w:type="spellStart"/>
      <w:r>
        <w:t>Cobar</w:t>
      </w:r>
      <w:proofErr w:type="spellEnd"/>
      <w:r>
        <w:t>, P., &amp; Butts, J. A. (2019, July 10). The Effects of Cure Violence Programs in 2 New York City Neighborhoods. Retrieved from https://johnjayrec.nyc/2017/10/02/cvinsobronxeastny/.</w:t>
      </w:r>
    </w:p>
    <w:p w14:paraId="35854144" w14:textId="77777777" w:rsidR="00476AAB" w:rsidRDefault="00476AAB" w:rsidP="00476AAB">
      <w:pPr>
        <w:pStyle w:val="ListParagraph"/>
        <w:numPr>
          <w:ilvl w:val="0"/>
          <w:numId w:val="3"/>
        </w:numPr>
        <w:spacing w:line="276" w:lineRule="auto"/>
      </w:pPr>
      <w:r>
        <w:t>Lam, K. (2018, October 16). New York City's weekend free of shootings is first in decades. Retrieved from https://www.foxnews.com/us/new-york-citys-weekend-free-of-shootings-is-first-in-decades.</w:t>
      </w:r>
    </w:p>
    <w:p w14:paraId="54258CB8" w14:textId="77777777" w:rsidR="00476AAB" w:rsidRDefault="00476AAB" w:rsidP="00476AAB">
      <w:pPr>
        <w:pStyle w:val="ListParagraph"/>
        <w:numPr>
          <w:ilvl w:val="0"/>
          <w:numId w:val="3"/>
        </w:numPr>
        <w:spacing w:line="276" w:lineRule="auto"/>
      </w:pPr>
      <w:proofErr w:type="spellStart"/>
      <w:r>
        <w:t>Paybarah</w:t>
      </w:r>
      <w:proofErr w:type="spellEnd"/>
      <w:r>
        <w:t>, A. (2019, August 6). Gun Violence: New York's Own Problem. Retrieved from https://www.nytimes.com/2019/08/06/nyregion/newyorktoday/nyc-gun-violence.html.</w:t>
      </w:r>
    </w:p>
    <w:p w14:paraId="70252CC4" w14:textId="3F943F78" w:rsidR="00476AAB" w:rsidRDefault="00476AAB" w:rsidP="00476AAB">
      <w:pPr>
        <w:pStyle w:val="ListParagraph"/>
        <w:numPr>
          <w:ilvl w:val="0"/>
          <w:numId w:val="3"/>
        </w:numPr>
        <w:spacing w:line="276" w:lineRule="auto"/>
      </w:pPr>
      <w:r>
        <w:t>States with Weak Gun Laws and Higher Gun Ownership Lead Nation in Gun Deaths, New Data for 2015 Confirms. (2017, January 10). Retrieved from http://vpc.org/press/states-with-weak-gun-laws-and-higher-gun-ownership-lead-nation-in-gun-deaths-new-data-for-2015-confirms/.</w:t>
      </w:r>
    </w:p>
    <w:p w14:paraId="7CD454FC" w14:textId="77777777" w:rsidR="00476AAB" w:rsidRDefault="00476AAB" w:rsidP="00713712">
      <w:pPr>
        <w:spacing w:line="276" w:lineRule="auto"/>
      </w:pPr>
    </w:p>
    <w:p w14:paraId="17190B63" w14:textId="3FCCBBAC" w:rsidR="002F12E7" w:rsidRDefault="002F12E7" w:rsidP="00713712">
      <w:pPr>
        <w:spacing w:line="276" w:lineRule="auto"/>
      </w:pPr>
    </w:p>
    <w:sectPr w:rsidR="002F12E7" w:rsidSect="0067056F">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061A8" w14:textId="77777777" w:rsidR="001622A8" w:rsidRDefault="001622A8" w:rsidP="007C05AC">
      <w:pPr>
        <w:spacing w:after="0" w:line="240" w:lineRule="auto"/>
      </w:pPr>
      <w:r>
        <w:separator/>
      </w:r>
    </w:p>
  </w:endnote>
  <w:endnote w:type="continuationSeparator" w:id="0">
    <w:p w14:paraId="51EA8C45" w14:textId="77777777" w:rsidR="001622A8" w:rsidRDefault="001622A8" w:rsidP="007C0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20E89B" w14:textId="77777777" w:rsidR="001622A8" w:rsidRDefault="001622A8" w:rsidP="007C05AC">
      <w:pPr>
        <w:spacing w:after="0" w:line="240" w:lineRule="auto"/>
      </w:pPr>
      <w:r>
        <w:separator/>
      </w:r>
    </w:p>
  </w:footnote>
  <w:footnote w:type="continuationSeparator" w:id="0">
    <w:p w14:paraId="69E513BE" w14:textId="77777777" w:rsidR="001622A8" w:rsidRDefault="001622A8" w:rsidP="007C05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83048"/>
    <w:multiLevelType w:val="hybridMultilevel"/>
    <w:tmpl w:val="40D830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5B092D"/>
    <w:multiLevelType w:val="hybridMultilevel"/>
    <w:tmpl w:val="39ACE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5364A6"/>
    <w:multiLevelType w:val="hybridMultilevel"/>
    <w:tmpl w:val="E6D8AF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5AC"/>
    <w:rsid w:val="000671DD"/>
    <w:rsid w:val="000D4189"/>
    <w:rsid w:val="001622A8"/>
    <w:rsid w:val="002B4FE1"/>
    <w:rsid w:val="002C02B2"/>
    <w:rsid w:val="002C7CA5"/>
    <w:rsid w:val="002F12E7"/>
    <w:rsid w:val="00326760"/>
    <w:rsid w:val="00375796"/>
    <w:rsid w:val="003E366E"/>
    <w:rsid w:val="004220DD"/>
    <w:rsid w:val="00476AAB"/>
    <w:rsid w:val="005804B2"/>
    <w:rsid w:val="00620AA1"/>
    <w:rsid w:val="0067056F"/>
    <w:rsid w:val="00713712"/>
    <w:rsid w:val="00757310"/>
    <w:rsid w:val="00786E32"/>
    <w:rsid w:val="007C05AC"/>
    <w:rsid w:val="00803A24"/>
    <w:rsid w:val="00890C19"/>
    <w:rsid w:val="008B1D7A"/>
    <w:rsid w:val="0093708D"/>
    <w:rsid w:val="00951AB1"/>
    <w:rsid w:val="009A4786"/>
    <w:rsid w:val="009E0777"/>
    <w:rsid w:val="00A1089B"/>
    <w:rsid w:val="00A333EE"/>
    <w:rsid w:val="00A4091B"/>
    <w:rsid w:val="00AA64D0"/>
    <w:rsid w:val="00BE71E9"/>
    <w:rsid w:val="00C17D21"/>
    <w:rsid w:val="00C92DA9"/>
    <w:rsid w:val="00C979A8"/>
    <w:rsid w:val="00CD3B55"/>
    <w:rsid w:val="00DD5643"/>
    <w:rsid w:val="00DF60D9"/>
    <w:rsid w:val="00FF2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924AB"/>
  <w15:chartTrackingRefBased/>
  <w15:docId w15:val="{7F9C48BF-7274-4819-A414-0E7D0B7F0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07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07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07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C05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C05AC"/>
    <w:rPr>
      <w:sz w:val="20"/>
      <w:szCs w:val="20"/>
    </w:rPr>
  </w:style>
  <w:style w:type="character" w:styleId="FootnoteReference">
    <w:name w:val="footnote reference"/>
    <w:basedOn w:val="DefaultParagraphFont"/>
    <w:uiPriority w:val="99"/>
    <w:semiHidden/>
    <w:unhideWhenUsed/>
    <w:rsid w:val="007C05AC"/>
    <w:rPr>
      <w:vertAlign w:val="superscript"/>
    </w:rPr>
  </w:style>
  <w:style w:type="character" w:customStyle="1" w:styleId="js-about-item-abstr">
    <w:name w:val="js-about-item-abstr"/>
    <w:basedOn w:val="DefaultParagraphFont"/>
    <w:rsid w:val="007C05AC"/>
  </w:style>
  <w:style w:type="paragraph" w:styleId="ListParagraph">
    <w:name w:val="List Paragraph"/>
    <w:basedOn w:val="Normal"/>
    <w:uiPriority w:val="34"/>
    <w:qFormat/>
    <w:rsid w:val="007C05AC"/>
    <w:pPr>
      <w:ind w:left="720"/>
      <w:contextualSpacing/>
    </w:pPr>
  </w:style>
  <w:style w:type="table" w:styleId="TableGrid">
    <w:name w:val="Table Grid"/>
    <w:basedOn w:val="TableNormal"/>
    <w:uiPriority w:val="39"/>
    <w:rsid w:val="007C05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C05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0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05A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C05AC"/>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E07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077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E077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3E366E"/>
    <w:rPr>
      <w:color w:val="0563C1" w:themeColor="hyperlink"/>
      <w:u w:val="single"/>
    </w:rPr>
  </w:style>
  <w:style w:type="character" w:styleId="UnresolvedMention">
    <w:name w:val="Unresolved Mention"/>
    <w:basedOn w:val="DefaultParagraphFont"/>
    <w:uiPriority w:val="99"/>
    <w:semiHidden/>
    <w:unhideWhenUsed/>
    <w:rsid w:val="003E366E"/>
    <w:rPr>
      <w:color w:val="605E5C"/>
      <w:shd w:val="clear" w:color="auto" w:fill="E1DFDD"/>
    </w:rPr>
  </w:style>
  <w:style w:type="table" w:styleId="PlainTable2">
    <w:name w:val="Plain Table 2"/>
    <w:basedOn w:val="TableNormal"/>
    <w:uiPriority w:val="42"/>
    <w:rsid w:val="002F12E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525281">
      <w:bodyDiv w:val="1"/>
      <w:marLeft w:val="0"/>
      <w:marRight w:val="0"/>
      <w:marTop w:val="0"/>
      <w:marBottom w:val="0"/>
      <w:divBdr>
        <w:top w:val="none" w:sz="0" w:space="0" w:color="auto"/>
        <w:left w:val="none" w:sz="0" w:space="0" w:color="auto"/>
        <w:bottom w:val="none" w:sz="0" w:space="0" w:color="auto"/>
        <w:right w:val="none" w:sz="0" w:space="0" w:color="auto"/>
      </w:divBdr>
      <w:divsChild>
        <w:div w:id="2065981912">
          <w:marLeft w:val="0"/>
          <w:marRight w:val="0"/>
          <w:marTop w:val="0"/>
          <w:marBottom w:val="0"/>
          <w:divBdr>
            <w:top w:val="none" w:sz="0" w:space="0" w:color="auto"/>
            <w:left w:val="none" w:sz="0" w:space="0" w:color="auto"/>
            <w:bottom w:val="none" w:sz="0" w:space="0" w:color="auto"/>
            <w:right w:val="none" w:sz="0" w:space="0" w:color="auto"/>
          </w:divBdr>
          <w:divsChild>
            <w:div w:id="777144335">
              <w:marLeft w:val="0"/>
              <w:marRight w:val="0"/>
              <w:marTop w:val="0"/>
              <w:marBottom w:val="0"/>
              <w:divBdr>
                <w:top w:val="none" w:sz="0" w:space="0" w:color="auto"/>
                <w:left w:val="none" w:sz="0" w:space="0" w:color="auto"/>
                <w:bottom w:val="none" w:sz="0" w:space="0" w:color="auto"/>
                <w:right w:val="none" w:sz="0" w:space="0" w:color="auto"/>
              </w:divBdr>
              <w:divsChild>
                <w:div w:id="715131344">
                  <w:marLeft w:val="0"/>
                  <w:marRight w:val="0"/>
                  <w:marTop w:val="0"/>
                  <w:marBottom w:val="0"/>
                  <w:divBdr>
                    <w:top w:val="none" w:sz="0" w:space="0" w:color="auto"/>
                    <w:left w:val="none" w:sz="0" w:space="0" w:color="auto"/>
                    <w:bottom w:val="none" w:sz="0" w:space="0" w:color="auto"/>
                    <w:right w:val="none" w:sz="0" w:space="0" w:color="auto"/>
                  </w:divBdr>
                </w:div>
                <w:div w:id="2023166687">
                  <w:marLeft w:val="0"/>
                  <w:marRight w:val="0"/>
                  <w:marTop w:val="0"/>
                  <w:marBottom w:val="0"/>
                  <w:divBdr>
                    <w:top w:val="none" w:sz="0" w:space="0" w:color="auto"/>
                    <w:left w:val="none" w:sz="0" w:space="0" w:color="auto"/>
                    <w:bottom w:val="none" w:sz="0" w:space="0" w:color="auto"/>
                    <w:right w:val="none" w:sz="0" w:space="0" w:color="auto"/>
                  </w:divBdr>
                </w:div>
                <w:div w:id="1935671741">
                  <w:marLeft w:val="0"/>
                  <w:marRight w:val="0"/>
                  <w:marTop w:val="0"/>
                  <w:marBottom w:val="0"/>
                  <w:divBdr>
                    <w:top w:val="none" w:sz="0" w:space="0" w:color="auto"/>
                    <w:left w:val="none" w:sz="0" w:space="0" w:color="auto"/>
                    <w:bottom w:val="none" w:sz="0" w:space="0" w:color="auto"/>
                    <w:right w:val="none" w:sz="0" w:space="0" w:color="auto"/>
                  </w:divBdr>
                </w:div>
                <w:div w:id="66552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5</Pages>
  <Words>1069</Words>
  <Characters>6098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Weber</dc:creator>
  <cp:keywords/>
  <dc:description/>
  <cp:lastModifiedBy>Rachel Weber</cp:lastModifiedBy>
  <cp:revision>2</cp:revision>
  <dcterms:created xsi:type="dcterms:W3CDTF">2019-12-02T15:33:00Z</dcterms:created>
  <dcterms:modified xsi:type="dcterms:W3CDTF">2019-12-02T15:33:00Z</dcterms:modified>
</cp:coreProperties>
</file>