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D65" w:rsidRDefault="00C26D65" w:rsidP="00C26D65">
      <w:pPr>
        <w:pStyle w:val="Title"/>
        <w:pBdr>
          <w:bottom w:val="single" w:sz="12" w:space="1" w:color="auto"/>
        </w:pBdr>
        <w:spacing w:before="0" w:after="0"/>
        <w:jc w:val="left"/>
        <w:rPr>
          <w:color w:val="943634" w:themeColor="accent2" w:themeShade="BF"/>
        </w:rPr>
      </w:pPr>
    </w:p>
    <w:p w:rsidR="00AE2AC8" w:rsidRPr="00C26D65" w:rsidRDefault="00C26D65" w:rsidP="00C26D65">
      <w:pPr>
        <w:pStyle w:val="Title"/>
        <w:spacing w:before="0" w:after="0"/>
        <w:jc w:val="left"/>
        <w:rPr>
          <w:color w:val="943634" w:themeColor="accent2" w:themeShade="BF"/>
        </w:rPr>
      </w:pPr>
      <w:r>
        <w:rPr>
          <w:color w:val="943634" w:themeColor="accent2" w:themeShade="BF"/>
        </w:rPr>
        <w:t>A Start to Reporting</w:t>
      </w:r>
    </w:p>
    <w:p w:rsidR="00AE2AC8" w:rsidRDefault="00192005" w:rsidP="00C26D65">
      <w:pPr>
        <w:pStyle w:val="Author"/>
        <w:spacing w:after="0"/>
        <w:jc w:val="left"/>
      </w:pPr>
      <w:r>
        <w:t>Rachel Weber</w:t>
      </w:r>
    </w:p>
    <w:p w:rsidR="00AE2AC8" w:rsidRDefault="00C26D65" w:rsidP="00C26D65">
      <w:pPr>
        <w:pStyle w:val="Date"/>
        <w:pBdr>
          <w:bottom w:val="single" w:sz="12" w:space="1" w:color="auto"/>
        </w:pBdr>
        <w:spacing w:after="0"/>
        <w:jc w:val="left"/>
      </w:pPr>
      <w:r>
        <w:t>December 12</w:t>
      </w:r>
      <w:r w:rsidR="00192005">
        <w:t>, 2018</w:t>
      </w:r>
    </w:p>
    <w:p w:rsidR="00AE2AC8" w:rsidRPr="00C26D65" w:rsidRDefault="00192005">
      <w:pPr>
        <w:pStyle w:val="Heading3"/>
        <w:rPr>
          <w:color w:val="943634" w:themeColor="accent2" w:themeShade="BF"/>
        </w:rPr>
      </w:pPr>
      <w:bookmarkStart w:id="0" w:name="background"/>
      <w:bookmarkEnd w:id="0"/>
      <w:r w:rsidRPr="00C26D65">
        <w:rPr>
          <w:color w:val="943634" w:themeColor="accent2" w:themeShade="BF"/>
        </w:rPr>
        <w:t>Background</w:t>
      </w:r>
    </w:p>
    <w:p w:rsidR="00AE2AC8" w:rsidRDefault="00192005">
      <w:pPr>
        <w:pStyle w:val="FirstParagraph"/>
      </w:pPr>
      <w:r>
        <w:t xml:space="preserve">NYC shooting data is publicly available for access through </w:t>
      </w:r>
      <w:hyperlink r:id="rId7">
        <w:r>
          <w:rPr>
            <w:rStyle w:val="Hyperlink"/>
          </w:rPr>
          <w:t>https://data.cityofnewyork.us/Public-Safety/NYPD-Shooting-Incident-Data-Historic-/833y-fsy8</w:t>
        </w:r>
      </w:hyperlink>
      <w:r>
        <w:t>. The data are updated annually and contain data from Ja</w:t>
      </w:r>
      <w:r>
        <w:t>nuary 1, 2013 to December 31, 2017–5 years of data. In this time 6885 shootings occured. Their date, time, precinct, borough, and location are available along with perpetrator and victim age, race, and sex. The weekend of october 12th, 2018 was the first s</w:t>
      </w:r>
      <w:r>
        <w:t xml:space="preserve">hooting-free weekend the city has had in over a decade. This headline made national news and being familiar with the law of truly large numbers, the question arose asking, “Was this truly a newsworthy event of was it bound to happen?” Figure 1 below shows </w:t>
      </w:r>
      <w:r>
        <w:t>the number of shootings stratified by year (left) and by season (right). Shootings have been reportedly going down in recent years, so a shooting-free weekend may be becoming more likely. Additionally, shooting rates change with the season, peaking in summ</w:t>
      </w:r>
      <w:r>
        <w:t>er, so the probability of a shooting-free weekend may change with the season.</w:t>
      </w:r>
    </w:p>
    <w:tbl>
      <w:tblPr>
        <w:tblStyle w:val="PlainTable2"/>
        <w:tblW w:w="1805" w:type="pct"/>
        <w:jc w:val="center"/>
        <w:tblLook w:val="0620" w:firstRow="1" w:lastRow="0" w:firstColumn="0" w:lastColumn="0" w:noHBand="1" w:noVBand="1"/>
      </w:tblPr>
      <w:tblGrid>
        <w:gridCol w:w="1845"/>
        <w:gridCol w:w="2132"/>
      </w:tblGrid>
      <w:tr w:rsidR="00AE2AC8" w:rsidTr="00C26D65">
        <w:trPr>
          <w:cnfStyle w:val="100000000000" w:firstRow="1" w:lastRow="0" w:firstColumn="0" w:lastColumn="0" w:oddVBand="0" w:evenVBand="0" w:oddHBand="0" w:evenHBand="0" w:firstRowFirstColumn="0" w:firstRowLastColumn="0" w:lastRowFirstColumn="0" w:lastRowLastColumn="0"/>
          <w:jc w:val="center"/>
        </w:trPr>
        <w:tc>
          <w:tcPr>
            <w:tcW w:w="0" w:type="auto"/>
          </w:tcPr>
          <w:p w:rsidR="00AE2AC8" w:rsidRDefault="00AE2AC8">
            <w:pPr>
              <w:pStyle w:val="Compact"/>
            </w:pPr>
          </w:p>
        </w:tc>
        <w:tc>
          <w:tcPr>
            <w:tcW w:w="0" w:type="auto"/>
          </w:tcPr>
          <w:p w:rsidR="00AE2AC8" w:rsidRDefault="00192005">
            <w:pPr>
              <w:pStyle w:val="Compact"/>
              <w:jc w:val="center"/>
            </w:pPr>
            <w:r>
              <w:t>N = 6,885</w:t>
            </w:r>
          </w:p>
        </w:tc>
      </w:tr>
      <w:tr w:rsidR="00AE2AC8" w:rsidTr="00C26D65">
        <w:trPr>
          <w:jc w:val="center"/>
        </w:trPr>
        <w:tc>
          <w:tcPr>
            <w:tcW w:w="0" w:type="auto"/>
          </w:tcPr>
          <w:p w:rsidR="00AE2AC8" w:rsidRDefault="00AE2AC8">
            <w:pPr>
              <w:pStyle w:val="Compact"/>
            </w:pPr>
          </w:p>
        </w:tc>
        <w:tc>
          <w:tcPr>
            <w:tcW w:w="0" w:type="auto"/>
          </w:tcPr>
          <w:p w:rsidR="00AE2AC8" w:rsidRDefault="00192005">
            <w:pPr>
              <w:pStyle w:val="Compact"/>
              <w:jc w:val="center"/>
            </w:pPr>
            <w:r>
              <w:t>N(%)</w:t>
            </w:r>
          </w:p>
        </w:tc>
      </w:tr>
      <w:tr w:rsidR="00AE2AC8" w:rsidTr="00C26D65">
        <w:trPr>
          <w:jc w:val="center"/>
        </w:trPr>
        <w:tc>
          <w:tcPr>
            <w:tcW w:w="0" w:type="auto"/>
          </w:tcPr>
          <w:p w:rsidR="00AE2AC8" w:rsidRDefault="00192005">
            <w:pPr>
              <w:pStyle w:val="Compact"/>
            </w:pPr>
            <w:r>
              <w:rPr>
                <w:b/>
              </w:rPr>
              <w:t>year</w:t>
            </w:r>
          </w:p>
        </w:tc>
        <w:tc>
          <w:tcPr>
            <w:tcW w:w="0" w:type="auto"/>
          </w:tcPr>
          <w:p w:rsidR="00AE2AC8" w:rsidRDefault="00AE2AC8">
            <w:pPr>
              <w:pStyle w:val="Compact"/>
            </w:pPr>
          </w:p>
        </w:tc>
      </w:tr>
      <w:tr w:rsidR="00AE2AC8" w:rsidTr="00C26D65">
        <w:trPr>
          <w:jc w:val="center"/>
        </w:trPr>
        <w:tc>
          <w:tcPr>
            <w:tcW w:w="0" w:type="auto"/>
          </w:tcPr>
          <w:p w:rsidR="00AE2AC8" w:rsidRDefault="00192005">
            <w:pPr>
              <w:pStyle w:val="Compact"/>
            </w:pPr>
            <w:r>
              <w:t>2013</w:t>
            </w:r>
          </w:p>
        </w:tc>
        <w:tc>
          <w:tcPr>
            <w:tcW w:w="0" w:type="auto"/>
          </w:tcPr>
          <w:p w:rsidR="00AE2AC8" w:rsidRDefault="00192005">
            <w:pPr>
              <w:pStyle w:val="Compact"/>
              <w:jc w:val="center"/>
            </w:pPr>
            <w:r>
              <w:t>1,414(21)</w:t>
            </w:r>
          </w:p>
        </w:tc>
      </w:tr>
      <w:tr w:rsidR="00AE2AC8" w:rsidTr="00C26D65">
        <w:trPr>
          <w:jc w:val="center"/>
        </w:trPr>
        <w:tc>
          <w:tcPr>
            <w:tcW w:w="0" w:type="auto"/>
          </w:tcPr>
          <w:p w:rsidR="00AE2AC8" w:rsidRDefault="00192005">
            <w:pPr>
              <w:pStyle w:val="Compact"/>
            </w:pPr>
            <w:r>
              <w:t>2014</w:t>
            </w:r>
          </w:p>
        </w:tc>
        <w:tc>
          <w:tcPr>
            <w:tcW w:w="0" w:type="auto"/>
          </w:tcPr>
          <w:p w:rsidR="00AE2AC8" w:rsidRDefault="00192005">
            <w:pPr>
              <w:pStyle w:val="Compact"/>
              <w:jc w:val="center"/>
            </w:pPr>
            <w:r>
              <w:t>1,534(22)</w:t>
            </w:r>
          </w:p>
        </w:tc>
      </w:tr>
      <w:tr w:rsidR="00AE2AC8" w:rsidTr="00C26D65">
        <w:trPr>
          <w:jc w:val="center"/>
        </w:trPr>
        <w:tc>
          <w:tcPr>
            <w:tcW w:w="0" w:type="auto"/>
          </w:tcPr>
          <w:p w:rsidR="00AE2AC8" w:rsidRDefault="00192005">
            <w:pPr>
              <w:pStyle w:val="Compact"/>
            </w:pPr>
            <w:r>
              <w:t>2015</w:t>
            </w:r>
          </w:p>
        </w:tc>
        <w:tc>
          <w:tcPr>
            <w:tcW w:w="0" w:type="auto"/>
          </w:tcPr>
          <w:p w:rsidR="00AE2AC8" w:rsidRDefault="00192005">
            <w:pPr>
              <w:pStyle w:val="Compact"/>
              <w:jc w:val="center"/>
            </w:pPr>
            <w:r>
              <w:t>1,552(23)</w:t>
            </w:r>
          </w:p>
        </w:tc>
      </w:tr>
      <w:tr w:rsidR="00AE2AC8" w:rsidTr="00C26D65">
        <w:trPr>
          <w:jc w:val="center"/>
        </w:trPr>
        <w:tc>
          <w:tcPr>
            <w:tcW w:w="0" w:type="auto"/>
          </w:tcPr>
          <w:p w:rsidR="00AE2AC8" w:rsidRDefault="00192005">
            <w:pPr>
              <w:pStyle w:val="Compact"/>
            </w:pPr>
            <w:r>
              <w:t>2016</w:t>
            </w:r>
          </w:p>
        </w:tc>
        <w:tc>
          <w:tcPr>
            <w:tcW w:w="0" w:type="auto"/>
          </w:tcPr>
          <w:p w:rsidR="00AE2AC8" w:rsidRDefault="00192005">
            <w:pPr>
              <w:pStyle w:val="Compact"/>
              <w:jc w:val="center"/>
            </w:pPr>
            <w:r>
              <w:t>1,308(19)</w:t>
            </w:r>
          </w:p>
        </w:tc>
      </w:tr>
      <w:tr w:rsidR="00AE2AC8" w:rsidTr="00C26D65">
        <w:trPr>
          <w:jc w:val="center"/>
        </w:trPr>
        <w:tc>
          <w:tcPr>
            <w:tcW w:w="0" w:type="auto"/>
          </w:tcPr>
          <w:p w:rsidR="00AE2AC8" w:rsidRDefault="00192005">
            <w:pPr>
              <w:pStyle w:val="Compact"/>
            </w:pPr>
            <w:r>
              <w:t>2017</w:t>
            </w:r>
          </w:p>
        </w:tc>
        <w:tc>
          <w:tcPr>
            <w:tcW w:w="0" w:type="auto"/>
          </w:tcPr>
          <w:p w:rsidR="00AE2AC8" w:rsidRDefault="00192005">
            <w:pPr>
              <w:pStyle w:val="Compact"/>
              <w:jc w:val="center"/>
            </w:pPr>
            <w:r>
              <w:t>1,077(16)</w:t>
            </w:r>
          </w:p>
        </w:tc>
      </w:tr>
      <w:tr w:rsidR="00AE2AC8" w:rsidTr="00C26D65">
        <w:trPr>
          <w:jc w:val="center"/>
        </w:trPr>
        <w:tc>
          <w:tcPr>
            <w:tcW w:w="0" w:type="auto"/>
          </w:tcPr>
          <w:p w:rsidR="00AE2AC8" w:rsidRDefault="00192005">
            <w:pPr>
              <w:pStyle w:val="Compact"/>
            </w:pPr>
            <w:r>
              <w:rPr>
                <w:b/>
              </w:rPr>
              <w:t>season</w:t>
            </w:r>
          </w:p>
        </w:tc>
        <w:tc>
          <w:tcPr>
            <w:tcW w:w="0" w:type="auto"/>
          </w:tcPr>
          <w:p w:rsidR="00AE2AC8" w:rsidRDefault="00AE2AC8">
            <w:pPr>
              <w:pStyle w:val="Compact"/>
            </w:pPr>
          </w:p>
        </w:tc>
      </w:tr>
      <w:tr w:rsidR="00AE2AC8" w:rsidTr="00C26D65">
        <w:trPr>
          <w:jc w:val="center"/>
        </w:trPr>
        <w:tc>
          <w:tcPr>
            <w:tcW w:w="0" w:type="auto"/>
          </w:tcPr>
          <w:p w:rsidR="00AE2AC8" w:rsidRDefault="00192005">
            <w:pPr>
              <w:pStyle w:val="Compact"/>
            </w:pPr>
            <w:r>
              <w:t>Fall</w:t>
            </w:r>
          </w:p>
        </w:tc>
        <w:tc>
          <w:tcPr>
            <w:tcW w:w="0" w:type="auto"/>
          </w:tcPr>
          <w:p w:rsidR="00AE2AC8" w:rsidRDefault="00192005">
            <w:pPr>
              <w:pStyle w:val="Compact"/>
              <w:jc w:val="center"/>
            </w:pPr>
            <w:r>
              <w:t>1,605(23)</w:t>
            </w:r>
          </w:p>
        </w:tc>
      </w:tr>
      <w:tr w:rsidR="00AE2AC8" w:rsidTr="00C26D65">
        <w:trPr>
          <w:jc w:val="center"/>
        </w:trPr>
        <w:tc>
          <w:tcPr>
            <w:tcW w:w="0" w:type="auto"/>
          </w:tcPr>
          <w:p w:rsidR="00AE2AC8" w:rsidRDefault="00192005">
            <w:pPr>
              <w:pStyle w:val="Compact"/>
            </w:pPr>
            <w:r>
              <w:t>Spring</w:t>
            </w:r>
          </w:p>
        </w:tc>
        <w:tc>
          <w:tcPr>
            <w:tcW w:w="0" w:type="auto"/>
          </w:tcPr>
          <w:p w:rsidR="00AE2AC8" w:rsidRDefault="00192005">
            <w:pPr>
              <w:pStyle w:val="Compact"/>
              <w:jc w:val="center"/>
            </w:pPr>
            <w:r>
              <w:t>1,686(24)</w:t>
            </w:r>
          </w:p>
        </w:tc>
      </w:tr>
      <w:tr w:rsidR="00AE2AC8" w:rsidTr="00C26D65">
        <w:trPr>
          <w:jc w:val="center"/>
        </w:trPr>
        <w:tc>
          <w:tcPr>
            <w:tcW w:w="0" w:type="auto"/>
          </w:tcPr>
          <w:p w:rsidR="00AE2AC8" w:rsidRDefault="00192005">
            <w:pPr>
              <w:pStyle w:val="Compact"/>
            </w:pPr>
            <w:r>
              <w:t>Summer</w:t>
            </w:r>
          </w:p>
        </w:tc>
        <w:tc>
          <w:tcPr>
            <w:tcW w:w="0" w:type="auto"/>
          </w:tcPr>
          <w:p w:rsidR="00AE2AC8" w:rsidRDefault="00192005">
            <w:pPr>
              <w:pStyle w:val="Compact"/>
              <w:jc w:val="center"/>
            </w:pPr>
            <w:r>
              <w:t>2,216(32)</w:t>
            </w:r>
          </w:p>
        </w:tc>
      </w:tr>
      <w:tr w:rsidR="00AE2AC8" w:rsidTr="00C26D65">
        <w:trPr>
          <w:jc w:val="center"/>
        </w:trPr>
        <w:tc>
          <w:tcPr>
            <w:tcW w:w="0" w:type="auto"/>
          </w:tcPr>
          <w:p w:rsidR="00AE2AC8" w:rsidRDefault="00192005">
            <w:pPr>
              <w:pStyle w:val="Compact"/>
            </w:pPr>
            <w:r>
              <w:t>Winter</w:t>
            </w:r>
          </w:p>
        </w:tc>
        <w:tc>
          <w:tcPr>
            <w:tcW w:w="0" w:type="auto"/>
          </w:tcPr>
          <w:p w:rsidR="00AE2AC8" w:rsidRDefault="00192005">
            <w:pPr>
              <w:pStyle w:val="Compact"/>
              <w:jc w:val="center"/>
            </w:pPr>
            <w:r>
              <w:t>1,378(20)</w:t>
            </w:r>
          </w:p>
        </w:tc>
      </w:tr>
    </w:tbl>
    <w:p w:rsidR="00AE2AC8" w:rsidRDefault="00192005" w:rsidP="00C26D65">
      <w:pPr>
        <w:pStyle w:val="BodyText"/>
        <w:jc w:val="center"/>
      </w:pPr>
      <w:r>
        <w:rPr>
          <w:noProof/>
        </w:rPr>
        <w:lastRenderedPageBreak/>
        <w:drawing>
          <wp:inline distT="0" distB="0" distL="0" distR="0">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rsidR="00AE2AC8" w:rsidRPr="00C26D65" w:rsidRDefault="00192005">
      <w:pPr>
        <w:pStyle w:val="Heading3"/>
        <w:rPr>
          <w:color w:val="943634" w:themeColor="accent2" w:themeShade="BF"/>
        </w:rPr>
      </w:pPr>
      <w:bookmarkStart w:id="1" w:name="analysis"/>
      <w:bookmarkEnd w:id="1"/>
      <w:r w:rsidRPr="00C26D65">
        <w:rPr>
          <w:color w:val="943634" w:themeColor="accent2" w:themeShade="BF"/>
        </w:rPr>
        <w:t>Analysis</w:t>
      </w:r>
    </w:p>
    <w:p w:rsidR="00C26D65" w:rsidRPr="00C26D65" w:rsidRDefault="00192005">
      <w:pPr>
        <w:pStyle w:val="FirstParagraph"/>
        <w:rPr>
          <w:rFonts w:eastAsiaTheme="minorEastAsia"/>
        </w:rPr>
      </w:pPr>
      <w:r>
        <w:t>One cannot assume that shootings on Saturday are completely independent of shootings on Friday. As such, we cannot multiply the days’ probabilities together to get our weekend probability. The definition of conditional probability though, does not necessit</w:t>
      </w:r>
      <w:r>
        <w:t xml:space="preserve">ate independence and can be used here. The probability of a shooting free weekend was calculated as follows: </w:t>
      </w:r>
    </w:p>
    <w:p w:rsidR="00C26D65" w:rsidRPr="00C26D65" w:rsidRDefault="00192005" w:rsidP="00C26D65">
      <w:pPr>
        <w:pStyle w:val="FirstParagraph"/>
        <w:rPr>
          <w:color w:val="632423" w:themeColor="accent2" w:themeShade="80"/>
          <w:sz w:val="22"/>
        </w:rPr>
      </w:pPr>
      <m:oMath>
        <m:r>
          <w:rPr>
            <w:rFonts w:ascii="Cambria Math" w:hAnsi="Cambria Math"/>
            <w:color w:val="632423" w:themeColor="accent2" w:themeShade="80"/>
            <w:sz w:val="22"/>
          </w:rPr>
          <m:t>P</m:t>
        </m:r>
        <m:r>
          <w:rPr>
            <w:rFonts w:ascii="Cambria Math" w:hAnsi="Cambria Math"/>
            <w:color w:val="632423" w:themeColor="accent2" w:themeShade="80"/>
            <w:sz w:val="22"/>
          </w:rPr>
          <m:t>(</m:t>
        </m:r>
        <m:r>
          <m:rPr>
            <m:sty m:val="p"/>
          </m:rPr>
          <w:rPr>
            <w:rFonts w:ascii="Cambria Math" w:hAnsi="Cambria Math"/>
            <w:color w:val="632423" w:themeColor="accent2" w:themeShade="80"/>
            <w:sz w:val="22"/>
          </w:rPr>
          <m:t>No Shooting Friday</m:t>
        </m:r>
        <m:r>
          <w:rPr>
            <w:rFonts w:ascii="Cambria Math" w:hAnsi="Cambria Math"/>
            <w:color w:val="632423" w:themeColor="accent2" w:themeShade="80"/>
            <w:sz w:val="22"/>
          </w:rPr>
          <m:t>)=</m:t>
        </m:r>
        <m:r>
          <w:rPr>
            <w:rFonts w:ascii="Cambria Math" w:hAnsi="Cambria Math"/>
            <w:color w:val="632423" w:themeColor="accent2" w:themeShade="80"/>
            <w:sz w:val="22"/>
          </w:rPr>
          <m:t>P</m:t>
        </m:r>
        <m:r>
          <w:rPr>
            <w:rFonts w:ascii="Cambria Math" w:hAnsi="Cambria Math"/>
            <w:color w:val="632423" w:themeColor="accent2" w:themeShade="80"/>
            <w:sz w:val="22"/>
          </w:rPr>
          <m:t>(</m:t>
        </m:r>
        <m:r>
          <w:rPr>
            <w:rFonts w:ascii="Cambria Math" w:hAnsi="Cambria Math"/>
            <w:color w:val="632423" w:themeColor="accent2" w:themeShade="80"/>
            <w:sz w:val="22"/>
          </w:rPr>
          <m:t>F</m:t>
        </m:r>
        <m:r>
          <w:rPr>
            <w:rFonts w:ascii="Cambria Math" w:hAnsi="Cambria Math"/>
            <w:color w:val="632423" w:themeColor="accent2" w:themeShade="80"/>
            <w:sz w:val="22"/>
          </w:rPr>
          <m:t>)=</m:t>
        </m:r>
        <m:f>
          <m:fPr>
            <m:ctrlPr>
              <w:rPr>
                <w:rFonts w:ascii="Cambria Math" w:hAnsi="Cambria Math"/>
                <w:color w:val="632423" w:themeColor="accent2" w:themeShade="80"/>
                <w:sz w:val="22"/>
              </w:rPr>
            </m:ctrlPr>
          </m:fPr>
          <m:num>
            <m:r>
              <m:rPr>
                <m:sty m:val="p"/>
              </m:rPr>
              <w:rPr>
                <w:rFonts w:ascii="Cambria Math" w:hAnsi="Cambria Math"/>
                <w:color w:val="632423" w:themeColor="accent2" w:themeShade="80"/>
                <w:sz w:val="22"/>
              </w:rPr>
              <m:t>total Fridays without shootings</m:t>
            </m:r>
          </m:num>
          <m:den>
            <m:r>
              <m:rPr>
                <m:sty m:val="p"/>
              </m:rPr>
              <w:rPr>
                <w:rFonts w:ascii="Cambria Math" w:hAnsi="Cambria Math"/>
                <w:color w:val="632423" w:themeColor="accent2" w:themeShade="80"/>
                <w:sz w:val="22"/>
              </w:rPr>
              <m:t>total Fridays in 5 years</m:t>
            </m:r>
          </m:den>
        </m:f>
        <m:r>
          <w:rPr>
            <w:rFonts w:ascii="Cambria Math" w:hAnsi="Cambria Math"/>
            <w:color w:val="632423" w:themeColor="accent2" w:themeShade="80"/>
            <w:sz w:val="22"/>
          </w:rPr>
          <m:t>=</m:t>
        </m:r>
        <m:f>
          <m:fPr>
            <m:ctrlPr>
              <w:rPr>
                <w:rFonts w:ascii="Cambria Math" w:hAnsi="Cambria Math"/>
                <w:color w:val="632423" w:themeColor="accent2" w:themeShade="80"/>
                <w:sz w:val="22"/>
              </w:rPr>
            </m:ctrlPr>
          </m:fPr>
          <m:num>
            <m:r>
              <w:rPr>
                <w:rFonts w:ascii="Cambria Math" w:hAnsi="Cambria Math"/>
                <w:color w:val="632423" w:themeColor="accent2" w:themeShade="80"/>
                <w:sz w:val="22"/>
              </w:rPr>
              <m:t>16</m:t>
            </m:r>
          </m:num>
          <m:den>
            <m:r>
              <w:rPr>
                <w:rFonts w:ascii="Cambria Math" w:hAnsi="Cambria Math"/>
                <w:color w:val="632423" w:themeColor="accent2" w:themeShade="80"/>
                <w:sz w:val="22"/>
              </w:rPr>
              <m:t>985</m:t>
            </m:r>
          </m:den>
        </m:f>
        <m:r>
          <w:rPr>
            <w:rFonts w:ascii="Cambria Math" w:hAnsi="Cambria Math"/>
            <w:color w:val="632423" w:themeColor="accent2" w:themeShade="80"/>
            <w:sz w:val="22"/>
          </w:rPr>
          <m:t>=0.016</m:t>
        </m:r>
      </m:oMath>
      <w:r w:rsidRPr="00C26D65">
        <w:rPr>
          <w:color w:val="632423" w:themeColor="accent2" w:themeShade="80"/>
          <w:sz w:val="22"/>
        </w:rPr>
        <w:t xml:space="preserve"> </w:t>
      </w:r>
      <m:oMath>
        <m:r>
          <w:rPr>
            <w:rFonts w:ascii="Cambria Math" w:hAnsi="Cambria Math"/>
            <w:color w:val="632423" w:themeColor="accent2" w:themeShade="80"/>
            <w:sz w:val="22"/>
          </w:rPr>
          <m:t>P</m:t>
        </m:r>
        <m:r>
          <w:rPr>
            <w:rFonts w:ascii="Cambria Math" w:hAnsi="Cambria Math"/>
            <w:color w:val="632423" w:themeColor="accent2" w:themeShade="80"/>
            <w:sz w:val="22"/>
          </w:rPr>
          <m:t>(</m:t>
        </m:r>
        <m:r>
          <m:rPr>
            <m:sty m:val="p"/>
          </m:rPr>
          <w:rPr>
            <w:rFonts w:ascii="Cambria Math" w:hAnsi="Cambria Math"/>
            <w:color w:val="632423" w:themeColor="accent2" w:themeShade="80"/>
            <w:sz w:val="22"/>
          </w:rPr>
          <m:t>No shooting Saturday given no shooting Friday</m:t>
        </m:r>
        <m:r>
          <w:rPr>
            <w:rFonts w:ascii="Cambria Math" w:hAnsi="Cambria Math"/>
            <w:color w:val="632423" w:themeColor="accent2" w:themeShade="80"/>
            <w:sz w:val="22"/>
          </w:rPr>
          <m:t>)</m:t>
        </m:r>
        <m:r>
          <w:rPr>
            <w:rFonts w:ascii="Cambria Math" w:hAnsi="Cambria Math"/>
            <w:color w:val="632423" w:themeColor="accent2" w:themeShade="80"/>
            <w:sz w:val="22"/>
          </w:rPr>
          <m:t>=</m:t>
        </m:r>
        <m:r>
          <w:rPr>
            <w:rFonts w:ascii="Cambria Math" w:hAnsi="Cambria Math"/>
            <w:color w:val="632423" w:themeColor="accent2" w:themeShade="80"/>
            <w:sz w:val="22"/>
          </w:rPr>
          <m:t>P</m:t>
        </m:r>
        <m:r>
          <w:rPr>
            <w:rFonts w:ascii="Cambria Math" w:hAnsi="Cambria Math"/>
            <w:color w:val="632423" w:themeColor="accent2" w:themeShade="80"/>
            <w:sz w:val="22"/>
          </w:rPr>
          <m:t>(</m:t>
        </m:r>
        <m:r>
          <w:rPr>
            <w:rFonts w:ascii="Cambria Math" w:hAnsi="Cambria Math"/>
            <w:color w:val="632423" w:themeColor="accent2" w:themeShade="80"/>
            <w:sz w:val="22"/>
          </w:rPr>
          <m:t>Sat</m:t>
        </m:r>
        <m:r>
          <w:rPr>
            <w:rFonts w:ascii="Cambria Math" w:hAnsi="Cambria Math"/>
            <w:color w:val="632423" w:themeColor="accent2" w:themeShade="80"/>
            <w:sz w:val="22"/>
          </w:rPr>
          <m:t>|</m:t>
        </m:r>
        <m:r>
          <w:rPr>
            <w:rFonts w:ascii="Cambria Math" w:hAnsi="Cambria Math"/>
            <w:color w:val="632423" w:themeColor="accent2" w:themeShade="80"/>
            <w:sz w:val="22"/>
          </w:rPr>
          <m:t>F</m:t>
        </m:r>
        <m:r>
          <w:rPr>
            <w:rFonts w:ascii="Cambria Math" w:hAnsi="Cambria Math"/>
            <w:color w:val="632423" w:themeColor="accent2" w:themeShade="80"/>
            <w:sz w:val="22"/>
          </w:rPr>
          <m:t>)=</m:t>
        </m:r>
        <m:f>
          <m:fPr>
            <m:ctrlPr>
              <w:rPr>
                <w:rFonts w:ascii="Cambria Math" w:hAnsi="Cambria Math"/>
                <w:color w:val="632423" w:themeColor="accent2" w:themeShade="80"/>
                <w:sz w:val="22"/>
              </w:rPr>
            </m:ctrlPr>
          </m:fPr>
          <m:num>
            <m:r>
              <w:rPr>
                <w:rFonts w:ascii="Cambria Math" w:hAnsi="Cambria Math"/>
                <w:color w:val="632423" w:themeColor="accent2" w:themeShade="80"/>
                <w:sz w:val="22"/>
              </w:rPr>
              <m:t>P</m:t>
            </m:r>
            <m:r>
              <w:rPr>
                <w:rFonts w:ascii="Cambria Math" w:hAnsi="Cambria Math"/>
                <w:color w:val="632423" w:themeColor="accent2" w:themeShade="80"/>
                <w:sz w:val="22"/>
              </w:rPr>
              <m:t>(</m:t>
            </m:r>
            <m:r>
              <w:rPr>
                <w:rFonts w:ascii="Cambria Math" w:hAnsi="Cambria Math"/>
                <w:color w:val="632423" w:themeColor="accent2" w:themeShade="80"/>
                <w:sz w:val="22"/>
              </w:rPr>
              <m:t>Sat</m:t>
            </m:r>
            <m:r>
              <w:rPr>
                <w:rFonts w:ascii="Cambria Math" w:hAnsi="Cambria Math"/>
                <w:color w:val="632423" w:themeColor="accent2" w:themeShade="80"/>
                <w:sz w:val="22"/>
              </w:rPr>
              <m:t>∩</m:t>
            </m:r>
            <m:r>
              <w:rPr>
                <w:rFonts w:ascii="Cambria Math" w:hAnsi="Cambria Math"/>
                <w:color w:val="632423" w:themeColor="accent2" w:themeShade="80"/>
                <w:sz w:val="22"/>
              </w:rPr>
              <m:t>F</m:t>
            </m:r>
            <m:r>
              <w:rPr>
                <w:rFonts w:ascii="Cambria Math" w:hAnsi="Cambria Math"/>
                <w:color w:val="632423" w:themeColor="accent2" w:themeShade="80"/>
                <w:sz w:val="22"/>
              </w:rPr>
              <m:t>)</m:t>
            </m:r>
          </m:num>
          <m:den>
            <m:r>
              <w:rPr>
                <w:rFonts w:ascii="Cambria Math" w:hAnsi="Cambria Math"/>
                <w:color w:val="632423" w:themeColor="accent2" w:themeShade="80"/>
                <w:sz w:val="22"/>
              </w:rPr>
              <m:t>P</m:t>
            </m:r>
            <m:r>
              <w:rPr>
                <w:rFonts w:ascii="Cambria Math" w:hAnsi="Cambria Math"/>
                <w:color w:val="632423" w:themeColor="accent2" w:themeShade="80"/>
                <w:sz w:val="22"/>
              </w:rPr>
              <m:t>(</m:t>
            </m:r>
            <m:r>
              <w:rPr>
                <w:rFonts w:ascii="Cambria Math" w:hAnsi="Cambria Math"/>
                <w:color w:val="632423" w:themeColor="accent2" w:themeShade="80"/>
                <w:sz w:val="22"/>
              </w:rPr>
              <m:t>F</m:t>
            </m:r>
            <m:r>
              <w:rPr>
                <w:rFonts w:ascii="Cambria Math" w:hAnsi="Cambria Math"/>
                <w:color w:val="632423" w:themeColor="accent2" w:themeShade="80"/>
                <w:sz w:val="22"/>
              </w:rPr>
              <m:t>)</m:t>
            </m:r>
          </m:den>
        </m:f>
        <m:r>
          <w:rPr>
            <w:rFonts w:ascii="Cambria Math" w:hAnsi="Cambria Math"/>
            <w:color w:val="632423" w:themeColor="accent2" w:themeShade="80"/>
            <w:sz w:val="22"/>
          </w:rPr>
          <m:t>=.0032</m:t>
        </m:r>
      </m:oMath>
      <w:r w:rsidRPr="00C26D65">
        <w:rPr>
          <w:color w:val="632423" w:themeColor="accent2" w:themeShade="80"/>
          <w:sz w:val="22"/>
        </w:rPr>
        <w:t xml:space="preserve"> </w:t>
      </w:r>
      <m:oMath>
        <m:r>
          <w:rPr>
            <w:rFonts w:ascii="Cambria Math" w:hAnsi="Cambria Math"/>
            <w:color w:val="632423" w:themeColor="accent2" w:themeShade="80"/>
            <w:sz w:val="22"/>
          </w:rPr>
          <m:t>P</m:t>
        </m:r>
        <m:r>
          <w:rPr>
            <w:rFonts w:ascii="Cambria Math" w:hAnsi="Cambria Math"/>
            <w:color w:val="632423" w:themeColor="accent2" w:themeShade="80"/>
            <w:sz w:val="22"/>
          </w:rPr>
          <m:t>(</m:t>
        </m:r>
        <m:r>
          <m:rPr>
            <m:sty m:val="p"/>
          </m:rPr>
          <w:rPr>
            <w:rFonts w:ascii="Cambria Math" w:hAnsi="Cambria Math"/>
            <w:color w:val="632423" w:themeColor="accent2" w:themeShade="80"/>
            <w:sz w:val="22"/>
          </w:rPr>
          <m:t>No shooting Sunday given none Saturday AND Friday</m:t>
        </m:r>
        <m:r>
          <w:rPr>
            <w:rFonts w:ascii="Cambria Math" w:hAnsi="Cambria Math"/>
            <w:color w:val="632423" w:themeColor="accent2" w:themeShade="80"/>
            <w:sz w:val="22"/>
          </w:rPr>
          <m:t>)=</m:t>
        </m:r>
        <m:r>
          <w:rPr>
            <w:rFonts w:ascii="Cambria Math" w:hAnsi="Cambria Math"/>
            <w:color w:val="632423" w:themeColor="accent2" w:themeShade="80"/>
            <w:sz w:val="22"/>
          </w:rPr>
          <m:t>P</m:t>
        </m:r>
        <m:r>
          <w:rPr>
            <w:rFonts w:ascii="Cambria Math" w:hAnsi="Cambria Math"/>
            <w:color w:val="632423" w:themeColor="accent2" w:themeShade="80"/>
            <w:sz w:val="22"/>
          </w:rPr>
          <m:t>(</m:t>
        </m:r>
        <m:r>
          <w:rPr>
            <w:rFonts w:ascii="Cambria Math" w:hAnsi="Cambria Math"/>
            <w:color w:val="632423" w:themeColor="accent2" w:themeShade="80"/>
            <w:sz w:val="22"/>
          </w:rPr>
          <m:t>Sun</m:t>
        </m:r>
        <m:r>
          <w:rPr>
            <w:rFonts w:ascii="Cambria Math" w:hAnsi="Cambria Math"/>
            <w:color w:val="632423" w:themeColor="accent2" w:themeShade="80"/>
            <w:sz w:val="22"/>
          </w:rPr>
          <m:t>|</m:t>
        </m:r>
        <m:r>
          <w:rPr>
            <w:rFonts w:ascii="Cambria Math" w:hAnsi="Cambria Math"/>
            <w:color w:val="632423" w:themeColor="accent2" w:themeShade="80"/>
            <w:sz w:val="22"/>
          </w:rPr>
          <m:t>Sat</m:t>
        </m:r>
        <m:r>
          <w:rPr>
            <w:rFonts w:ascii="Cambria Math" w:hAnsi="Cambria Math"/>
            <w:color w:val="632423" w:themeColor="accent2" w:themeShade="80"/>
            <w:sz w:val="22"/>
          </w:rPr>
          <m:t>∩</m:t>
        </m:r>
        <m:r>
          <w:rPr>
            <w:rFonts w:ascii="Cambria Math" w:hAnsi="Cambria Math"/>
            <w:color w:val="632423" w:themeColor="accent2" w:themeShade="80"/>
            <w:sz w:val="22"/>
          </w:rPr>
          <m:t>F</m:t>
        </m:r>
        <m:r>
          <w:rPr>
            <w:rFonts w:ascii="Cambria Math" w:hAnsi="Cambria Math"/>
            <w:color w:val="632423" w:themeColor="accent2" w:themeShade="80"/>
            <w:sz w:val="22"/>
          </w:rPr>
          <m:t>)=</m:t>
        </m:r>
        <m:f>
          <m:fPr>
            <m:ctrlPr>
              <w:rPr>
                <w:rFonts w:ascii="Cambria Math" w:hAnsi="Cambria Math"/>
                <w:color w:val="632423" w:themeColor="accent2" w:themeShade="80"/>
                <w:sz w:val="22"/>
              </w:rPr>
            </m:ctrlPr>
          </m:fPr>
          <m:num>
            <m:r>
              <w:rPr>
                <w:rFonts w:ascii="Cambria Math" w:hAnsi="Cambria Math"/>
                <w:color w:val="632423" w:themeColor="accent2" w:themeShade="80"/>
                <w:sz w:val="22"/>
              </w:rPr>
              <m:t>P</m:t>
            </m:r>
            <m:r>
              <w:rPr>
                <w:rFonts w:ascii="Cambria Math" w:hAnsi="Cambria Math"/>
                <w:color w:val="632423" w:themeColor="accent2" w:themeShade="80"/>
                <w:sz w:val="22"/>
              </w:rPr>
              <m:t>(</m:t>
            </m:r>
            <m:r>
              <w:rPr>
                <w:rFonts w:ascii="Cambria Math" w:hAnsi="Cambria Math"/>
                <w:color w:val="632423" w:themeColor="accent2" w:themeShade="80"/>
                <w:sz w:val="22"/>
              </w:rPr>
              <m:t>Sun</m:t>
            </m:r>
            <m:r>
              <w:rPr>
                <w:rFonts w:ascii="Cambria Math" w:hAnsi="Cambria Math"/>
                <w:color w:val="632423" w:themeColor="accent2" w:themeShade="80"/>
                <w:sz w:val="22"/>
              </w:rPr>
              <m:t>∩</m:t>
            </m:r>
            <m:r>
              <w:rPr>
                <w:rFonts w:ascii="Cambria Math" w:hAnsi="Cambria Math"/>
                <w:color w:val="632423" w:themeColor="accent2" w:themeShade="80"/>
                <w:sz w:val="22"/>
              </w:rPr>
              <m:t>Sat</m:t>
            </m:r>
            <m:r>
              <w:rPr>
                <w:rFonts w:ascii="Cambria Math" w:hAnsi="Cambria Math"/>
                <w:color w:val="632423" w:themeColor="accent2" w:themeShade="80"/>
                <w:sz w:val="22"/>
              </w:rPr>
              <m:t>∩</m:t>
            </m:r>
            <m:r>
              <w:rPr>
                <w:rFonts w:ascii="Cambria Math" w:hAnsi="Cambria Math"/>
                <w:color w:val="632423" w:themeColor="accent2" w:themeShade="80"/>
                <w:sz w:val="22"/>
              </w:rPr>
              <m:t>F</m:t>
            </m:r>
            <m:r>
              <w:rPr>
                <w:rFonts w:ascii="Cambria Math" w:hAnsi="Cambria Math"/>
                <w:color w:val="632423" w:themeColor="accent2" w:themeShade="80"/>
                <w:sz w:val="22"/>
              </w:rPr>
              <m:t>)</m:t>
            </m:r>
          </m:num>
          <m:den>
            <m:r>
              <w:rPr>
                <w:rFonts w:ascii="Cambria Math" w:hAnsi="Cambria Math"/>
                <w:color w:val="632423" w:themeColor="accent2" w:themeShade="80"/>
                <w:sz w:val="22"/>
              </w:rPr>
              <m:t>P</m:t>
            </m:r>
            <m:r>
              <w:rPr>
                <w:rFonts w:ascii="Cambria Math" w:hAnsi="Cambria Math"/>
                <w:color w:val="632423" w:themeColor="accent2" w:themeShade="80"/>
                <w:sz w:val="22"/>
              </w:rPr>
              <m:t>(</m:t>
            </m:r>
            <m:r>
              <w:rPr>
                <w:rFonts w:ascii="Cambria Math" w:hAnsi="Cambria Math"/>
                <w:color w:val="632423" w:themeColor="accent2" w:themeShade="80"/>
                <w:sz w:val="22"/>
              </w:rPr>
              <m:t>Sat</m:t>
            </m:r>
            <m:r>
              <w:rPr>
                <w:rFonts w:ascii="Cambria Math" w:hAnsi="Cambria Math"/>
                <w:color w:val="632423" w:themeColor="accent2" w:themeShade="80"/>
                <w:sz w:val="22"/>
              </w:rPr>
              <m:t>∩</m:t>
            </m:r>
            <m:r>
              <w:rPr>
                <w:rFonts w:ascii="Cambria Math" w:hAnsi="Cambria Math"/>
                <w:color w:val="632423" w:themeColor="accent2" w:themeShade="80"/>
                <w:sz w:val="22"/>
              </w:rPr>
              <m:t>F</m:t>
            </m:r>
            <m:r>
              <w:rPr>
                <w:rFonts w:ascii="Cambria Math" w:hAnsi="Cambria Math"/>
                <w:color w:val="632423" w:themeColor="accent2" w:themeShade="80"/>
                <w:sz w:val="22"/>
              </w:rPr>
              <m:t>)</m:t>
            </m:r>
          </m:den>
        </m:f>
        <m:r>
          <w:rPr>
            <w:rFonts w:ascii="Cambria Math" w:hAnsi="Cambria Math"/>
            <w:color w:val="632423" w:themeColor="accent2" w:themeShade="80"/>
            <w:sz w:val="22"/>
          </w:rPr>
          <m:t>=</m:t>
        </m:r>
        <m:f>
          <m:fPr>
            <m:ctrlPr>
              <w:rPr>
                <w:rFonts w:ascii="Cambria Math" w:hAnsi="Cambria Math"/>
                <w:color w:val="632423" w:themeColor="accent2" w:themeShade="80"/>
                <w:sz w:val="22"/>
              </w:rPr>
            </m:ctrlPr>
          </m:fPr>
          <m:num>
            <m:r>
              <w:rPr>
                <w:rFonts w:ascii="Cambria Math" w:hAnsi="Cambria Math"/>
                <w:color w:val="632423" w:themeColor="accent2" w:themeShade="80"/>
                <w:sz w:val="22"/>
              </w:rPr>
              <m:t>P</m:t>
            </m:r>
            <m:r>
              <w:rPr>
                <w:rFonts w:ascii="Cambria Math" w:hAnsi="Cambria Math"/>
                <w:color w:val="632423" w:themeColor="accent2" w:themeShade="80"/>
                <w:sz w:val="22"/>
              </w:rPr>
              <m:t>(</m:t>
            </m:r>
            <m:r>
              <w:rPr>
                <w:rFonts w:ascii="Cambria Math" w:hAnsi="Cambria Math"/>
                <w:color w:val="632423" w:themeColor="accent2" w:themeShade="80"/>
                <w:sz w:val="22"/>
              </w:rPr>
              <m:t>Sun</m:t>
            </m:r>
            <m:r>
              <w:rPr>
                <w:rFonts w:ascii="Cambria Math" w:hAnsi="Cambria Math"/>
                <w:color w:val="632423" w:themeColor="accent2" w:themeShade="80"/>
                <w:sz w:val="22"/>
              </w:rPr>
              <m:t>∩</m:t>
            </m:r>
            <m:r>
              <w:rPr>
                <w:rFonts w:ascii="Cambria Math" w:hAnsi="Cambria Math"/>
                <w:color w:val="632423" w:themeColor="accent2" w:themeShade="80"/>
                <w:sz w:val="22"/>
              </w:rPr>
              <m:t>Sat</m:t>
            </m:r>
            <m:r>
              <w:rPr>
                <w:rFonts w:ascii="Cambria Math" w:hAnsi="Cambria Math"/>
                <w:color w:val="632423" w:themeColor="accent2" w:themeShade="80"/>
                <w:sz w:val="22"/>
              </w:rPr>
              <m:t>∩</m:t>
            </m:r>
            <m:r>
              <w:rPr>
                <w:rFonts w:ascii="Cambria Math" w:hAnsi="Cambria Math"/>
                <w:color w:val="632423" w:themeColor="accent2" w:themeShade="80"/>
                <w:sz w:val="22"/>
              </w:rPr>
              <m:t>F</m:t>
            </m:r>
            <m:r>
              <w:rPr>
                <w:rFonts w:ascii="Cambria Math" w:hAnsi="Cambria Math"/>
                <w:color w:val="632423" w:themeColor="accent2" w:themeShade="80"/>
                <w:sz w:val="22"/>
              </w:rPr>
              <m:t>)</m:t>
            </m:r>
          </m:num>
          <m:den>
            <m:r>
              <w:rPr>
                <w:rFonts w:ascii="Cambria Math" w:hAnsi="Cambria Math"/>
                <w:color w:val="632423" w:themeColor="accent2" w:themeShade="80"/>
                <w:sz w:val="22"/>
              </w:rPr>
              <m:t>P</m:t>
            </m:r>
            <m:r>
              <w:rPr>
                <w:rFonts w:ascii="Cambria Math" w:hAnsi="Cambria Math"/>
                <w:color w:val="632423" w:themeColor="accent2" w:themeShade="80"/>
                <w:sz w:val="22"/>
              </w:rPr>
              <m:t>(</m:t>
            </m:r>
            <m:r>
              <w:rPr>
                <w:rFonts w:ascii="Cambria Math" w:hAnsi="Cambria Math"/>
                <w:color w:val="632423" w:themeColor="accent2" w:themeShade="80"/>
                <w:sz w:val="22"/>
              </w:rPr>
              <m:t>Sat</m:t>
            </m:r>
            <m:r>
              <w:rPr>
                <w:rFonts w:ascii="Cambria Math" w:hAnsi="Cambria Math"/>
                <w:color w:val="632423" w:themeColor="accent2" w:themeShade="80"/>
                <w:sz w:val="22"/>
              </w:rPr>
              <m:t>|</m:t>
            </m:r>
            <m:r>
              <w:rPr>
                <w:rFonts w:ascii="Cambria Math" w:hAnsi="Cambria Math"/>
                <w:color w:val="632423" w:themeColor="accent2" w:themeShade="80"/>
                <w:sz w:val="22"/>
              </w:rPr>
              <m:t>F</m:t>
            </m:r>
            <m:r>
              <w:rPr>
                <w:rFonts w:ascii="Cambria Math" w:hAnsi="Cambria Math"/>
                <w:color w:val="632423" w:themeColor="accent2" w:themeShade="80"/>
                <w:sz w:val="22"/>
              </w:rPr>
              <m:t>)</m:t>
            </m:r>
          </m:den>
        </m:f>
        <m:r>
          <w:rPr>
            <w:rFonts w:ascii="Cambria Math" w:hAnsi="Cambria Math"/>
            <w:color w:val="632423" w:themeColor="accent2" w:themeShade="80"/>
            <w:sz w:val="22"/>
          </w:rPr>
          <m:t>=</m:t>
        </m:r>
        <m:f>
          <m:fPr>
            <m:ctrlPr>
              <w:rPr>
                <w:rFonts w:ascii="Cambria Math" w:hAnsi="Cambria Math"/>
                <w:color w:val="632423" w:themeColor="accent2" w:themeShade="80"/>
                <w:sz w:val="22"/>
              </w:rPr>
            </m:ctrlPr>
          </m:fPr>
          <m:num>
            <m:r>
              <w:rPr>
                <w:rFonts w:ascii="Cambria Math" w:hAnsi="Cambria Math"/>
                <w:color w:val="632423" w:themeColor="accent2" w:themeShade="80"/>
                <w:sz w:val="22"/>
              </w:rPr>
              <m:t>P</m:t>
            </m:r>
            <m:r>
              <w:rPr>
                <w:rFonts w:ascii="Cambria Math" w:hAnsi="Cambria Math"/>
                <w:color w:val="632423" w:themeColor="accent2" w:themeShade="80"/>
                <w:sz w:val="22"/>
              </w:rPr>
              <m:t>(</m:t>
            </m:r>
            <m:r>
              <w:rPr>
                <w:rFonts w:ascii="Cambria Math" w:hAnsi="Cambria Math"/>
                <w:color w:val="632423" w:themeColor="accent2" w:themeShade="80"/>
                <w:sz w:val="22"/>
              </w:rPr>
              <m:t>Sun</m:t>
            </m:r>
            <m:r>
              <w:rPr>
                <w:rFonts w:ascii="Cambria Math" w:hAnsi="Cambria Math"/>
                <w:color w:val="632423" w:themeColor="accent2" w:themeShade="80"/>
                <w:sz w:val="22"/>
              </w:rPr>
              <m:t>∩</m:t>
            </m:r>
            <m:r>
              <w:rPr>
                <w:rFonts w:ascii="Cambria Math" w:hAnsi="Cambria Math"/>
                <w:color w:val="632423" w:themeColor="accent2" w:themeShade="80"/>
                <w:sz w:val="22"/>
              </w:rPr>
              <m:t>Sat</m:t>
            </m:r>
            <m:r>
              <w:rPr>
                <w:rFonts w:ascii="Cambria Math" w:hAnsi="Cambria Math"/>
                <w:color w:val="632423" w:themeColor="accent2" w:themeShade="80"/>
                <w:sz w:val="22"/>
              </w:rPr>
              <m:t>∩</m:t>
            </m:r>
            <m:r>
              <w:rPr>
                <w:rFonts w:ascii="Cambria Math" w:hAnsi="Cambria Math"/>
                <w:color w:val="632423" w:themeColor="accent2" w:themeShade="80"/>
                <w:sz w:val="22"/>
              </w:rPr>
              <m:t>F</m:t>
            </m:r>
            <m:r>
              <w:rPr>
                <w:rFonts w:ascii="Cambria Math" w:hAnsi="Cambria Math"/>
                <w:color w:val="632423" w:themeColor="accent2" w:themeShade="80"/>
                <w:sz w:val="22"/>
              </w:rPr>
              <m:t>)*</m:t>
            </m:r>
            <m:r>
              <w:rPr>
                <w:rFonts w:ascii="Cambria Math" w:hAnsi="Cambria Math"/>
                <w:color w:val="632423" w:themeColor="accent2" w:themeShade="80"/>
                <w:sz w:val="22"/>
              </w:rPr>
              <m:t>P</m:t>
            </m:r>
            <m:r>
              <w:rPr>
                <w:rFonts w:ascii="Cambria Math" w:hAnsi="Cambria Math"/>
                <w:color w:val="632423" w:themeColor="accent2" w:themeShade="80"/>
                <w:sz w:val="22"/>
              </w:rPr>
              <m:t>(</m:t>
            </m:r>
            <m:r>
              <w:rPr>
                <w:rFonts w:ascii="Cambria Math" w:hAnsi="Cambria Math"/>
                <w:color w:val="632423" w:themeColor="accent2" w:themeShade="80"/>
                <w:sz w:val="22"/>
              </w:rPr>
              <m:t>F</m:t>
            </m:r>
            <m:r>
              <w:rPr>
                <w:rFonts w:ascii="Cambria Math" w:hAnsi="Cambria Math"/>
                <w:color w:val="632423" w:themeColor="accent2" w:themeShade="80"/>
                <w:sz w:val="22"/>
              </w:rPr>
              <m:t>)</m:t>
            </m:r>
          </m:num>
          <m:den>
            <m:r>
              <w:rPr>
                <w:rFonts w:ascii="Cambria Math" w:hAnsi="Cambria Math"/>
                <w:color w:val="632423" w:themeColor="accent2" w:themeShade="80"/>
                <w:sz w:val="22"/>
              </w:rPr>
              <m:t>P</m:t>
            </m:r>
            <m:r>
              <w:rPr>
                <w:rFonts w:ascii="Cambria Math" w:hAnsi="Cambria Math"/>
                <w:color w:val="632423" w:themeColor="accent2" w:themeShade="80"/>
                <w:sz w:val="22"/>
              </w:rPr>
              <m:t>(</m:t>
            </m:r>
            <m:r>
              <w:rPr>
                <w:rFonts w:ascii="Cambria Math" w:hAnsi="Cambria Math"/>
                <w:color w:val="632423" w:themeColor="accent2" w:themeShade="80"/>
                <w:sz w:val="22"/>
              </w:rPr>
              <m:t>Sat</m:t>
            </m:r>
            <m:r>
              <w:rPr>
                <w:rFonts w:ascii="Cambria Math" w:hAnsi="Cambria Math"/>
                <w:color w:val="632423" w:themeColor="accent2" w:themeShade="80"/>
                <w:sz w:val="22"/>
              </w:rPr>
              <m:t>∩</m:t>
            </m:r>
            <m:r>
              <w:rPr>
                <w:rFonts w:ascii="Cambria Math" w:hAnsi="Cambria Math"/>
                <w:color w:val="632423" w:themeColor="accent2" w:themeShade="80"/>
                <w:sz w:val="22"/>
              </w:rPr>
              <m:t>F</m:t>
            </m:r>
            <m:r>
              <w:rPr>
                <w:rFonts w:ascii="Cambria Math" w:hAnsi="Cambria Math"/>
                <w:color w:val="632423" w:themeColor="accent2" w:themeShade="80"/>
                <w:sz w:val="22"/>
              </w:rPr>
              <m:t>)</m:t>
            </m:r>
          </m:den>
        </m:f>
        <m:r>
          <w:rPr>
            <w:rFonts w:ascii="Cambria Math" w:hAnsi="Cambria Math"/>
            <w:color w:val="632423" w:themeColor="accent2" w:themeShade="80"/>
            <w:sz w:val="22"/>
          </w:rPr>
          <m:t>1.5*</m:t>
        </m:r>
        <m:sSup>
          <m:sSupPr>
            <m:ctrlPr>
              <w:rPr>
                <w:rFonts w:ascii="Cambria Math" w:hAnsi="Cambria Math"/>
                <w:color w:val="632423" w:themeColor="accent2" w:themeShade="80"/>
                <w:sz w:val="22"/>
              </w:rPr>
            </m:ctrlPr>
          </m:sSupPr>
          <m:e>
            <m:r>
              <w:rPr>
                <w:rFonts w:ascii="Cambria Math" w:hAnsi="Cambria Math"/>
                <w:color w:val="632423" w:themeColor="accent2" w:themeShade="80"/>
                <w:sz w:val="22"/>
              </w:rPr>
              <m:t>10</m:t>
            </m:r>
          </m:e>
          <m:sup>
            <m:r>
              <w:rPr>
                <w:rFonts w:ascii="Cambria Math" w:hAnsi="Cambria Math"/>
                <w:color w:val="632423" w:themeColor="accent2" w:themeShade="80"/>
                <w:sz w:val="22"/>
              </w:rPr>
              <m:t>-</m:t>
            </m:r>
            <m:r>
              <w:rPr>
                <w:rFonts w:ascii="Cambria Math" w:hAnsi="Cambria Math"/>
                <w:color w:val="632423" w:themeColor="accent2" w:themeShade="80"/>
                <w:sz w:val="22"/>
              </w:rPr>
              <m:t>4</m:t>
            </m:r>
          </m:sup>
        </m:sSup>
      </m:oMath>
      <w:r w:rsidRPr="00C26D65">
        <w:rPr>
          <w:color w:val="632423" w:themeColor="accent2" w:themeShade="80"/>
          <w:sz w:val="22"/>
        </w:rPr>
        <w:t xml:space="preserve"> </w:t>
      </w:r>
    </w:p>
    <w:p w:rsidR="00C26D65" w:rsidRPr="00C26D65" w:rsidRDefault="00192005" w:rsidP="00C26D65">
      <w:pPr>
        <w:pStyle w:val="FirstParagraph"/>
        <w:rPr>
          <w:rFonts w:eastAsiaTheme="minorEastAsia"/>
        </w:rPr>
      </w:pPr>
      <w:r>
        <w:t>Therefore, the probabi</w:t>
      </w:r>
      <w:r>
        <w:t xml:space="preserve">lity of our full weekend being shooting-free is: </w:t>
      </w:r>
    </w:p>
    <w:p w:rsidR="00C26D65" w:rsidRPr="00C26D65" w:rsidRDefault="00192005" w:rsidP="00C26D65">
      <w:pPr>
        <w:pStyle w:val="FirstParagraph"/>
        <w:rPr>
          <w:color w:val="632423" w:themeColor="accent2" w:themeShade="80"/>
          <w:sz w:val="22"/>
        </w:rPr>
      </w:pPr>
      <m:oMath>
        <m:r>
          <w:rPr>
            <w:rFonts w:ascii="Cambria Math" w:hAnsi="Cambria Math"/>
            <w:color w:val="632423" w:themeColor="accent2" w:themeShade="80"/>
            <w:sz w:val="22"/>
          </w:rPr>
          <m:t>P</m:t>
        </m:r>
        <m:r>
          <w:rPr>
            <w:rFonts w:ascii="Cambria Math" w:hAnsi="Cambria Math"/>
            <w:color w:val="632423" w:themeColor="accent2" w:themeShade="80"/>
            <w:sz w:val="22"/>
          </w:rPr>
          <m:t>(</m:t>
        </m:r>
        <m:r>
          <w:rPr>
            <w:rFonts w:ascii="Cambria Math" w:hAnsi="Cambria Math"/>
            <w:color w:val="632423" w:themeColor="accent2" w:themeShade="80"/>
            <w:sz w:val="22"/>
          </w:rPr>
          <m:t>Sun</m:t>
        </m:r>
        <m:r>
          <w:rPr>
            <w:rFonts w:ascii="Cambria Math" w:hAnsi="Cambria Math"/>
            <w:color w:val="632423" w:themeColor="accent2" w:themeShade="80"/>
            <w:sz w:val="22"/>
          </w:rPr>
          <m:t>|</m:t>
        </m:r>
        <m:r>
          <w:rPr>
            <w:rFonts w:ascii="Cambria Math" w:hAnsi="Cambria Math"/>
            <w:color w:val="632423" w:themeColor="accent2" w:themeShade="80"/>
            <w:sz w:val="22"/>
          </w:rPr>
          <m:t>Sat</m:t>
        </m:r>
        <m:r>
          <w:rPr>
            <w:rFonts w:ascii="Cambria Math" w:hAnsi="Cambria Math"/>
            <w:color w:val="632423" w:themeColor="accent2" w:themeShade="80"/>
            <w:sz w:val="22"/>
          </w:rPr>
          <m:t>∩</m:t>
        </m:r>
        <m:r>
          <w:rPr>
            <w:rFonts w:ascii="Cambria Math" w:hAnsi="Cambria Math"/>
            <w:color w:val="632423" w:themeColor="accent2" w:themeShade="80"/>
            <w:sz w:val="22"/>
          </w:rPr>
          <m:t>F</m:t>
        </m:r>
        <m:r>
          <w:rPr>
            <w:rFonts w:ascii="Cambria Math" w:hAnsi="Cambria Math"/>
            <w:color w:val="632423" w:themeColor="accent2" w:themeShade="80"/>
            <w:sz w:val="22"/>
          </w:rPr>
          <m:t>)*</m:t>
        </m:r>
        <m:r>
          <w:rPr>
            <w:rFonts w:ascii="Cambria Math" w:hAnsi="Cambria Math"/>
            <w:color w:val="632423" w:themeColor="accent2" w:themeShade="80"/>
            <w:sz w:val="22"/>
          </w:rPr>
          <m:t>P</m:t>
        </m:r>
        <m:r>
          <w:rPr>
            <w:rFonts w:ascii="Cambria Math" w:hAnsi="Cambria Math"/>
            <w:color w:val="632423" w:themeColor="accent2" w:themeShade="80"/>
            <w:sz w:val="22"/>
          </w:rPr>
          <m:t>(</m:t>
        </m:r>
        <m:r>
          <w:rPr>
            <w:rFonts w:ascii="Cambria Math" w:hAnsi="Cambria Math"/>
            <w:color w:val="632423" w:themeColor="accent2" w:themeShade="80"/>
            <w:sz w:val="22"/>
          </w:rPr>
          <m:t>Sat</m:t>
        </m:r>
        <m:r>
          <w:rPr>
            <w:rFonts w:ascii="Cambria Math" w:hAnsi="Cambria Math"/>
            <w:color w:val="632423" w:themeColor="accent2" w:themeShade="80"/>
            <w:sz w:val="22"/>
          </w:rPr>
          <m:t>|</m:t>
        </m:r>
        <m:r>
          <w:rPr>
            <w:rFonts w:ascii="Cambria Math" w:hAnsi="Cambria Math"/>
            <w:color w:val="632423" w:themeColor="accent2" w:themeShade="80"/>
            <w:sz w:val="22"/>
          </w:rPr>
          <m:t>F</m:t>
        </m:r>
        <m:r>
          <w:rPr>
            <w:rFonts w:ascii="Cambria Math" w:hAnsi="Cambria Math"/>
            <w:color w:val="632423" w:themeColor="accent2" w:themeShade="80"/>
            <w:sz w:val="22"/>
          </w:rPr>
          <m:t>)*</m:t>
        </m:r>
        <m:r>
          <w:rPr>
            <w:rFonts w:ascii="Cambria Math" w:hAnsi="Cambria Math"/>
            <w:color w:val="632423" w:themeColor="accent2" w:themeShade="80"/>
            <w:sz w:val="22"/>
          </w:rPr>
          <m:t>P</m:t>
        </m:r>
        <m:r>
          <w:rPr>
            <w:rFonts w:ascii="Cambria Math" w:hAnsi="Cambria Math"/>
            <w:color w:val="632423" w:themeColor="accent2" w:themeShade="80"/>
            <w:sz w:val="22"/>
          </w:rPr>
          <m:t>(</m:t>
        </m:r>
        <m:r>
          <w:rPr>
            <w:rFonts w:ascii="Cambria Math" w:hAnsi="Cambria Math"/>
            <w:color w:val="632423" w:themeColor="accent2" w:themeShade="80"/>
            <w:sz w:val="22"/>
          </w:rPr>
          <m:t>F</m:t>
        </m:r>
        <m:r>
          <w:rPr>
            <w:rFonts w:ascii="Cambria Math" w:hAnsi="Cambria Math"/>
            <w:color w:val="632423" w:themeColor="accent2" w:themeShade="80"/>
            <w:sz w:val="22"/>
          </w:rPr>
          <m:t>)=1.5*</m:t>
        </m:r>
        <m:sSup>
          <m:sSupPr>
            <m:ctrlPr>
              <w:rPr>
                <w:rFonts w:ascii="Cambria Math" w:hAnsi="Cambria Math"/>
                <w:color w:val="632423" w:themeColor="accent2" w:themeShade="80"/>
                <w:sz w:val="22"/>
              </w:rPr>
            </m:ctrlPr>
          </m:sSupPr>
          <m:e>
            <m:r>
              <w:rPr>
                <w:rFonts w:ascii="Cambria Math" w:hAnsi="Cambria Math"/>
                <w:color w:val="632423" w:themeColor="accent2" w:themeShade="80"/>
                <w:sz w:val="22"/>
              </w:rPr>
              <m:t>10</m:t>
            </m:r>
          </m:e>
          <m:sup>
            <m:r>
              <w:rPr>
                <w:rFonts w:ascii="Cambria Math" w:hAnsi="Cambria Math"/>
                <w:color w:val="632423" w:themeColor="accent2" w:themeShade="80"/>
                <w:sz w:val="22"/>
              </w:rPr>
              <m:t>-</m:t>
            </m:r>
            <m:r>
              <w:rPr>
                <w:rFonts w:ascii="Cambria Math" w:hAnsi="Cambria Math"/>
                <w:color w:val="632423" w:themeColor="accent2" w:themeShade="80"/>
                <w:sz w:val="22"/>
              </w:rPr>
              <m:t>4</m:t>
            </m:r>
          </m:sup>
        </m:sSup>
        <m:r>
          <w:rPr>
            <w:rFonts w:ascii="Cambria Math" w:hAnsi="Cambria Math"/>
            <w:color w:val="632423" w:themeColor="accent2" w:themeShade="80"/>
            <w:sz w:val="22"/>
          </w:rPr>
          <m:t>*</m:t>
        </m:r>
        <m:r>
          <w:rPr>
            <w:rFonts w:ascii="Cambria Math" w:hAnsi="Cambria Math"/>
            <w:color w:val="632423" w:themeColor="accent2" w:themeShade="80"/>
            <w:sz w:val="22"/>
          </w:rPr>
          <m:t>.0032*.016=7.69*</m:t>
        </m:r>
        <m:sSup>
          <m:sSupPr>
            <m:ctrlPr>
              <w:rPr>
                <w:rFonts w:ascii="Cambria Math" w:hAnsi="Cambria Math"/>
                <w:color w:val="632423" w:themeColor="accent2" w:themeShade="80"/>
                <w:sz w:val="22"/>
              </w:rPr>
            </m:ctrlPr>
          </m:sSupPr>
          <m:e>
            <m:r>
              <w:rPr>
                <w:rFonts w:ascii="Cambria Math" w:hAnsi="Cambria Math"/>
                <w:color w:val="632423" w:themeColor="accent2" w:themeShade="80"/>
                <w:sz w:val="22"/>
              </w:rPr>
              <m:t>10</m:t>
            </m:r>
          </m:e>
          <m:sup>
            <m:r>
              <w:rPr>
                <w:rFonts w:ascii="Cambria Math" w:hAnsi="Cambria Math"/>
                <w:color w:val="632423" w:themeColor="accent2" w:themeShade="80"/>
                <w:sz w:val="22"/>
              </w:rPr>
              <m:t>-</m:t>
            </m:r>
            <m:r>
              <w:rPr>
                <w:rFonts w:ascii="Cambria Math" w:hAnsi="Cambria Math"/>
                <w:color w:val="632423" w:themeColor="accent2" w:themeShade="80"/>
                <w:sz w:val="22"/>
              </w:rPr>
              <m:t>9</m:t>
            </m:r>
          </m:sup>
        </m:sSup>
      </m:oMath>
      <w:r w:rsidRPr="00C26D65">
        <w:rPr>
          <w:color w:val="632423" w:themeColor="accent2" w:themeShade="80"/>
          <w:sz w:val="22"/>
        </w:rPr>
        <w:t xml:space="preserve"> </w:t>
      </w:r>
    </w:p>
    <w:p w:rsidR="00AE2AC8" w:rsidRDefault="00192005" w:rsidP="00C26D65">
      <w:pPr>
        <w:pStyle w:val="FirstParagraph"/>
      </w:pPr>
      <w:r>
        <w:t>The probability comes to be astoundingly small. The odds of a shooting free weekend given the last 5 years of data are about 7 is a bil</w:t>
      </w:r>
      <w:r>
        <w:t>lion. The odds of winning the</w:t>
      </w:r>
      <w:bookmarkStart w:id="2" w:name="_GoBack"/>
      <w:bookmarkEnd w:id="2"/>
      <w:r>
        <w:t xml:space="preserve"> Powerball jackpot are 1 in 292 million.</w:t>
      </w:r>
    </w:p>
    <w:p w:rsidR="00AE2AC8" w:rsidRDefault="00192005">
      <w:pPr>
        <w:pStyle w:val="BodyText"/>
      </w:pPr>
      <w:r>
        <w:t>We calculated this assuming that Sundays shooting aren’t independent of Fridays shootings. But how affected is it really. In the table below, we explore how our odds change given previou</w:t>
      </w:r>
      <w:r>
        <w:t>s days’ shooting totals.</w:t>
      </w:r>
    </w:p>
    <w:tbl>
      <w:tblPr>
        <w:tblStyle w:val="PlainTable2"/>
        <w:tblW w:w="3333" w:type="pct"/>
        <w:jc w:val="center"/>
        <w:tblLook w:val="0620" w:firstRow="1" w:lastRow="0" w:firstColumn="0" w:lastColumn="0" w:noHBand="1" w:noVBand="1"/>
      </w:tblPr>
      <w:tblGrid>
        <w:gridCol w:w="1793"/>
        <w:gridCol w:w="1806"/>
        <w:gridCol w:w="1938"/>
        <w:gridCol w:w="1806"/>
      </w:tblGrid>
      <w:tr w:rsidR="00AE2AC8" w:rsidTr="00C26D65">
        <w:trPr>
          <w:cnfStyle w:val="100000000000" w:firstRow="1" w:lastRow="0" w:firstColumn="0" w:lastColumn="0" w:oddVBand="0" w:evenVBand="0" w:oddHBand="0" w:evenHBand="0" w:firstRowFirstColumn="0" w:firstRowLastColumn="0" w:lastRowFirstColumn="0" w:lastRowLastColumn="0"/>
          <w:jc w:val="center"/>
        </w:trPr>
        <w:tc>
          <w:tcPr>
            <w:tcW w:w="0" w:type="auto"/>
          </w:tcPr>
          <w:p w:rsidR="00AE2AC8" w:rsidRDefault="00192005">
            <w:pPr>
              <w:pStyle w:val="Compact"/>
              <w:jc w:val="center"/>
            </w:pPr>
            <w:r>
              <w:t> </w:t>
            </w:r>
          </w:p>
        </w:tc>
        <w:tc>
          <w:tcPr>
            <w:tcW w:w="0" w:type="auto"/>
          </w:tcPr>
          <w:p w:rsidR="00AE2AC8" w:rsidRDefault="00192005">
            <w:pPr>
              <w:pStyle w:val="Compact"/>
              <w:jc w:val="center"/>
            </w:pPr>
            <w:r>
              <w:t>Friday</w:t>
            </w:r>
          </w:p>
        </w:tc>
        <w:tc>
          <w:tcPr>
            <w:tcW w:w="0" w:type="auto"/>
          </w:tcPr>
          <w:p w:rsidR="00AE2AC8" w:rsidRDefault="00192005">
            <w:pPr>
              <w:pStyle w:val="Compact"/>
              <w:jc w:val="center"/>
            </w:pPr>
            <w:r>
              <w:t>Saturday</w:t>
            </w:r>
          </w:p>
        </w:tc>
        <w:tc>
          <w:tcPr>
            <w:tcW w:w="0" w:type="auto"/>
          </w:tcPr>
          <w:p w:rsidR="00AE2AC8" w:rsidRDefault="00192005">
            <w:pPr>
              <w:pStyle w:val="Compact"/>
              <w:jc w:val="center"/>
            </w:pPr>
            <w:r>
              <w:t>Sunday</w:t>
            </w:r>
          </w:p>
        </w:tc>
      </w:tr>
      <w:tr w:rsidR="00AE2AC8" w:rsidTr="00C26D65">
        <w:trPr>
          <w:jc w:val="center"/>
        </w:trPr>
        <w:tc>
          <w:tcPr>
            <w:tcW w:w="0" w:type="auto"/>
          </w:tcPr>
          <w:p w:rsidR="00AE2AC8" w:rsidRDefault="00192005">
            <w:pPr>
              <w:pStyle w:val="Compact"/>
              <w:jc w:val="center"/>
            </w:pPr>
            <w:r>
              <w:rPr>
                <w:b/>
              </w:rPr>
              <w:t>P(0)</w:t>
            </w:r>
          </w:p>
        </w:tc>
        <w:tc>
          <w:tcPr>
            <w:tcW w:w="0" w:type="auto"/>
          </w:tcPr>
          <w:p w:rsidR="00AE2AC8" w:rsidRDefault="00192005">
            <w:pPr>
              <w:pStyle w:val="Compact"/>
              <w:jc w:val="center"/>
            </w:pPr>
            <w:r>
              <w:t>1.62e-02</w:t>
            </w:r>
          </w:p>
        </w:tc>
        <w:tc>
          <w:tcPr>
            <w:tcW w:w="0" w:type="auto"/>
          </w:tcPr>
          <w:p w:rsidR="00AE2AC8" w:rsidRDefault="00192005">
            <w:pPr>
              <w:pStyle w:val="Compact"/>
              <w:jc w:val="center"/>
            </w:pPr>
            <w:r>
              <w:t>3.2e-03</w:t>
            </w:r>
          </w:p>
        </w:tc>
        <w:tc>
          <w:tcPr>
            <w:tcW w:w="0" w:type="auto"/>
          </w:tcPr>
          <w:p w:rsidR="00AE2AC8" w:rsidRDefault="00192005">
            <w:pPr>
              <w:pStyle w:val="Compact"/>
              <w:jc w:val="center"/>
            </w:pPr>
            <w:r>
              <w:t>9.22e-03</w:t>
            </w:r>
          </w:p>
        </w:tc>
      </w:tr>
      <w:tr w:rsidR="00AE2AC8" w:rsidTr="00C26D65">
        <w:trPr>
          <w:jc w:val="center"/>
        </w:trPr>
        <w:tc>
          <w:tcPr>
            <w:tcW w:w="0" w:type="auto"/>
          </w:tcPr>
          <w:p w:rsidR="00AE2AC8" w:rsidRDefault="00192005">
            <w:pPr>
              <w:pStyle w:val="Compact"/>
              <w:jc w:val="center"/>
            </w:pPr>
            <w:r>
              <w:rPr>
                <w:b/>
              </w:rPr>
              <w:t>P(0|0)</w:t>
            </w:r>
          </w:p>
        </w:tc>
        <w:tc>
          <w:tcPr>
            <w:tcW w:w="0" w:type="auto"/>
          </w:tcPr>
          <w:p w:rsidR="00AE2AC8" w:rsidRDefault="00AE2AC8">
            <w:pPr>
              <w:pStyle w:val="Compact"/>
              <w:jc w:val="center"/>
            </w:pPr>
          </w:p>
        </w:tc>
        <w:tc>
          <w:tcPr>
            <w:tcW w:w="0" w:type="auto"/>
          </w:tcPr>
          <w:p w:rsidR="00AE2AC8" w:rsidRDefault="00192005">
            <w:pPr>
              <w:pStyle w:val="Compact"/>
              <w:jc w:val="center"/>
            </w:pPr>
            <w:r>
              <w:t>3.2e-03</w:t>
            </w:r>
          </w:p>
        </w:tc>
        <w:tc>
          <w:tcPr>
            <w:tcW w:w="0" w:type="auto"/>
          </w:tcPr>
          <w:p w:rsidR="00AE2AC8" w:rsidRDefault="00192005">
            <w:pPr>
              <w:pStyle w:val="Compact"/>
              <w:jc w:val="center"/>
            </w:pPr>
            <w:r>
              <w:t>9.22e-03</w:t>
            </w:r>
          </w:p>
        </w:tc>
      </w:tr>
      <w:tr w:rsidR="00AE2AC8" w:rsidTr="00C26D65">
        <w:trPr>
          <w:jc w:val="center"/>
        </w:trPr>
        <w:tc>
          <w:tcPr>
            <w:tcW w:w="0" w:type="auto"/>
          </w:tcPr>
          <w:p w:rsidR="00AE2AC8" w:rsidRDefault="00192005">
            <w:pPr>
              <w:pStyle w:val="Compact"/>
              <w:jc w:val="center"/>
            </w:pPr>
            <w:r>
              <w:rPr>
                <w:b/>
              </w:rPr>
              <w:t>P(0|1)</w:t>
            </w:r>
          </w:p>
        </w:tc>
        <w:tc>
          <w:tcPr>
            <w:tcW w:w="0" w:type="auto"/>
          </w:tcPr>
          <w:p w:rsidR="00AE2AC8" w:rsidRDefault="00AE2AC8">
            <w:pPr>
              <w:pStyle w:val="Compact"/>
              <w:jc w:val="center"/>
            </w:pPr>
          </w:p>
        </w:tc>
        <w:tc>
          <w:tcPr>
            <w:tcW w:w="0" w:type="auto"/>
          </w:tcPr>
          <w:p w:rsidR="00AE2AC8" w:rsidRDefault="00192005">
            <w:pPr>
              <w:pStyle w:val="Compact"/>
              <w:jc w:val="center"/>
            </w:pPr>
            <w:r>
              <w:t>3.2e-03</w:t>
            </w:r>
          </w:p>
        </w:tc>
        <w:tc>
          <w:tcPr>
            <w:tcW w:w="0" w:type="auto"/>
          </w:tcPr>
          <w:p w:rsidR="00AE2AC8" w:rsidRDefault="00192005">
            <w:pPr>
              <w:pStyle w:val="Compact"/>
              <w:jc w:val="center"/>
            </w:pPr>
            <w:r>
              <w:t>9.22e-03</w:t>
            </w:r>
          </w:p>
        </w:tc>
      </w:tr>
      <w:tr w:rsidR="00AE2AC8" w:rsidTr="00C26D65">
        <w:trPr>
          <w:jc w:val="center"/>
        </w:trPr>
        <w:tc>
          <w:tcPr>
            <w:tcW w:w="0" w:type="auto"/>
          </w:tcPr>
          <w:p w:rsidR="00AE2AC8" w:rsidRDefault="00192005">
            <w:pPr>
              <w:pStyle w:val="Compact"/>
              <w:jc w:val="center"/>
            </w:pPr>
            <w:r>
              <w:rPr>
                <w:b/>
              </w:rPr>
              <w:t>P(0|0,0)</w:t>
            </w:r>
          </w:p>
        </w:tc>
        <w:tc>
          <w:tcPr>
            <w:tcW w:w="0" w:type="auto"/>
          </w:tcPr>
          <w:p w:rsidR="00AE2AC8" w:rsidRDefault="00AE2AC8">
            <w:pPr>
              <w:pStyle w:val="Compact"/>
              <w:jc w:val="center"/>
            </w:pPr>
          </w:p>
        </w:tc>
        <w:tc>
          <w:tcPr>
            <w:tcW w:w="0" w:type="auto"/>
          </w:tcPr>
          <w:p w:rsidR="00AE2AC8" w:rsidRDefault="00AE2AC8">
            <w:pPr>
              <w:pStyle w:val="Compact"/>
              <w:jc w:val="center"/>
            </w:pPr>
          </w:p>
        </w:tc>
        <w:tc>
          <w:tcPr>
            <w:tcW w:w="0" w:type="auto"/>
          </w:tcPr>
          <w:p w:rsidR="00AE2AC8" w:rsidRDefault="00192005">
            <w:pPr>
              <w:pStyle w:val="Compact"/>
              <w:jc w:val="center"/>
            </w:pPr>
            <w:r>
              <w:t>1.5e-04</w:t>
            </w:r>
          </w:p>
        </w:tc>
      </w:tr>
      <w:tr w:rsidR="00AE2AC8" w:rsidTr="00C26D65">
        <w:trPr>
          <w:jc w:val="center"/>
        </w:trPr>
        <w:tc>
          <w:tcPr>
            <w:tcW w:w="0" w:type="auto"/>
          </w:tcPr>
          <w:p w:rsidR="00AE2AC8" w:rsidRDefault="00192005">
            <w:pPr>
              <w:pStyle w:val="Compact"/>
              <w:jc w:val="center"/>
            </w:pPr>
            <w:r>
              <w:rPr>
                <w:b/>
              </w:rPr>
              <w:t>P(0|0,1)</w:t>
            </w:r>
          </w:p>
        </w:tc>
        <w:tc>
          <w:tcPr>
            <w:tcW w:w="0" w:type="auto"/>
          </w:tcPr>
          <w:p w:rsidR="00AE2AC8" w:rsidRDefault="00AE2AC8">
            <w:pPr>
              <w:pStyle w:val="Compact"/>
              <w:jc w:val="center"/>
            </w:pPr>
          </w:p>
        </w:tc>
        <w:tc>
          <w:tcPr>
            <w:tcW w:w="0" w:type="auto"/>
          </w:tcPr>
          <w:p w:rsidR="00AE2AC8" w:rsidRDefault="00AE2AC8">
            <w:pPr>
              <w:pStyle w:val="Compact"/>
              <w:jc w:val="center"/>
            </w:pPr>
          </w:p>
        </w:tc>
        <w:tc>
          <w:tcPr>
            <w:tcW w:w="0" w:type="auto"/>
          </w:tcPr>
          <w:p w:rsidR="00AE2AC8" w:rsidRDefault="00192005">
            <w:pPr>
              <w:pStyle w:val="Compact"/>
              <w:jc w:val="center"/>
            </w:pPr>
            <w:r>
              <w:t>9.07e-03</w:t>
            </w:r>
          </w:p>
        </w:tc>
      </w:tr>
      <w:tr w:rsidR="00AE2AC8" w:rsidTr="00C26D65">
        <w:trPr>
          <w:jc w:val="center"/>
        </w:trPr>
        <w:tc>
          <w:tcPr>
            <w:tcW w:w="0" w:type="auto"/>
          </w:tcPr>
          <w:p w:rsidR="00AE2AC8" w:rsidRDefault="00192005">
            <w:pPr>
              <w:pStyle w:val="Compact"/>
              <w:jc w:val="center"/>
            </w:pPr>
            <w:r>
              <w:rPr>
                <w:b/>
              </w:rPr>
              <w:t>P(0|1,0)</w:t>
            </w:r>
          </w:p>
        </w:tc>
        <w:tc>
          <w:tcPr>
            <w:tcW w:w="0" w:type="auto"/>
          </w:tcPr>
          <w:p w:rsidR="00AE2AC8" w:rsidRDefault="00AE2AC8">
            <w:pPr>
              <w:pStyle w:val="Compact"/>
              <w:jc w:val="center"/>
            </w:pPr>
          </w:p>
        </w:tc>
        <w:tc>
          <w:tcPr>
            <w:tcW w:w="0" w:type="auto"/>
          </w:tcPr>
          <w:p w:rsidR="00AE2AC8" w:rsidRDefault="00AE2AC8">
            <w:pPr>
              <w:pStyle w:val="Compact"/>
              <w:jc w:val="center"/>
            </w:pPr>
          </w:p>
        </w:tc>
        <w:tc>
          <w:tcPr>
            <w:tcW w:w="0" w:type="auto"/>
          </w:tcPr>
          <w:p w:rsidR="00AE2AC8" w:rsidRDefault="00192005">
            <w:pPr>
              <w:pStyle w:val="Compact"/>
              <w:jc w:val="center"/>
            </w:pPr>
            <w:r>
              <w:t>1.5e-04</w:t>
            </w:r>
          </w:p>
        </w:tc>
      </w:tr>
      <w:tr w:rsidR="00AE2AC8" w:rsidTr="00C26D65">
        <w:trPr>
          <w:jc w:val="center"/>
        </w:trPr>
        <w:tc>
          <w:tcPr>
            <w:tcW w:w="0" w:type="auto"/>
          </w:tcPr>
          <w:p w:rsidR="00AE2AC8" w:rsidRDefault="00192005">
            <w:pPr>
              <w:pStyle w:val="Compact"/>
              <w:jc w:val="center"/>
            </w:pPr>
            <w:r>
              <w:rPr>
                <w:b/>
              </w:rPr>
              <w:t>P(0|1,1)</w:t>
            </w:r>
          </w:p>
        </w:tc>
        <w:tc>
          <w:tcPr>
            <w:tcW w:w="0" w:type="auto"/>
          </w:tcPr>
          <w:p w:rsidR="00AE2AC8" w:rsidRDefault="00AE2AC8">
            <w:pPr>
              <w:pStyle w:val="Compact"/>
              <w:jc w:val="center"/>
            </w:pPr>
          </w:p>
        </w:tc>
        <w:tc>
          <w:tcPr>
            <w:tcW w:w="0" w:type="auto"/>
          </w:tcPr>
          <w:p w:rsidR="00AE2AC8" w:rsidRDefault="00AE2AC8">
            <w:pPr>
              <w:pStyle w:val="Compact"/>
              <w:jc w:val="center"/>
            </w:pPr>
          </w:p>
        </w:tc>
        <w:tc>
          <w:tcPr>
            <w:tcW w:w="0" w:type="auto"/>
          </w:tcPr>
          <w:p w:rsidR="00AE2AC8" w:rsidRDefault="00192005">
            <w:pPr>
              <w:pStyle w:val="Compact"/>
              <w:jc w:val="center"/>
            </w:pPr>
            <w:r>
              <w:t>9.07e-03</w:t>
            </w:r>
          </w:p>
        </w:tc>
      </w:tr>
    </w:tbl>
    <w:p w:rsidR="00AE2AC8" w:rsidRDefault="00192005">
      <w:pPr>
        <w:pStyle w:val="BodyText"/>
      </w:pPr>
      <w:r>
        <w:lastRenderedPageBreak/>
        <w:t>The odds of a shooting free Sunday when we’re looking at just Saturdays data–row 2–and when we’re also including friday are nearly identical. This would imply that our estimate for Sunday doesn’t depend of Friday’s shooting status. However, look at what ha</w:t>
      </w:r>
      <w:r>
        <w:t>ppens when we compare odds of shooting-free Sundays given that Saturday had at least 1 shooting. Knowing that Friday was shooting-free increased our probability for Sunday a full order of magnitude. Is this difference significant? One could argue no. We’re</w:t>
      </w:r>
      <w:r>
        <w:t xml:space="preserve"> comparing odds of .00922 to .00015. Both are vanishingly small. So can be assume independence of Sunday from Friday? Well, it depends. I’ll explore that later.</w:t>
      </w:r>
    </w:p>
    <w:p w:rsidR="00AE2AC8" w:rsidRDefault="00192005" w:rsidP="00C26D65">
      <w:pPr>
        <w:pStyle w:val="BodyText"/>
      </w:pPr>
      <w:r>
        <w:t xml:space="preserve">Let’s move into model building. Performing regression on our outcome of interest may shed more </w:t>
      </w:r>
      <w:r>
        <w:t>light than working with conditional probabilities. First I fit a cell means model using Day, Year, and Season as predictors of number of shootings in a given day. This value ranged from 0 to 19 in the 5 years of data used here.</w:t>
      </w:r>
    </w:p>
    <w:tbl>
      <w:tblPr>
        <w:tblStyle w:val="PlainTable2"/>
        <w:tblW w:w="4444" w:type="pct"/>
        <w:jc w:val="center"/>
        <w:tblLook w:val="0620" w:firstRow="1" w:lastRow="0" w:firstColumn="0" w:lastColumn="0" w:noHBand="1" w:noVBand="1"/>
      </w:tblPr>
      <w:tblGrid>
        <w:gridCol w:w="2372"/>
        <w:gridCol w:w="1876"/>
        <w:gridCol w:w="2036"/>
        <w:gridCol w:w="1514"/>
        <w:gridCol w:w="1993"/>
      </w:tblGrid>
      <w:tr w:rsidR="00AE2AC8" w:rsidTr="00C26D65">
        <w:trPr>
          <w:cnfStyle w:val="100000000000" w:firstRow="1" w:lastRow="0" w:firstColumn="0" w:lastColumn="0" w:oddVBand="0" w:evenVBand="0" w:oddHBand="0" w:evenHBand="0" w:firstRowFirstColumn="0" w:firstRowLastColumn="0" w:lastRowFirstColumn="0" w:lastRowLastColumn="0"/>
          <w:jc w:val="center"/>
        </w:trPr>
        <w:tc>
          <w:tcPr>
            <w:tcW w:w="0" w:type="auto"/>
          </w:tcPr>
          <w:p w:rsidR="00AE2AC8" w:rsidRDefault="00192005">
            <w:pPr>
              <w:pStyle w:val="Compact"/>
              <w:jc w:val="center"/>
            </w:pPr>
            <w:r>
              <w:t> </w:t>
            </w:r>
          </w:p>
        </w:tc>
        <w:tc>
          <w:tcPr>
            <w:tcW w:w="0" w:type="auto"/>
          </w:tcPr>
          <w:p w:rsidR="00AE2AC8" w:rsidRDefault="00192005">
            <w:pPr>
              <w:pStyle w:val="Compact"/>
              <w:jc w:val="center"/>
            </w:pPr>
            <w:r>
              <w:t>Estimate</w:t>
            </w:r>
          </w:p>
        </w:tc>
        <w:tc>
          <w:tcPr>
            <w:tcW w:w="0" w:type="auto"/>
          </w:tcPr>
          <w:p w:rsidR="00AE2AC8" w:rsidRDefault="00192005">
            <w:pPr>
              <w:pStyle w:val="Compact"/>
              <w:jc w:val="center"/>
            </w:pPr>
            <w:r>
              <w:t>Std. Error</w:t>
            </w:r>
          </w:p>
        </w:tc>
        <w:tc>
          <w:tcPr>
            <w:tcW w:w="0" w:type="auto"/>
          </w:tcPr>
          <w:p w:rsidR="00AE2AC8" w:rsidRDefault="00192005">
            <w:pPr>
              <w:pStyle w:val="Compact"/>
              <w:jc w:val="center"/>
            </w:pPr>
            <w:r>
              <w:t>t value</w:t>
            </w:r>
          </w:p>
        </w:tc>
        <w:tc>
          <w:tcPr>
            <w:tcW w:w="0" w:type="auto"/>
          </w:tcPr>
          <w:p w:rsidR="00AE2AC8" w:rsidRDefault="00192005">
            <w:pPr>
              <w:pStyle w:val="Compact"/>
              <w:jc w:val="center"/>
            </w:pPr>
            <w:r>
              <w:t>Pr(&gt;|t|)</w:t>
            </w:r>
          </w:p>
        </w:tc>
      </w:tr>
      <w:tr w:rsidR="00AE2AC8" w:rsidTr="00C26D65">
        <w:trPr>
          <w:jc w:val="center"/>
        </w:trPr>
        <w:tc>
          <w:tcPr>
            <w:tcW w:w="0" w:type="auto"/>
          </w:tcPr>
          <w:p w:rsidR="00AE2AC8" w:rsidRDefault="00192005">
            <w:pPr>
              <w:pStyle w:val="Compact"/>
              <w:jc w:val="center"/>
            </w:pPr>
            <w:r>
              <w:rPr>
                <w:b/>
              </w:rPr>
              <w:t>Friday</w:t>
            </w:r>
          </w:p>
        </w:tc>
        <w:tc>
          <w:tcPr>
            <w:tcW w:w="0" w:type="auto"/>
          </w:tcPr>
          <w:p w:rsidR="00AE2AC8" w:rsidRDefault="00192005">
            <w:pPr>
              <w:pStyle w:val="Compact"/>
              <w:jc w:val="center"/>
            </w:pPr>
            <w:r>
              <w:t>3.598</w:t>
            </w:r>
          </w:p>
        </w:tc>
        <w:tc>
          <w:tcPr>
            <w:tcW w:w="0" w:type="auto"/>
          </w:tcPr>
          <w:p w:rsidR="00AE2AC8" w:rsidRDefault="00192005">
            <w:pPr>
              <w:pStyle w:val="Compact"/>
              <w:jc w:val="center"/>
            </w:pPr>
            <w:r>
              <w:t>0.2406</w:t>
            </w:r>
          </w:p>
        </w:tc>
        <w:tc>
          <w:tcPr>
            <w:tcW w:w="0" w:type="auto"/>
          </w:tcPr>
          <w:p w:rsidR="00AE2AC8" w:rsidRDefault="00192005">
            <w:pPr>
              <w:pStyle w:val="Compact"/>
              <w:jc w:val="center"/>
            </w:pPr>
            <w:r>
              <w:t>14.95</w:t>
            </w:r>
          </w:p>
        </w:tc>
        <w:tc>
          <w:tcPr>
            <w:tcW w:w="0" w:type="auto"/>
          </w:tcPr>
          <w:p w:rsidR="00AE2AC8" w:rsidRDefault="00192005">
            <w:pPr>
              <w:pStyle w:val="Compact"/>
              <w:jc w:val="center"/>
            </w:pPr>
            <w:r>
              <w:t>9.26e-48</w:t>
            </w:r>
          </w:p>
        </w:tc>
      </w:tr>
      <w:tr w:rsidR="00AE2AC8" w:rsidTr="00C26D65">
        <w:trPr>
          <w:jc w:val="center"/>
        </w:trPr>
        <w:tc>
          <w:tcPr>
            <w:tcW w:w="0" w:type="auto"/>
          </w:tcPr>
          <w:p w:rsidR="00AE2AC8" w:rsidRDefault="00192005">
            <w:pPr>
              <w:pStyle w:val="Compact"/>
              <w:jc w:val="center"/>
            </w:pPr>
            <w:r>
              <w:rPr>
                <w:b/>
              </w:rPr>
              <w:t>Monday</w:t>
            </w:r>
          </w:p>
        </w:tc>
        <w:tc>
          <w:tcPr>
            <w:tcW w:w="0" w:type="auto"/>
          </w:tcPr>
          <w:p w:rsidR="00AE2AC8" w:rsidRDefault="00192005">
            <w:pPr>
              <w:pStyle w:val="Compact"/>
              <w:jc w:val="center"/>
            </w:pPr>
            <w:r>
              <w:t>3.462</w:t>
            </w:r>
          </w:p>
        </w:tc>
        <w:tc>
          <w:tcPr>
            <w:tcW w:w="0" w:type="auto"/>
          </w:tcPr>
          <w:p w:rsidR="00AE2AC8" w:rsidRDefault="00192005">
            <w:pPr>
              <w:pStyle w:val="Compact"/>
              <w:jc w:val="center"/>
            </w:pPr>
            <w:r>
              <w:t>0.2407</w:t>
            </w:r>
          </w:p>
        </w:tc>
        <w:tc>
          <w:tcPr>
            <w:tcW w:w="0" w:type="auto"/>
          </w:tcPr>
          <w:p w:rsidR="00AE2AC8" w:rsidRDefault="00192005">
            <w:pPr>
              <w:pStyle w:val="Compact"/>
              <w:jc w:val="center"/>
            </w:pPr>
            <w:r>
              <w:t>14.38</w:t>
            </w:r>
          </w:p>
        </w:tc>
        <w:tc>
          <w:tcPr>
            <w:tcW w:w="0" w:type="auto"/>
          </w:tcPr>
          <w:p w:rsidR="00AE2AC8" w:rsidRDefault="00192005">
            <w:pPr>
              <w:pStyle w:val="Compact"/>
              <w:jc w:val="center"/>
            </w:pPr>
            <w:r>
              <w:t>1.733e-44</w:t>
            </w:r>
          </w:p>
        </w:tc>
      </w:tr>
      <w:tr w:rsidR="00AE2AC8" w:rsidTr="00C26D65">
        <w:trPr>
          <w:jc w:val="center"/>
        </w:trPr>
        <w:tc>
          <w:tcPr>
            <w:tcW w:w="0" w:type="auto"/>
          </w:tcPr>
          <w:p w:rsidR="00AE2AC8" w:rsidRDefault="00192005">
            <w:pPr>
              <w:pStyle w:val="Compact"/>
              <w:jc w:val="center"/>
            </w:pPr>
            <w:r>
              <w:rPr>
                <w:b/>
              </w:rPr>
              <w:t>Saturday</w:t>
            </w:r>
          </w:p>
        </w:tc>
        <w:tc>
          <w:tcPr>
            <w:tcW w:w="0" w:type="auto"/>
          </w:tcPr>
          <w:p w:rsidR="00AE2AC8" w:rsidRDefault="00192005">
            <w:pPr>
              <w:pStyle w:val="Compact"/>
              <w:jc w:val="center"/>
            </w:pPr>
            <w:r>
              <w:t>4.653</w:t>
            </w:r>
          </w:p>
        </w:tc>
        <w:tc>
          <w:tcPr>
            <w:tcW w:w="0" w:type="auto"/>
          </w:tcPr>
          <w:p w:rsidR="00AE2AC8" w:rsidRDefault="00192005">
            <w:pPr>
              <w:pStyle w:val="Compact"/>
              <w:jc w:val="center"/>
            </w:pPr>
            <w:r>
              <w:t>0.2406</w:t>
            </w:r>
          </w:p>
        </w:tc>
        <w:tc>
          <w:tcPr>
            <w:tcW w:w="0" w:type="auto"/>
          </w:tcPr>
          <w:p w:rsidR="00AE2AC8" w:rsidRDefault="00192005">
            <w:pPr>
              <w:pStyle w:val="Compact"/>
              <w:jc w:val="center"/>
            </w:pPr>
            <w:r>
              <w:t>19.33</w:t>
            </w:r>
          </w:p>
        </w:tc>
        <w:tc>
          <w:tcPr>
            <w:tcW w:w="0" w:type="auto"/>
          </w:tcPr>
          <w:p w:rsidR="00AE2AC8" w:rsidRDefault="00192005">
            <w:pPr>
              <w:pStyle w:val="Compact"/>
              <w:jc w:val="center"/>
            </w:pPr>
            <w:r>
              <w:t>7.118e-76</w:t>
            </w:r>
          </w:p>
        </w:tc>
      </w:tr>
      <w:tr w:rsidR="00AE2AC8" w:rsidTr="00C26D65">
        <w:trPr>
          <w:jc w:val="center"/>
        </w:trPr>
        <w:tc>
          <w:tcPr>
            <w:tcW w:w="0" w:type="auto"/>
          </w:tcPr>
          <w:p w:rsidR="00AE2AC8" w:rsidRDefault="00192005">
            <w:pPr>
              <w:pStyle w:val="Compact"/>
              <w:jc w:val="center"/>
            </w:pPr>
            <w:r>
              <w:rPr>
                <w:b/>
              </w:rPr>
              <w:t>Sunday</w:t>
            </w:r>
          </w:p>
        </w:tc>
        <w:tc>
          <w:tcPr>
            <w:tcW w:w="0" w:type="auto"/>
          </w:tcPr>
          <w:p w:rsidR="00AE2AC8" w:rsidRDefault="00192005">
            <w:pPr>
              <w:pStyle w:val="Compact"/>
              <w:jc w:val="center"/>
            </w:pPr>
            <w:r>
              <w:t>4.824</w:t>
            </w:r>
          </w:p>
        </w:tc>
        <w:tc>
          <w:tcPr>
            <w:tcW w:w="0" w:type="auto"/>
          </w:tcPr>
          <w:p w:rsidR="00AE2AC8" w:rsidRDefault="00192005">
            <w:pPr>
              <w:pStyle w:val="Compact"/>
              <w:jc w:val="center"/>
            </w:pPr>
            <w:r>
              <w:t>0.2406</w:t>
            </w:r>
          </w:p>
        </w:tc>
        <w:tc>
          <w:tcPr>
            <w:tcW w:w="0" w:type="auto"/>
          </w:tcPr>
          <w:p w:rsidR="00AE2AC8" w:rsidRDefault="00192005">
            <w:pPr>
              <w:pStyle w:val="Compact"/>
              <w:jc w:val="center"/>
            </w:pPr>
            <w:r>
              <w:t>20.05</w:t>
            </w:r>
          </w:p>
        </w:tc>
        <w:tc>
          <w:tcPr>
            <w:tcW w:w="0" w:type="auto"/>
          </w:tcPr>
          <w:p w:rsidR="00AE2AC8" w:rsidRDefault="00192005">
            <w:pPr>
              <w:pStyle w:val="Compact"/>
              <w:jc w:val="center"/>
            </w:pPr>
            <w:r>
              <w:t>6.776e-81</w:t>
            </w:r>
          </w:p>
        </w:tc>
      </w:tr>
      <w:tr w:rsidR="00AE2AC8" w:rsidTr="00C26D65">
        <w:trPr>
          <w:jc w:val="center"/>
        </w:trPr>
        <w:tc>
          <w:tcPr>
            <w:tcW w:w="0" w:type="auto"/>
          </w:tcPr>
          <w:p w:rsidR="00AE2AC8" w:rsidRDefault="00192005">
            <w:pPr>
              <w:pStyle w:val="Compact"/>
              <w:jc w:val="center"/>
            </w:pPr>
            <w:r>
              <w:rPr>
                <w:b/>
              </w:rPr>
              <w:t>Thursday</w:t>
            </w:r>
          </w:p>
        </w:tc>
        <w:tc>
          <w:tcPr>
            <w:tcW w:w="0" w:type="auto"/>
          </w:tcPr>
          <w:p w:rsidR="00AE2AC8" w:rsidRDefault="00192005">
            <w:pPr>
              <w:pStyle w:val="Compact"/>
              <w:jc w:val="center"/>
            </w:pPr>
            <w:r>
              <w:t>2.595</w:t>
            </w:r>
          </w:p>
        </w:tc>
        <w:tc>
          <w:tcPr>
            <w:tcW w:w="0" w:type="auto"/>
          </w:tcPr>
          <w:p w:rsidR="00AE2AC8" w:rsidRDefault="00192005">
            <w:pPr>
              <w:pStyle w:val="Compact"/>
              <w:jc w:val="center"/>
            </w:pPr>
            <w:r>
              <w:t>0.2406</w:t>
            </w:r>
          </w:p>
        </w:tc>
        <w:tc>
          <w:tcPr>
            <w:tcW w:w="0" w:type="auto"/>
          </w:tcPr>
          <w:p w:rsidR="00AE2AC8" w:rsidRDefault="00192005">
            <w:pPr>
              <w:pStyle w:val="Compact"/>
              <w:jc w:val="center"/>
            </w:pPr>
            <w:r>
              <w:t>10.78</w:t>
            </w:r>
          </w:p>
        </w:tc>
        <w:tc>
          <w:tcPr>
            <w:tcW w:w="0" w:type="auto"/>
          </w:tcPr>
          <w:p w:rsidR="00AE2AC8" w:rsidRDefault="00192005">
            <w:pPr>
              <w:pStyle w:val="Compact"/>
              <w:jc w:val="center"/>
            </w:pPr>
            <w:r>
              <w:t>2.558e-26</w:t>
            </w:r>
          </w:p>
        </w:tc>
      </w:tr>
      <w:tr w:rsidR="00AE2AC8" w:rsidTr="00C26D65">
        <w:trPr>
          <w:jc w:val="center"/>
        </w:trPr>
        <w:tc>
          <w:tcPr>
            <w:tcW w:w="0" w:type="auto"/>
          </w:tcPr>
          <w:p w:rsidR="00AE2AC8" w:rsidRDefault="00192005">
            <w:pPr>
              <w:pStyle w:val="Compact"/>
              <w:jc w:val="center"/>
            </w:pPr>
            <w:r>
              <w:rPr>
                <w:b/>
              </w:rPr>
              <w:t>Tuesday</w:t>
            </w:r>
          </w:p>
        </w:tc>
        <w:tc>
          <w:tcPr>
            <w:tcW w:w="0" w:type="auto"/>
          </w:tcPr>
          <w:p w:rsidR="00AE2AC8" w:rsidRDefault="00192005">
            <w:pPr>
              <w:pStyle w:val="Compact"/>
              <w:jc w:val="center"/>
            </w:pPr>
            <w:r>
              <w:t>2.877</w:t>
            </w:r>
          </w:p>
        </w:tc>
        <w:tc>
          <w:tcPr>
            <w:tcW w:w="0" w:type="auto"/>
          </w:tcPr>
          <w:p w:rsidR="00AE2AC8" w:rsidRDefault="00192005">
            <w:pPr>
              <w:pStyle w:val="Compact"/>
              <w:jc w:val="center"/>
            </w:pPr>
            <w:r>
              <w:t>0.2403</w:t>
            </w:r>
          </w:p>
        </w:tc>
        <w:tc>
          <w:tcPr>
            <w:tcW w:w="0" w:type="auto"/>
          </w:tcPr>
          <w:p w:rsidR="00AE2AC8" w:rsidRDefault="00192005">
            <w:pPr>
              <w:pStyle w:val="Compact"/>
              <w:jc w:val="center"/>
            </w:pPr>
            <w:r>
              <w:t>11.97</w:t>
            </w:r>
          </w:p>
        </w:tc>
        <w:tc>
          <w:tcPr>
            <w:tcW w:w="0" w:type="auto"/>
          </w:tcPr>
          <w:p w:rsidR="00AE2AC8" w:rsidRDefault="00192005">
            <w:pPr>
              <w:pStyle w:val="Compact"/>
              <w:jc w:val="center"/>
            </w:pPr>
            <w:r>
              <w:t>7.741e-32</w:t>
            </w:r>
          </w:p>
        </w:tc>
      </w:tr>
      <w:tr w:rsidR="00AE2AC8" w:rsidTr="00C26D65">
        <w:trPr>
          <w:jc w:val="center"/>
        </w:trPr>
        <w:tc>
          <w:tcPr>
            <w:tcW w:w="0" w:type="auto"/>
          </w:tcPr>
          <w:p w:rsidR="00AE2AC8" w:rsidRDefault="00192005">
            <w:pPr>
              <w:pStyle w:val="Compact"/>
              <w:jc w:val="center"/>
            </w:pPr>
            <w:r>
              <w:rPr>
                <w:b/>
              </w:rPr>
              <w:t>Wednesday</w:t>
            </w:r>
          </w:p>
        </w:tc>
        <w:tc>
          <w:tcPr>
            <w:tcW w:w="0" w:type="auto"/>
          </w:tcPr>
          <w:p w:rsidR="00AE2AC8" w:rsidRDefault="00192005">
            <w:pPr>
              <w:pStyle w:val="Compact"/>
              <w:jc w:val="center"/>
            </w:pPr>
            <w:r>
              <w:t>2.941</w:t>
            </w:r>
          </w:p>
        </w:tc>
        <w:tc>
          <w:tcPr>
            <w:tcW w:w="0" w:type="auto"/>
          </w:tcPr>
          <w:p w:rsidR="00AE2AC8" w:rsidRDefault="00192005">
            <w:pPr>
              <w:pStyle w:val="Compact"/>
              <w:jc w:val="center"/>
            </w:pPr>
            <w:r>
              <w:t>0.2406</w:t>
            </w:r>
          </w:p>
        </w:tc>
        <w:tc>
          <w:tcPr>
            <w:tcW w:w="0" w:type="auto"/>
          </w:tcPr>
          <w:p w:rsidR="00AE2AC8" w:rsidRDefault="00192005">
            <w:pPr>
              <w:pStyle w:val="Compact"/>
              <w:jc w:val="center"/>
            </w:pPr>
            <w:r>
              <w:t>12.22</w:t>
            </w:r>
          </w:p>
        </w:tc>
        <w:tc>
          <w:tcPr>
            <w:tcW w:w="0" w:type="auto"/>
          </w:tcPr>
          <w:p w:rsidR="00AE2AC8" w:rsidRDefault="00192005">
            <w:pPr>
              <w:pStyle w:val="Compact"/>
              <w:jc w:val="center"/>
            </w:pPr>
            <w:r>
              <w:t>4.522e-33</w:t>
            </w:r>
          </w:p>
        </w:tc>
      </w:tr>
      <w:tr w:rsidR="00AE2AC8" w:rsidTr="00C26D65">
        <w:trPr>
          <w:jc w:val="center"/>
        </w:trPr>
        <w:tc>
          <w:tcPr>
            <w:tcW w:w="0" w:type="auto"/>
          </w:tcPr>
          <w:p w:rsidR="00AE2AC8" w:rsidRDefault="00192005">
            <w:pPr>
              <w:pStyle w:val="Compact"/>
              <w:jc w:val="center"/>
            </w:pPr>
            <w:r>
              <w:rPr>
                <w:b/>
              </w:rPr>
              <w:t>2014</w:t>
            </w:r>
          </w:p>
        </w:tc>
        <w:tc>
          <w:tcPr>
            <w:tcW w:w="0" w:type="auto"/>
          </w:tcPr>
          <w:p w:rsidR="00AE2AC8" w:rsidRDefault="00192005">
            <w:pPr>
              <w:pStyle w:val="Compact"/>
              <w:jc w:val="center"/>
            </w:pPr>
            <w:r>
              <w:t>0.3286</w:t>
            </w:r>
          </w:p>
        </w:tc>
        <w:tc>
          <w:tcPr>
            <w:tcW w:w="0" w:type="auto"/>
          </w:tcPr>
          <w:p w:rsidR="00AE2AC8" w:rsidRDefault="00192005">
            <w:pPr>
              <w:pStyle w:val="Compact"/>
              <w:jc w:val="center"/>
            </w:pPr>
            <w:r>
              <w:t>0.2033</w:t>
            </w:r>
          </w:p>
        </w:tc>
        <w:tc>
          <w:tcPr>
            <w:tcW w:w="0" w:type="auto"/>
          </w:tcPr>
          <w:p w:rsidR="00AE2AC8" w:rsidRDefault="00192005">
            <w:pPr>
              <w:pStyle w:val="Compact"/>
              <w:jc w:val="center"/>
            </w:pPr>
            <w:r>
              <w:t>1.616</w:t>
            </w:r>
          </w:p>
        </w:tc>
        <w:tc>
          <w:tcPr>
            <w:tcW w:w="0" w:type="auto"/>
          </w:tcPr>
          <w:p w:rsidR="00AE2AC8" w:rsidRDefault="00192005">
            <w:pPr>
              <w:pStyle w:val="Compact"/>
              <w:jc w:val="center"/>
            </w:pPr>
            <w:r>
              <w:t>0.1062</w:t>
            </w:r>
          </w:p>
        </w:tc>
      </w:tr>
      <w:tr w:rsidR="00AE2AC8" w:rsidTr="00C26D65">
        <w:trPr>
          <w:jc w:val="center"/>
        </w:trPr>
        <w:tc>
          <w:tcPr>
            <w:tcW w:w="0" w:type="auto"/>
          </w:tcPr>
          <w:p w:rsidR="00AE2AC8" w:rsidRDefault="00192005">
            <w:pPr>
              <w:pStyle w:val="Compact"/>
              <w:jc w:val="center"/>
            </w:pPr>
            <w:r>
              <w:rPr>
                <w:b/>
              </w:rPr>
              <w:t>2015</w:t>
            </w:r>
          </w:p>
        </w:tc>
        <w:tc>
          <w:tcPr>
            <w:tcW w:w="0" w:type="auto"/>
          </w:tcPr>
          <w:p w:rsidR="00AE2AC8" w:rsidRDefault="00192005">
            <w:pPr>
              <w:pStyle w:val="Compact"/>
              <w:jc w:val="center"/>
            </w:pPr>
            <w:r>
              <w:t>0.3898</w:t>
            </w:r>
          </w:p>
        </w:tc>
        <w:tc>
          <w:tcPr>
            <w:tcW w:w="0" w:type="auto"/>
          </w:tcPr>
          <w:p w:rsidR="00AE2AC8" w:rsidRDefault="00192005">
            <w:pPr>
              <w:pStyle w:val="Compact"/>
              <w:jc w:val="center"/>
            </w:pPr>
            <w:r>
              <w:t>0.2033</w:t>
            </w:r>
          </w:p>
        </w:tc>
        <w:tc>
          <w:tcPr>
            <w:tcW w:w="0" w:type="auto"/>
          </w:tcPr>
          <w:p w:rsidR="00AE2AC8" w:rsidRDefault="00192005">
            <w:pPr>
              <w:pStyle w:val="Compact"/>
              <w:jc w:val="center"/>
            </w:pPr>
            <w:r>
              <w:t>1.918</w:t>
            </w:r>
          </w:p>
        </w:tc>
        <w:tc>
          <w:tcPr>
            <w:tcW w:w="0" w:type="auto"/>
          </w:tcPr>
          <w:p w:rsidR="00AE2AC8" w:rsidRDefault="00192005">
            <w:pPr>
              <w:pStyle w:val="Compact"/>
              <w:jc w:val="center"/>
            </w:pPr>
            <w:r>
              <w:t>0.05533</w:t>
            </w:r>
          </w:p>
        </w:tc>
      </w:tr>
      <w:tr w:rsidR="00AE2AC8" w:rsidTr="00C26D65">
        <w:trPr>
          <w:jc w:val="center"/>
        </w:trPr>
        <w:tc>
          <w:tcPr>
            <w:tcW w:w="0" w:type="auto"/>
          </w:tcPr>
          <w:p w:rsidR="00AE2AC8" w:rsidRDefault="00192005">
            <w:pPr>
              <w:pStyle w:val="Compact"/>
              <w:jc w:val="center"/>
            </w:pPr>
            <w:r>
              <w:rPr>
                <w:b/>
              </w:rPr>
              <w:t>2016</w:t>
            </w:r>
          </w:p>
        </w:tc>
        <w:tc>
          <w:tcPr>
            <w:tcW w:w="0" w:type="auto"/>
          </w:tcPr>
          <w:p w:rsidR="00AE2AC8" w:rsidRDefault="00192005">
            <w:pPr>
              <w:pStyle w:val="Compact"/>
              <w:jc w:val="center"/>
            </w:pPr>
            <w:r>
              <w:t>-0.3303</w:t>
            </w:r>
          </w:p>
        </w:tc>
        <w:tc>
          <w:tcPr>
            <w:tcW w:w="0" w:type="auto"/>
          </w:tcPr>
          <w:p w:rsidR="00AE2AC8" w:rsidRDefault="00192005">
            <w:pPr>
              <w:pStyle w:val="Compact"/>
              <w:jc w:val="center"/>
            </w:pPr>
            <w:r>
              <w:t>0.2032</w:t>
            </w:r>
          </w:p>
        </w:tc>
        <w:tc>
          <w:tcPr>
            <w:tcW w:w="0" w:type="auto"/>
          </w:tcPr>
          <w:p w:rsidR="00AE2AC8" w:rsidRDefault="00192005">
            <w:pPr>
              <w:pStyle w:val="Compact"/>
              <w:jc w:val="center"/>
            </w:pPr>
            <w:r>
              <w:t>-1.626</w:t>
            </w:r>
          </w:p>
        </w:tc>
        <w:tc>
          <w:tcPr>
            <w:tcW w:w="0" w:type="auto"/>
          </w:tcPr>
          <w:p w:rsidR="00AE2AC8" w:rsidRDefault="00192005">
            <w:pPr>
              <w:pStyle w:val="Compact"/>
              <w:jc w:val="center"/>
            </w:pPr>
            <w:r>
              <w:t>0.1042</w:t>
            </w:r>
          </w:p>
        </w:tc>
      </w:tr>
      <w:tr w:rsidR="00AE2AC8" w:rsidTr="00C26D65">
        <w:trPr>
          <w:jc w:val="center"/>
        </w:trPr>
        <w:tc>
          <w:tcPr>
            <w:tcW w:w="0" w:type="auto"/>
          </w:tcPr>
          <w:p w:rsidR="00AE2AC8" w:rsidRDefault="00192005">
            <w:pPr>
              <w:pStyle w:val="Compact"/>
              <w:jc w:val="center"/>
            </w:pPr>
            <w:r>
              <w:rPr>
                <w:b/>
              </w:rPr>
              <w:t>2017</w:t>
            </w:r>
          </w:p>
        </w:tc>
        <w:tc>
          <w:tcPr>
            <w:tcW w:w="0" w:type="auto"/>
          </w:tcPr>
          <w:p w:rsidR="00AE2AC8" w:rsidRDefault="00192005">
            <w:pPr>
              <w:pStyle w:val="Compact"/>
              <w:jc w:val="center"/>
            </w:pPr>
            <w:r>
              <w:t>-0.9889</w:t>
            </w:r>
          </w:p>
        </w:tc>
        <w:tc>
          <w:tcPr>
            <w:tcW w:w="0" w:type="auto"/>
          </w:tcPr>
          <w:p w:rsidR="00AE2AC8" w:rsidRDefault="00192005">
            <w:pPr>
              <w:pStyle w:val="Compact"/>
              <w:jc w:val="center"/>
            </w:pPr>
            <w:r>
              <w:t>0.2033</w:t>
            </w:r>
          </w:p>
        </w:tc>
        <w:tc>
          <w:tcPr>
            <w:tcW w:w="0" w:type="auto"/>
          </w:tcPr>
          <w:p w:rsidR="00AE2AC8" w:rsidRDefault="00192005">
            <w:pPr>
              <w:pStyle w:val="Compact"/>
              <w:jc w:val="center"/>
            </w:pPr>
            <w:r>
              <w:t>-4.864</w:t>
            </w:r>
          </w:p>
        </w:tc>
        <w:tc>
          <w:tcPr>
            <w:tcW w:w="0" w:type="auto"/>
          </w:tcPr>
          <w:p w:rsidR="00AE2AC8" w:rsidRDefault="00192005">
            <w:pPr>
              <w:pStyle w:val="Compact"/>
              <w:jc w:val="center"/>
            </w:pPr>
            <w:r>
              <w:t>1.247e-06</w:t>
            </w:r>
          </w:p>
        </w:tc>
      </w:tr>
      <w:tr w:rsidR="00AE2AC8" w:rsidTr="00C26D65">
        <w:trPr>
          <w:jc w:val="center"/>
        </w:trPr>
        <w:tc>
          <w:tcPr>
            <w:tcW w:w="0" w:type="auto"/>
          </w:tcPr>
          <w:p w:rsidR="00AE2AC8" w:rsidRDefault="00192005">
            <w:pPr>
              <w:pStyle w:val="Compact"/>
              <w:jc w:val="center"/>
            </w:pPr>
            <w:r>
              <w:rPr>
                <w:b/>
              </w:rPr>
              <w:t>Spring</w:t>
            </w:r>
          </w:p>
        </w:tc>
        <w:tc>
          <w:tcPr>
            <w:tcW w:w="0" w:type="auto"/>
          </w:tcPr>
          <w:p w:rsidR="00AE2AC8" w:rsidRDefault="00192005">
            <w:pPr>
              <w:pStyle w:val="Compact"/>
              <w:jc w:val="center"/>
            </w:pPr>
            <w:r>
              <w:t>0.1255</w:t>
            </w:r>
          </w:p>
        </w:tc>
        <w:tc>
          <w:tcPr>
            <w:tcW w:w="0" w:type="auto"/>
          </w:tcPr>
          <w:p w:rsidR="00AE2AC8" w:rsidRDefault="00192005">
            <w:pPr>
              <w:pStyle w:val="Compact"/>
              <w:jc w:val="center"/>
            </w:pPr>
            <w:r>
              <w:t>0.1816</w:t>
            </w:r>
          </w:p>
        </w:tc>
        <w:tc>
          <w:tcPr>
            <w:tcW w:w="0" w:type="auto"/>
          </w:tcPr>
          <w:p w:rsidR="00AE2AC8" w:rsidRDefault="00192005">
            <w:pPr>
              <w:pStyle w:val="Compact"/>
              <w:jc w:val="center"/>
            </w:pPr>
            <w:r>
              <w:t>0.6909</w:t>
            </w:r>
          </w:p>
        </w:tc>
        <w:tc>
          <w:tcPr>
            <w:tcW w:w="0" w:type="auto"/>
          </w:tcPr>
          <w:p w:rsidR="00AE2AC8" w:rsidRDefault="00192005">
            <w:pPr>
              <w:pStyle w:val="Compact"/>
              <w:jc w:val="center"/>
            </w:pPr>
            <w:r>
              <w:t>0.4897</w:t>
            </w:r>
          </w:p>
        </w:tc>
      </w:tr>
      <w:tr w:rsidR="00AE2AC8" w:rsidTr="00C26D65">
        <w:trPr>
          <w:jc w:val="center"/>
        </w:trPr>
        <w:tc>
          <w:tcPr>
            <w:tcW w:w="0" w:type="auto"/>
          </w:tcPr>
          <w:p w:rsidR="00AE2AC8" w:rsidRDefault="00192005">
            <w:pPr>
              <w:pStyle w:val="Compact"/>
              <w:jc w:val="center"/>
            </w:pPr>
            <w:r>
              <w:rPr>
                <w:b/>
              </w:rPr>
              <w:t>Summer</w:t>
            </w:r>
          </w:p>
        </w:tc>
        <w:tc>
          <w:tcPr>
            <w:tcW w:w="0" w:type="auto"/>
          </w:tcPr>
          <w:p w:rsidR="00AE2AC8" w:rsidRDefault="00192005">
            <w:pPr>
              <w:pStyle w:val="Compact"/>
              <w:jc w:val="center"/>
            </w:pPr>
            <w:r>
              <w:t>1.315</w:t>
            </w:r>
          </w:p>
        </w:tc>
        <w:tc>
          <w:tcPr>
            <w:tcW w:w="0" w:type="auto"/>
          </w:tcPr>
          <w:p w:rsidR="00AE2AC8" w:rsidRDefault="00192005">
            <w:pPr>
              <w:pStyle w:val="Compact"/>
              <w:jc w:val="center"/>
            </w:pPr>
            <w:r>
              <w:t>0.1816</w:t>
            </w:r>
          </w:p>
        </w:tc>
        <w:tc>
          <w:tcPr>
            <w:tcW w:w="0" w:type="auto"/>
          </w:tcPr>
          <w:p w:rsidR="00AE2AC8" w:rsidRDefault="00192005">
            <w:pPr>
              <w:pStyle w:val="Compact"/>
              <w:jc w:val="center"/>
            </w:pPr>
            <w:r>
              <w:t>7.245</w:t>
            </w:r>
          </w:p>
        </w:tc>
        <w:tc>
          <w:tcPr>
            <w:tcW w:w="0" w:type="auto"/>
          </w:tcPr>
          <w:p w:rsidR="00AE2AC8" w:rsidRDefault="00192005">
            <w:pPr>
              <w:pStyle w:val="Compact"/>
              <w:jc w:val="center"/>
            </w:pPr>
            <w:r>
              <w:t>6.383e-13</w:t>
            </w:r>
          </w:p>
        </w:tc>
      </w:tr>
      <w:tr w:rsidR="00AE2AC8" w:rsidTr="00C26D65">
        <w:trPr>
          <w:jc w:val="center"/>
        </w:trPr>
        <w:tc>
          <w:tcPr>
            <w:tcW w:w="0" w:type="auto"/>
          </w:tcPr>
          <w:p w:rsidR="00AE2AC8" w:rsidRDefault="00192005">
            <w:pPr>
              <w:pStyle w:val="Compact"/>
              <w:jc w:val="center"/>
            </w:pPr>
            <w:r>
              <w:rPr>
                <w:b/>
              </w:rPr>
              <w:t>Winter</w:t>
            </w:r>
          </w:p>
        </w:tc>
        <w:tc>
          <w:tcPr>
            <w:tcW w:w="0" w:type="auto"/>
          </w:tcPr>
          <w:p w:rsidR="00AE2AC8" w:rsidRDefault="00192005">
            <w:pPr>
              <w:pStyle w:val="Compact"/>
              <w:jc w:val="center"/>
            </w:pPr>
            <w:r>
              <w:t>-0.4975</w:t>
            </w:r>
          </w:p>
        </w:tc>
        <w:tc>
          <w:tcPr>
            <w:tcW w:w="0" w:type="auto"/>
          </w:tcPr>
          <w:p w:rsidR="00AE2AC8" w:rsidRDefault="00192005">
            <w:pPr>
              <w:pStyle w:val="Compact"/>
              <w:jc w:val="center"/>
            </w:pPr>
            <w:r>
              <w:t>0.1825</w:t>
            </w:r>
          </w:p>
        </w:tc>
        <w:tc>
          <w:tcPr>
            <w:tcW w:w="0" w:type="auto"/>
          </w:tcPr>
          <w:p w:rsidR="00AE2AC8" w:rsidRDefault="00192005">
            <w:pPr>
              <w:pStyle w:val="Compact"/>
              <w:jc w:val="center"/>
            </w:pPr>
            <w:r>
              <w:t>-2.727</w:t>
            </w:r>
          </w:p>
        </w:tc>
        <w:tc>
          <w:tcPr>
            <w:tcW w:w="0" w:type="auto"/>
          </w:tcPr>
          <w:p w:rsidR="00AE2AC8" w:rsidRDefault="00192005">
            <w:pPr>
              <w:pStyle w:val="Compact"/>
              <w:jc w:val="center"/>
            </w:pPr>
            <w:r>
              <w:t>0.006461</w:t>
            </w:r>
          </w:p>
        </w:tc>
      </w:tr>
    </w:tbl>
    <w:p w:rsidR="00AE2AC8" w:rsidRDefault="00192005">
      <w:pPr>
        <w:pStyle w:val="BodyText"/>
      </w:pPr>
      <w:r>
        <w:t>The model suggests that knowing the day of the week is important in predicting how many shootings are likely to occur. It being summer is predicted to increase the number of shootings by just over 1 for the day and it being 2017 is predicted to lower the n</w:t>
      </w:r>
      <w:r>
        <w:t>umber of shootings by about 1 shooting.</w:t>
      </w:r>
    </w:p>
    <w:p w:rsidR="00C26D65" w:rsidRDefault="00C26D65">
      <w:pPr>
        <w:pStyle w:val="BodyText"/>
      </w:pPr>
    </w:p>
    <w:p w:rsidR="00C26D65" w:rsidRDefault="00C26D65">
      <w:pPr>
        <w:pStyle w:val="BodyText"/>
      </w:pPr>
    </w:p>
    <w:p w:rsidR="00C26D65" w:rsidRDefault="00C26D65">
      <w:pPr>
        <w:pStyle w:val="BodyText"/>
      </w:pPr>
    </w:p>
    <w:p w:rsidR="00C26D65" w:rsidRDefault="00C26D65">
      <w:pPr>
        <w:pStyle w:val="BodyText"/>
      </w:pPr>
    </w:p>
    <w:p w:rsidR="00C26D65" w:rsidRDefault="00C26D65">
      <w:pPr>
        <w:pStyle w:val="BodyText"/>
      </w:pPr>
    </w:p>
    <w:p w:rsidR="00C26D65" w:rsidRDefault="00C26D65">
      <w:pPr>
        <w:pStyle w:val="BodyText"/>
      </w:pPr>
    </w:p>
    <w:p w:rsidR="00C26D65" w:rsidRDefault="00C26D65">
      <w:pPr>
        <w:pStyle w:val="BodyText"/>
      </w:pPr>
    </w:p>
    <w:p w:rsidR="00C26D65" w:rsidRDefault="00C26D65">
      <w:pPr>
        <w:pStyle w:val="BodyText"/>
      </w:pPr>
    </w:p>
    <w:p w:rsidR="00C26D65" w:rsidRDefault="00C26D65">
      <w:pPr>
        <w:pStyle w:val="BodyText"/>
      </w:pPr>
    </w:p>
    <w:p w:rsidR="00AE2AC8" w:rsidRDefault="00192005">
      <w:pPr>
        <w:pStyle w:val="BodyText"/>
      </w:pPr>
      <w:r>
        <w:lastRenderedPageBreak/>
        <w:t>But we aren’t that interested in how many shooting</w:t>
      </w:r>
      <w:r w:rsidR="00C26D65">
        <w:t>s</w:t>
      </w:r>
      <w:r>
        <w:t xml:space="preserve"> there were per day but </w:t>
      </w:r>
      <w:proofErr w:type="gramStart"/>
      <w:r>
        <w:t>whether or not</w:t>
      </w:r>
      <w:proofErr w:type="gramEnd"/>
      <w:r>
        <w:t xml:space="preserve"> there were none at all. We can model this with logistic regression with a binary outcome for shootings on a given day:</w:t>
      </w:r>
    </w:p>
    <w:tbl>
      <w:tblPr>
        <w:tblStyle w:val="PlainTable2"/>
        <w:tblW w:w="4791" w:type="pct"/>
        <w:jc w:val="center"/>
        <w:tblLook w:val="0620" w:firstRow="1" w:lastRow="0" w:firstColumn="0" w:lastColumn="0" w:noHBand="1" w:noVBand="1"/>
      </w:tblPr>
      <w:tblGrid>
        <w:gridCol w:w="2351"/>
        <w:gridCol w:w="2210"/>
        <w:gridCol w:w="2018"/>
        <w:gridCol w:w="2001"/>
        <w:gridCol w:w="1976"/>
      </w:tblGrid>
      <w:tr w:rsidR="00AE2AC8" w:rsidTr="00C26D65">
        <w:trPr>
          <w:cnfStyle w:val="100000000000" w:firstRow="1" w:lastRow="0" w:firstColumn="0" w:lastColumn="0" w:oddVBand="0" w:evenVBand="0" w:oddHBand="0" w:evenHBand="0" w:firstRowFirstColumn="0" w:firstRowLastColumn="0" w:lastRowFirstColumn="0" w:lastRowLastColumn="0"/>
          <w:jc w:val="center"/>
        </w:trPr>
        <w:tc>
          <w:tcPr>
            <w:tcW w:w="0" w:type="auto"/>
          </w:tcPr>
          <w:p w:rsidR="00AE2AC8" w:rsidRDefault="00192005">
            <w:pPr>
              <w:pStyle w:val="Compact"/>
              <w:jc w:val="center"/>
            </w:pPr>
            <w:r>
              <w:t> </w:t>
            </w:r>
          </w:p>
        </w:tc>
        <w:tc>
          <w:tcPr>
            <w:tcW w:w="0" w:type="auto"/>
          </w:tcPr>
          <w:p w:rsidR="00AE2AC8" w:rsidRDefault="00192005">
            <w:pPr>
              <w:pStyle w:val="Compact"/>
              <w:jc w:val="center"/>
            </w:pPr>
            <w:r>
              <w:t>Estima</w:t>
            </w:r>
            <w:r>
              <w:t>te</w:t>
            </w:r>
          </w:p>
        </w:tc>
        <w:tc>
          <w:tcPr>
            <w:tcW w:w="0" w:type="auto"/>
          </w:tcPr>
          <w:p w:rsidR="00AE2AC8" w:rsidRDefault="00192005">
            <w:pPr>
              <w:pStyle w:val="Compact"/>
              <w:jc w:val="center"/>
            </w:pPr>
            <w:r>
              <w:t>Std. Error</w:t>
            </w:r>
          </w:p>
        </w:tc>
        <w:tc>
          <w:tcPr>
            <w:tcW w:w="0" w:type="auto"/>
          </w:tcPr>
          <w:p w:rsidR="00AE2AC8" w:rsidRDefault="00192005">
            <w:pPr>
              <w:pStyle w:val="Compact"/>
              <w:jc w:val="center"/>
            </w:pPr>
            <w:r>
              <w:t>z value</w:t>
            </w:r>
          </w:p>
        </w:tc>
        <w:tc>
          <w:tcPr>
            <w:tcW w:w="0" w:type="auto"/>
          </w:tcPr>
          <w:p w:rsidR="00AE2AC8" w:rsidRDefault="00192005">
            <w:pPr>
              <w:pStyle w:val="Compact"/>
              <w:jc w:val="center"/>
            </w:pPr>
            <w:r>
              <w:t>Pr(&gt;|z|)</w:t>
            </w:r>
          </w:p>
        </w:tc>
      </w:tr>
      <w:tr w:rsidR="00C26D65" w:rsidTr="00C26D65">
        <w:trPr>
          <w:jc w:val="center"/>
        </w:trPr>
        <w:tc>
          <w:tcPr>
            <w:tcW w:w="0" w:type="auto"/>
          </w:tcPr>
          <w:p w:rsidR="00C26D65" w:rsidRDefault="00C26D65" w:rsidP="00C26D65">
            <w:pPr>
              <w:pStyle w:val="Compact"/>
              <w:jc w:val="center"/>
            </w:pPr>
            <w:r>
              <w:rPr>
                <w:b/>
              </w:rPr>
              <w:t>Friday</w:t>
            </w:r>
          </w:p>
        </w:tc>
        <w:tc>
          <w:tcPr>
            <w:tcW w:w="0" w:type="auto"/>
          </w:tcPr>
          <w:p w:rsidR="00C26D65" w:rsidRDefault="00C26D65" w:rsidP="00C26D65">
            <w:pPr>
              <w:pStyle w:val="Compact"/>
              <w:jc w:val="center"/>
            </w:pPr>
            <w:r>
              <w:t>3.003</w:t>
            </w:r>
          </w:p>
        </w:tc>
        <w:tc>
          <w:tcPr>
            <w:tcW w:w="0" w:type="auto"/>
          </w:tcPr>
          <w:p w:rsidR="00C26D65" w:rsidRDefault="00C26D65" w:rsidP="00C26D65">
            <w:pPr>
              <w:pStyle w:val="Compact"/>
              <w:jc w:val="center"/>
            </w:pPr>
            <w:r>
              <w:t>0.3551</w:t>
            </w:r>
          </w:p>
        </w:tc>
        <w:tc>
          <w:tcPr>
            <w:tcW w:w="0" w:type="auto"/>
          </w:tcPr>
          <w:p w:rsidR="00C26D65" w:rsidRDefault="00C26D65" w:rsidP="00C26D65">
            <w:pPr>
              <w:pStyle w:val="Compact"/>
              <w:jc w:val="center"/>
            </w:pPr>
            <w:r>
              <w:t>8.458</w:t>
            </w:r>
          </w:p>
        </w:tc>
        <w:tc>
          <w:tcPr>
            <w:tcW w:w="0" w:type="auto"/>
          </w:tcPr>
          <w:p w:rsidR="00C26D65" w:rsidRDefault="00C26D65" w:rsidP="00C26D65">
            <w:pPr>
              <w:pStyle w:val="Compact"/>
              <w:jc w:val="center"/>
            </w:pPr>
            <w:r>
              <w:t>2.713e-17</w:t>
            </w:r>
          </w:p>
        </w:tc>
      </w:tr>
      <w:tr w:rsidR="00C26D65" w:rsidTr="00C26D65">
        <w:trPr>
          <w:jc w:val="center"/>
        </w:trPr>
        <w:tc>
          <w:tcPr>
            <w:tcW w:w="0" w:type="auto"/>
          </w:tcPr>
          <w:p w:rsidR="00C26D65" w:rsidRDefault="00C26D65" w:rsidP="00C26D65">
            <w:pPr>
              <w:pStyle w:val="Compact"/>
              <w:jc w:val="center"/>
            </w:pPr>
            <w:r>
              <w:rPr>
                <w:b/>
              </w:rPr>
              <w:t>Monday</w:t>
            </w:r>
          </w:p>
        </w:tc>
        <w:tc>
          <w:tcPr>
            <w:tcW w:w="0" w:type="auto"/>
          </w:tcPr>
          <w:p w:rsidR="00C26D65" w:rsidRDefault="00C26D65" w:rsidP="00C26D65">
            <w:pPr>
              <w:pStyle w:val="Compact"/>
              <w:jc w:val="center"/>
            </w:pPr>
            <w:r>
              <w:t>2.505</w:t>
            </w:r>
          </w:p>
        </w:tc>
        <w:tc>
          <w:tcPr>
            <w:tcW w:w="0" w:type="auto"/>
          </w:tcPr>
          <w:p w:rsidR="00C26D65" w:rsidRDefault="00C26D65" w:rsidP="00C26D65">
            <w:pPr>
              <w:pStyle w:val="Compact"/>
              <w:jc w:val="center"/>
            </w:pPr>
            <w:r>
              <w:t>0.321</w:t>
            </w:r>
          </w:p>
        </w:tc>
        <w:tc>
          <w:tcPr>
            <w:tcW w:w="0" w:type="auto"/>
          </w:tcPr>
          <w:p w:rsidR="00C26D65" w:rsidRDefault="00C26D65" w:rsidP="00C26D65">
            <w:pPr>
              <w:pStyle w:val="Compact"/>
              <w:jc w:val="center"/>
            </w:pPr>
            <w:r>
              <w:t>7.804</w:t>
            </w:r>
          </w:p>
        </w:tc>
        <w:tc>
          <w:tcPr>
            <w:tcW w:w="0" w:type="auto"/>
          </w:tcPr>
          <w:p w:rsidR="00C26D65" w:rsidRDefault="00C26D65" w:rsidP="00C26D65">
            <w:pPr>
              <w:pStyle w:val="Compact"/>
              <w:jc w:val="center"/>
            </w:pPr>
            <w:r>
              <w:t>5.982e-15</w:t>
            </w:r>
          </w:p>
        </w:tc>
      </w:tr>
      <w:tr w:rsidR="00C26D65" w:rsidTr="00C26D65">
        <w:trPr>
          <w:jc w:val="center"/>
        </w:trPr>
        <w:tc>
          <w:tcPr>
            <w:tcW w:w="0" w:type="auto"/>
          </w:tcPr>
          <w:p w:rsidR="00C26D65" w:rsidRDefault="00C26D65" w:rsidP="00C26D65">
            <w:pPr>
              <w:pStyle w:val="Compact"/>
              <w:jc w:val="center"/>
            </w:pPr>
            <w:r>
              <w:rPr>
                <w:b/>
              </w:rPr>
              <w:t>Saturday</w:t>
            </w:r>
          </w:p>
        </w:tc>
        <w:tc>
          <w:tcPr>
            <w:tcW w:w="0" w:type="auto"/>
          </w:tcPr>
          <w:p w:rsidR="00C26D65" w:rsidRDefault="00C26D65" w:rsidP="00C26D65">
            <w:pPr>
              <w:pStyle w:val="Compact"/>
              <w:jc w:val="center"/>
            </w:pPr>
            <w:r>
              <w:t>4.444</w:t>
            </w:r>
          </w:p>
        </w:tc>
        <w:tc>
          <w:tcPr>
            <w:tcW w:w="0" w:type="auto"/>
          </w:tcPr>
          <w:p w:rsidR="00C26D65" w:rsidRDefault="00C26D65" w:rsidP="00C26D65">
            <w:pPr>
              <w:pStyle w:val="Compact"/>
              <w:jc w:val="center"/>
            </w:pPr>
            <w:r>
              <w:t>0.5602</w:t>
            </w:r>
          </w:p>
        </w:tc>
        <w:tc>
          <w:tcPr>
            <w:tcW w:w="0" w:type="auto"/>
          </w:tcPr>
          <w:p w:rsidR="00C26D65" w:rsidRDefault="00C26D65" w:rsidP="00C26D65">
            <w:pPr>
              <w:pStyle w:val="Compact"/>
              <w:jc w:val="center"/>
            </w:pPr>
            <w:r>
              <w:t>7.932</w:t>
            </w:r>
          </w:p>
        </w:tc>
        <w:tc>
          <w:tcPr>
            <w:tcW w:w="0" w:type="auto"/>
          </w:tcPr>
          <w:p w:rsidR="00C26D65" w:rsidRDefault="00C26D65" w:rsidP="00C26D65">
            <w:pPr>
              <w:pStyle w:val="Compact"/>
              <w:jc w:val="center"/>
            </w:pPr>
            <w:r>
              <w:t>2.15e-15</w:t>
            </w:r>
          </w:p>
        </w:tc>
      </w:tr>
      <w:tr w:rsidR="00C26D65" w:rsidTr="00C26D65">
        <w:trPr>
          <w:jc w:val="center"/>
        </w:trPr>
        <w:tc>
          <w:tcPr>
            <w:tcW w:w="0" w:type="auto"/>
          </w:tcPr>
          <w:p w:rsidR="00C26D65" w:rsidRDefault="00C26D65" w:rsidP="00C26D65">
            <w:pPr>
              <w:pStyle w:val="Compact"/>
              <w:jc w:val="center"/>
            </w:pPr>
            <w:r>
              <w:rPr>
                <w:b/>
              </w:rPr>
              <w:t>Sunday</w:t>
            </w:r>
          </w:p>
        </w:tc>
        <w:tc>
          <w:tcPr>
            <w:tcW w:w="0" w:type="auto"/>
          </w:tcPr>
          <w:p w:rsidR="00C26D65" w:rsidRDefault="00C26D65" w:rsidP="00C26D65">
            <w:pPr>
              <w:pStyle w:val="Compact"/>
              <w:jc w:val="center"/>
            </w:pPr>
            <w:r>
              <w:t>3.31</w:t>
            </w:r>
          </w:p>
        </w:tc>
        <w:tc>
          <w:tcPr>
            <w:tcW w:w="0" w:type="auto"/>
          </w:tcPr>
          <w:p w:rsidR="00C26D65" w:rsidRDefault="00C26D65" w:rsidP="00C26D65">
            <w:pPr>
              <w:pStyle w:val="Compact"/>
              <w:jc w:val="center"/>
            </w:pPr>
            <w:r>
              <w:t>0.3834</w:t>
            </w:r>
          </w:p>
        </w:tc>
        <w:tc>
          <w:tcPr>
            <w:tcW w:w="0" w:type="auto"/>
          </w:tcPr>
          <w:p w:rsidR="00C26D65" w:rsidRDefault="00C26D65" w:rsidP="00C26D65">
            <w:pPr>
              <w:pStyle w:val="Compact"/>
              <w:jc w:val="center"/>
            </w:pPr>
            <w:r>
              <w:t>8.633</w:t>
            </w:r>
          </w:p>
        </w:tc>
        <w:tc>
          <w:tcPr>
            <w:tcW w:w="0" w:type="auto"/>
          </w:tcPr>
          <w:p w:rsidR="00C26D65" w:rsidRDefault="00C26D65" w:rsidP="00C26D65">
            <w:pPr>
              <w:pStyle w:val="Compact"/>
              <w:jc w:val="center"/>
            </w:pPr>
            <w:r>
              <w:t>5.954e-18</w:t>
            </w:r>
          </w:p>
        </w:tc>
      </w:tr>
      <w:tr w:rsidR="00C26D65" w:rsidTr="00C26D65">
        <w:trPr>
          <w:jc w:val="center"/>
        </w:trPr>
        <w:tc>
          <w:tcPr>
            <w:tcW w:w="0" w:type="auto"/>
          </w:tcPr>
          <w:p w:rsidR="00C26D65" w:rsidRDefault="00C26D65" w:rsidP="00C26D65">
            <w:pPr>
              <w:pStyle w:val="Compact"/>
              <w:jc w:val="center"/>
            </w:pPr>
            <w:r>
              <w:rPr>
                <w:b/>
              </w:rPr>
              <w:t>Thursday</w:t>
            </w:r>
          </w:p>
        </w:tc>
        <w:tc>
          <w:tcPr>
            <w:tcW w:w="0" w:type="auto"/>
          </w:tcPr>
          <w:p w:rsidR="00C26D65" w:rsidRDefault="00C26D65" w:rsidP="00C26D65">
            <w:pPr>
              <w:pStyle w:val="Compact"/>
              <w:jc w:val="center"/>
            </w:pPr>
            <w:r>
              <w:t>1.96</w:t>
            </w:r>
          </w:p>
        </w:tc>
        <w:tc>
          <w:tcPr>
            <w:tcW w:w="0" w:type="auto"/>
          </w:tcPr>
          <w:p w:rsidR="00C26D65" w:rsidRDefault="00C26D65" w:rsidP="00C26D65">
            <w:pPr>
              <w:pStyle w:val="Compact"/>
              <w:jc w:val="center"/>
            </w:pPr>
            <w:r>
              <w:t>0.2962</w:t>
            </w:r>
          </w:p>
        </w:tc>
        <w:tc>
          <w:tcPr>
            <w:tcW w:w="0" w:type="auto"/>
          </w:tcPr>
          <w:p w:rsidR="00C26D65" w:rsidRDefault="00C26D65" w:rsidP="00C26D65">
            <w:pPr>
              <w:pStyle w:val="Compact"/>
              <w:jc w:val="center"/>
            </w:pPr>
            <w:r>
              <w:t>6.62</w:t>
            </w:r>
          </w:p>
        </w:tc>
        <w:tc>
          <w:tcPr>
            <w:tcW w:w="0" w:type="auto"/>
          </w:tcPr>
          <w:p w:rsidR="00C26D65" w:rsidRDefault="00C26D65" w:rsidP="00C26D65">
            <w:pPr>
              <w:pStyle w:val="Compact"/>
              <w:jc w:val="center"/>
            </w:pPr>
            <w:r>
              <w:t>3.598e-11</w:t>
            </w:r>
          </w:p>
        </w:tc>
      </w:tr>
      <w:tr w:rsidR="00C26D65" w:rsidTr="00C26D65">
        <w:trPr>
          <w:jc w:val="center"/>
        </w:trPr>
        <w:tc>
          <w:tcPr>
            <w:tcW w:w="0" w:type="auto"/>
          </w:tcPr>
          <w:p w:rsidR="00C26D65" w:rsidRDefault="00C26D65" w:rsidP="00C26D65">
            <w:pPr>
              <w:pStyle w:val="Compact"/>
              <w:jc w:val="center"/>
            </w:pPr>
            <w:r>
              <w:rPr>
                <w:b/>
              </w:rPr>
              <w:t>Tuesday</w:t>
            </w:r>
          </w:p>
        </w:tc>
        <w:tc>
          <w:tcPr>
            <w:tcW w:w="0" w:type="auto"/>
          </w:tcPr>
          <w:p w:rsidR="00C26D65" w:rsidRDefault="00C26D65" w:rsidP="00C26D65">
            <w:pPr>
              <w:pStyle w:val="Compact"/>
              <w:jc w:val="center"/>
            </w:pPr>
            <w:r>
              <w:t>2.229</w:t>
            </w:r>
          </w:p>
        </w:tc>
        <w:tc>
          <w:tcPr>
            <w:tcW w:w="0" w:type="auto"/>
          </w:tcPr>
          <w:p w:rsidR="00C26D65" w:rsidRDefault="00C26D65" w:rsidP="00C26D65">
            <w:pPr>
              <w:pStyle w:val="Compact"/>
              <w:jc w:val="center"/>
            </w:pPr>
            <w:r>
              <w:t>0.3064</w:t>
            </w:r>
          </w:p>
        </w:tc>
        <w:tc>
          <w:tcPr>
            <w:tcW w:w="0" w:type="auto"/>
          </w:tcPr>
          <w:p w:rsidR="00C26D65" w:rsidRDefault="00C26D65" w:rsidP="00C26D65">
            <w:pPr>
              <w:pStyle w:val="Compact"/>
              <w:jc w:val="center"/>
            </w:pPr>
            <w:r>
              <w:t>7.274</w:t>
            </w:r>
          </w:p>
        </w:tc>
        <w:tc>
          <w:tcPr>
            <w:tcW w:w="0" w:type="auto"/>
          </w:tcPr>
          <w:p w:rsidR="00C26D65" w:rsidRDefault="00C26D65" w:rsidP="00C26D65">
            <w:pPr>
              <w:pStyle w:val="Compact"/>
              <w:jc w:val="center"/>
            </w:pPr>
            <w:r>
              <w:t>3.479e-13</w:t>
            </w:r>
          </w:p>
        </w:tc>
      </w:tr>
      <w:tr w:rsidR="00C26D65" w:rsidTr="00C26D65">
        <w:trPr>
          <w:jc w:val="center"/>
        </w:trPr>
        <w:tc>
          <w:tcPr>
            <w:tcW w:w="0" w:type="auto"/>
          </w:tcPr>
          <w:p w:rsidR="00C26D65" w:rsidRDefault="00C26D65" w:rsidP="00C26D65">
            <w:pPr>
              <w:pStyle w:val="Compact"/>
              <w:jc w:val="center"/>
            </w:pPr>
            <w:r>
              <w:rPr>
                <w:b/>
              </w:rPr>
              <w:t>Wednesday</w:t>
            </w:r>
          </w:p>
        </w:tc>
        <w:tc>
          <w:tcPr>
            <w:tcW w:w="0" w:type="auto"/>
          </w:tcPr>
          <w:p w:rsidR="00C26D65" w:rsidRDefault="00C26D65" w:rsidP="00C26D65">
            <w:pPr>
              <w:pStyle w:val="Compact"/>
              <w:jc w:val="center"/>
            </w:pPr>
            <w:r>
              <w:t>2.339</w:t>
            </w:r>
          </w:p>
        </w:tc>
        <w:tc>
          <w:tcPr>
            <w:tcW w:w="0" w:type="auto"/>
          </w:tcPr>
          <w:p w:rsidR="00C26D65" w:rsidRDefault="00C26D65" w:rsidP="00C26D65">
            <w:pPr>
              <w:pStyle w:val="Compact"/>
              <w:jc w:val="center"/>
            </w:pPr>
            <w:r>
              <w:t>0.3122</w:t>
            </w:r>
          </w:p>
        </w:tc>
        <w:tc>
          <w:tcPr>
            <w:tcW w:w="0" w:type="auto"/>
          </w:tcPr>
          <w:p w:rsidR="00C26D65" w:rsidRDefault="00C26D65" w:rsidP="00C26D65">
            <w:pPr>
              <w:pStyle w:val="Compact"/>
              <w:jc w:val="center"/>
            </w:pPr>
            <w:r>
              <w:t>7.492</w:t>
            </w:r>
          </w:p>
        </w:tc>
        <w:tc>
          <w:tcPr>
            <w:tcW w:w="0" w:type="auto"/>
          </w:tcPr>
          <w:p w:rsidR="00C26D65" w:rsidRDefault="00C26D65" w:rsidP="00C26D65">
            <w:pPr>
              <w:pStyle w:val="Compact"/>
              <w:jc w:val="center"/>
            </w:pPr>
            <w:r>
              <w:t>6.773e-14</w:t>
            </w:r>
          </w:p>
        </w:tc>
      </w:tr>
      <w:tr w:rsidR="00C26D65" w:rsidTr="00C26D65">
        <w:trPr>
          <w:jc w:val="center"/>
        </w:trPr>
        <w:tc>
          <w:tcPr>
            <w:tcW w:w="0" w:type="auto"/>
          </w:tcPr>
          <w:p w:rsidR="00C26D65" w:rsidRDefault="00C26D65" w:rsidP="00C26D65">
            <w:pPr>
              <w:pStyle w:val="Compact"/>
              <w:jc w:val="center"/>
            </w:pPr>
            <w:r>
              <w:rPr>
                <w:b/>
              </w:rPr>
              <w:t>2014</w:t>
            </w:r>
          </w:p>
        </w:tc>
        <w:tc>
          <w:tcPr>
            <w:tcW w:w="0" w:type="auto"/>
          </w:tcPr>
          <w:p w:rsidR="00C26D65" w:rsidRDefault="00C26D65" w:rsidP="00C26D65">
            <w:pPr>
              <w:pStyle w:val="Compact"/>
              <w:jc w:val="center"/>
            </w:pPr>
            <w:r>
              <w:t>-0.0008647</w:t>
            </w:r>
          </w:p>
        </w:tc>
        <w:tc>
          <w:tcPr>
            <w:tcW w:w="0" w:type="auto"/>
          </w:tcPr>
          <w:p w:rsidR="00C26D65" w:rsidRDefault="00C26D65" w:rsidP="00C26D65">
            <w:pPr>
              <w:pStyle w:val="Compact"/>
              <w:jc w:val="center"/>
            </w:pPr>
            <w:r>
              <w:t>0.2917</w:t>
            </w:r>
          </w:p>
        </w:tc>
        <w:tc>
          <w:tcPr>
            <w:tcW w:w="0" w:type="auto"/>
          </w:tcPr>
          <w:p w:rsidR="00C26D65" w:rsidRDefault="00C26D65" w:rsidP="00C26D65">
            <w:pPr>
              <w:pStyle w:val="Compact"/>
              <w:jc w:val="center"/>
            </w:pPr>
            <w:r>
              <w:t>-0.002964</w:t>
            </w:r>
          </w:p>
        </w:tc>
        <w:tc>
          <w:tcPr>
            <w:tcW w:w="0" w:type="auto"/>
          </w:tcPr>
          <w:p w:rsidR="00C26D65" w:rsidRDefault="00C26D65" w:rsidP="00C26D65">
            <w:pPr>
              <w:pStyle w:val="Compact"/>
              <w:jc w:val="center"/>
            </w:pPr>
            <w:r>
              <w:t>0.9976</w:t>
            </w:r>
          </w:p>
        </w:tc>
      </w:tr>
      <w:tr w:rsidR="00C26D65" w:rsidTr="00C26D65">
        <w:trPr>
          <w:jc w:val="center"/>
        </w:trPr>
        <w:tc>
          <w:tcPr>
            <w:tcW w:w="0" w:type="auto"/>
          </w:tcPr>
          <w:p w:rsidR="00C26D65" w:rsidRDefault="00C26D65" w:rsidP="00C26D65">
            <w:pPr>
              <w:pStyle w:val="Compact"/>
              <w:jc w:val="center"/>
            </w:pPr>
            <w:r>
              <w:rPr>
                <w:b/>
              </w:rPr>
              <w:t>2015</w:t>
            </w:r>
          </w:p>
        </w:tc>
        <w:tc>
          <w:tcPr>
            <w:tcW w:w="0" w:type="auto"/>
          </w:tcPr>
          <w:p w:rsidR="00C26D65" w:rsidRDefault="00C26D65" w:rsidP="00C26D65">
            <w:pPr>
              <w:pStyle w:val="Compact"/>
              <w:jc w:val="center"/>
            </w:pPr>
            <w:r>
              <w:t>0.183</w:t>
            </w:r>
          </w:p>
        </w:tc>
        <w:tc>
          <w:tcPr>
            <w:tcW w:w="0" w:type="auto"/>
          </w:tcPr>
          <w:p w:rsidR="00C26D65" w:rsidRDefault="00C26D65" w:rsidP="00C26D65">
            <w:pPr>
              <w:pStyle w:val="Compact"/>
              <w:jc w:val="center"/>
            </w:pPr>
            <w:r>
              <w:t>0.3034</w:t>
            </w:r>
          </w:p>
        </w:tc>
        <w:tc>
          <w:tcPr>
            <w:tcW w:w="0" w:type="auto"/>
          </w:tcPr>
          <w:p w:rsidR="00C26D65" w:rsidRDefault="00C26D65" w:rsidP="00C26D65">
            <w:pPr>
              <w:pStyle w:val="Compact"/>
              <w:jc w:val="center"/>
            </w:pPr>
            <w:r>
              <w:t>0.6032</w:t>
            </w:r>
          </w:p>
        </w:tc>
        <w:tc>
          <w:tcPr>
            <w:tcW w:w="0" w:type="auto"/>
          </w:tcPr>
          <w:p w:rsidR="00C26D65" w:rsidRDefault="00C26D65" w:rsidP="00C26D65">
            <w:pPr>
              <w:pStyle w:val="Compact"/>
              <w:jc w:val="center"/>
            </w:pPr>
            <w:r>
              <w:t>0.5464</w:t>
            </w:r>
          </w:p>
        </w:tc>
      </w:tr>
      <w:tr w:rsidR="00C26D65" w:rsidTr="00C26D65">
        <w:trPr>
          <w:jc w:val="center"/>
        </w:trPr>
        <w:tc>
          <w:tcPr>
            <w:tcW w:w="0" w:type="auto"/>
          </w:tcPr>
          <w:p w:rsidR="00C26D65" w:rsidRDefault="00C26D65" w:rsidP="00C26D65">
            <w:pPr>
              <w:pStyle w:val="Compact"/>
              <w:jc w:val="center"/>
            </w:pPr>
            <w:r>
              <w:rPr>
                <w:b/>
              </w:rPr>
              <w:t>2016</w:t>
            </w:r>
          </w:p>
        </w:tc>
        <w:tc>
          <w:tcPr>
            <w:tcW w:w="0" w:type="auto"/>
          </w:tcPr>
          <w:p w:rsidR="00C26D65" w:rsidRDefault="00C26D65" w:rsidP="00C26D65">
            <w:pPr>
              <w:pStyle w:val="Compact"/>
              <w:jc w:val="center"/>
            </w:pPr>
            <w:r>
              <w:t>-0.3716</w:t>
            </w:r>
          </w:p>
        </w:tc>
        <w:tc>
          <w:tcPr>
            <w:tcW w:w="0" w:type="auto"/>
          </w:tcPr>
          <w:p w:rsidR="00C26D65" w:rsidRDefault="00C26D65" w:rsidP="00C26D65">
            <w:pPr>
              <w:pStyle w:val="Compact"/>
              <w:jc w:val="center"/>
            </w:pPr>
            <w:r>
              <w:t>0.273</w:t>
            </w:r>
          </w:p>
        </w:tc>
        <w:tc>
          <w:tcPr>
            <w:tcW w:w="0" w:type="auto"/>
          </w:tcPr>
          <w:p w:rsidR="00C26D65" w:rsidRDefault="00C26D65" w:rsidP="00C26D65">
            <w:pPr>
              <w:pStyle w:val="Compact"/>
              <w:jc w:val="center"/>
            </w:pPr>
            <w:r>
              <w:t>-1.361</w:t>
            </w:r>
          </w:p>
        </w:tc>
        <w:tc>
          <w:tcPr>
            <w:tcW w:w="0" w:type="auto"/>
          </w:tcPr>
          <w:p w:rsidR="00C26D65" w:rsidRDefault="00C26D65" w:rsidP="00C26D65">
            <w:pPr>
              <w:pStyle w:val="Compact"/>
              <w:jc w:val="center"/>
            </w:pPr>
            <w:r>
              <w:t>0.1735</w:t>
            </w:r>
          </w:p>
        </w:tc>
      </w:tr>
      <w:tr w:rsidR="00C26D65" w:rsidTr="00C26D65">
        <w:trPr>
          <w:jc w:val="center"/>
        </w:trPr>
        <w:tc>
          <w:tcPr>
            <w:tcW w:w="0" w:type="auto"/>
          </w:tcPr>
          <w:p w:rsidR="00C26D65" w:rsidRDefault="00C26D65" w:rsidP="00C26D65">
            <w:pPr>
              <w:pStyle w:val="Compact"/>
              <w:jc w:val="center"/>
            </w:pPr>
            <w:r>
              <w:rPr>
                <w:b/>
              </w:rPr>
              <w:t>2017</w:t>
            </w:r>
          </w:p>
        </w:tc>
        <w:tc>
          <w:tcPr>
            <w:tcW w:w="0" w:type="auto"/>
          </w:tcPr>
          <w:p w:rsidR="00C26D65" w:rsidRDefault="00C26D65" w:rsidP="00C26D65">
            <w:pPr>
              <w:pStyle w:val="Compact"/>
              <w:jc w:val="center"/>
            </w:pPr>
            <w:r>
              <w:t>-0.7126</w:t>
            </w:r>
          </w:p>
        </w:tc>
        <w:tc>
          <w:tcPr>
            <w:tcW w:w="0" w:type="auto"/>
          </w:tcPr>
          <w:p w:rsidR="00C26D65" w:rsidRDefault="00C26D65" w:rsidP="00C26D65">
            <w:pPr>
              <w:pStyle w:val="Compact"/>
              <w:jc w:val="center"/>
            </w:pPr>
            <w:r>
              <w:t>0.2603</w:t>
            </w:r>
          </w:p>
        </w:tc>
        <w:tc>
          <w:tcPr>
            <w:tcW w:w="0" w:type="auto"/>
          </w:tcPr>
          <w:p w:rsidR="00C26D65" w:rsidRDefault="00C26D65" w:rsidP="00C26D65">
            <w:pPr>
              <w:pStyle w:val="Compact"/>
              <w:jc w:val="center"/>
            </w:pPr>
            <w:r>
              <w:t>-2.737</w:t>
            </w:r>
          </w:p>
        </w:tc>
        <w:tc>
          <w:tcPr>
            <w:tcW w:w="0" w:type="auto"/>
          </w:tcPr>
          <w:p w:rsidR="00C26D65" w:rsidRDefault="00C26D65" w:rsidP="00C26D65">
            <w:pPr>
              <w:pStyle w:val="Compact"/>
              <w:jc w:val="center"/>
            </w:pPr>
            <w:r>
              <w:t>0.006195</w:t>
            </w:r>
          </w:p>
        </w:tc>
      </w:tr>
      <w:tr w:rsidR="00C26D65" w:rsidTr="00C26D65">
        <w:trPr>
          <w:jc w:val="center"/>
        </w:trPr>
        <w:tc>
          <w:tcPr>
            <w:tcW w:w="0" w:type="auto"/>
          </w:tcPr>
          <w:p w:rsidR="00C26D65" w:rsidRDefault="00C26D65" w:rsidP="00C26D65">
            <w:pPr>
              <w:pStyle w:val="Compact"/>
              <w:jc w:val="center"/>
            </w:pPr>
            <w:r>
              <w:rPr>
                <w:b/>
              </w:rPr>
              <w:t>Spring</w:t>
            </w:r>
          </w:p>
        </w:tc>
        <w:tc>
          <w:tcPr>
            <w:tcW w:w="0" w:type="auto"/>
          </w:tcPr>
          <w:p w:rsidR="00C26D65" w:rsidRDefault="00C26D65" w:rsidP="00C26D65">
            <w:pPr>
              <w:pStyle w:val="Compact"/>
              <w:jc w:val="center"/>
            </w:pPr>
            <w:r>
              <w:t>-0.1292</w:t>
            </w:r>
          </w:p>
        </w:tc>
        <w:tc>
          <w:tcPr>
            <w:tcW w:w="0" w:type="auto"/>
          </w:tcPr>
          <w:p w:rsidR="00C26D65" w:rsidRDefault="00C26D65" w:rsidP="00C26D65">
            <w:pPr>
              <w:pStyle w:val="Compact"/>
              <w:jc w:val="center"/>
            </w:pPr>
            <w:r>
              <w:t>0.2376</w:t>
            </w:r>
          </w:p>
        </w:tc>
        <w:tc>
          <w:tcPr>
            <w:tcW w:w="0" w:type="auto"/>
          </w:tcPr>
          <w:p w:rsidR="00C26D65" w:rsidRDefault="00C26D65" w:rsidP="00C26D65">
            <w:pPr>
              <w:pStyle w:val="Compact"/>
              <w:jc w:val="center"/>
            </w:pPr>
            <w:r>
              <w:t>-0.5439</w:t>
            </w:r>
          </w:p>
        </w:tc>
        <w:tc>
          <w:tcPr>
            <w:tcW w:w="0" w:type="auto"/>
          </w:tcPr>
          <w:p w:rsidR="00C26D65" w:rsidRDefault="00C26D65" w:rsidP="00C26D65">
            <w:pPr>
              <w:pStyle w:val="Compact"/>
              <w:jc w:val="center"/>
            </w:pPr>
            <w:r>
              <w:t>0.5865</w:t>
            </w:r>
          </w:p>
        </w:tc>
      </w:tr>
      <w:tr w:rsidR="00C26D65" w:rsidTr="00C26D65">
        <w:trPr>
          <w:jc w:val="center"/>
        </w:trPr>
        <w:tc>
          <w:tcPr>
            <w:tcW w:w="0" w:type="auto"/>
          </w:tcPr>
          <w:p w:rsidR="00C26D65" w:rsidRDefault="00C26D65" w:rsidP="00C26D65">
            <w:pPr>
              <w:pStyle w:val="Compact"/>
              <w:jc w:val="center"/>
            </w:pPr>
            <w:r>
              <w:rPr>
                <w:b/>
              </w:rPr>
              <w:t>Summer</w:t>
            </w:r>
          </w:p>
        </w:tc>
        <w:tc>
          <w:tcPr>
            <w:tcW w:w="0" w:type="auto"/>
          </w:tcPr>
          <w:p w:rsidR="00C26D65" w:rsidRDefault="00C26D65" w:rsidP="00C26D65">
            <w:pPr>
              <w:pStyle w:val="Compact"/>
              <w:jc w:val="center"/>
            </w:pPr>
            <w:r>
              <w:t>0.4334</w:t>
            </w:r>
          </w:p>
        </w:tc>
        <w:tc>
          <w:tcPr>
            <w:tcW w:w="0" w:type="auto"/>
          </w:tcPr>
          <w:p w:rsidR="00C26D65" w:rsidRDefault="00C26D65" w:rsidP="00C26D65">
            <w:pPr>
              <w:pStyle w:val="Compact"/>
              <w:jc w:val="center"/>
            </w:pPr>
            <w:r>
              <w:t>0.2675</w:t>
            </w:r>
          </w:p>
        </w:tc>
        <w:tc>
          <w:tcPr>
            <w:tcW w:w="0" w:type="auto"/>
          </w:tcPr>
          <w:p w:rsidR="00C26D65" w:rsidRDefault="00C26D65" w:rsidP="00C26D65">
            <w:pPr>
              <w:pStyle w:val="Compact"/>
              <w:jc w:val="center"/>
            </w:pPr>
            <w:r>
              <w:t>1.62</w:t>
            </w:r>
          </w:p>
        </w:tc>
        <w:tc>
          <w:tcPr>
            <w:tcW w:w="0" w:type="auto"/>
          </w:tcPr>
          <w:p w:rsidR="00C26D65" w:rsidRDefault="00C26D65" w:rsidP="00C26D65">
            <w:pPr>
              <w:pStyle w:val="Compact"/>
              <w:jc w:val="center"/>
            </w:pPr>
            <w:r>
              <w:t>0.1052</w:t>
            </w:r>
          </w:p>
        </w:tc>
      </w:tr>
      <w:tr w:rsidR="00C26D65" w:rsidTr="00C26D65">
        <w:trPr>
          <w:jc w:val="center"/>
        </w:trPr>
        <w:tc>
          <w:tcPr>
            <w:tcW w:w="0" w:type="auto"/>
          </w:tcPr>
          <w:p w:rsidR="00C26D65" w:rsidRDefault="00C26D65" w:rsidP="00C26D65">
            <w:pPr>
              <w:pStyle w:val="Compact"/>
              <w:jc w:val="center"/>
            </w:pPr>
            <w:r>
              <w:rPr>
                <w:b/>
              </w:rPr>
              <w:t>Winter</w:t>
            </w:r>
          </w:p>
        </w:tc>
        <w:tc>
          <w:tcPr>
            <w:tcW w:w="0" w:type="auto"/>
          </w:tcPr>
          <w:p w:rsidR="00C26D65" w:rsidRDefault="00C26D65" w:rsidP="00C26D65">
            <w:pPr>
              <w:pStyle w:val="Compact"/>
              <w:jc w:val="center"/>
            </w:pPr>
            <w:r>
              <w:t>-0.3515</w:t>
            </w:r>
          </w:p>
        </w:tc>
        <w:tc>
          <w:tcPr>
            <w:tcW w:w="0" w:type="auto"/>
          </w:tcPr>
          <w:p w:rsidR="00C26D65" w:rsidRDefault="00C26D65" w:rsidP="00C26D65">
            <w:pPr>
              <w:pStyle w:val="Compact"/>
              <w:jc w:val="center"/>
            </w:pPr>
            <w:r>
              <w:t>0.23</w:t>
            </w:r>
          </w:p>
        </w:tc>
        <w:tc>
          <w:tcPr>
            <w:tcW w:w="0" w:type="auto"/>
          </w:tcPr>
          <w:p w:rsidR="00C26D65" w:rsidRDefault="00C26D65" w:rsidP="00C26D65">
            <w:pPr>
              <w:pStyle w:val="Compact"/>
              <w:jc w:val="center"/>
            </w:pPr>
            <w:r>
              <w:t>-1.528</w:t>
            </w:r>
          </w:p>
        </w:tc>
        <w:tc>
          <w:tcPr>
            <w:tcW w:w="0" w:type="auto"/>
          </w:tcPr>
          <w:p w:rsidR="00C26D65" w:rsidRDefault="00C26D65" w:rsidP="00C26D65">
            <w:pPr>
              <w:pStyle w:val="Compact"/>
              <w:jc w:val="center"/>
            </w:pPr>
            <w:r>
              <w:t>0.1264</w:t>
            </w:r>
          </w:p>
        </w:tc>
      </w:tr>
    </w:tbl>
    <w:p w:rsidR="00AE2AC8" w:rsidRDefault="00192005">
      <w:pPr>
        <w:pStyle w:val="BodyText"/>
      </w:pPr>
      <w:r>
        <w:t>Our results suggest that season does not impact whether a given day has a shooting and that having the day be in 2017 is associated with reduced odds in a shooting occuring.</w:t>
      </w:r>
    </w:p>
    <w:sectPr w:rsidR="00AE2AC8" w:rsidSect="00C26D65">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005" w:rsidRDefault="00192005">
      <w:pPr>
        <w:spacing w:after="0"/>
      </w:pPr>
      <w:r>
        <w:separator/>
      </w:r>
    </w:p>
  </w:endnote>
  <w:endnote w:type="continuationSeparator" w:id="0">
    <w:p w:rsidR="00192005" w:rsidRDefault="001920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005" w:rsidRDefault="00192005">
      <w:r>
        <w:separator/>
      </w:r>
    </w:p>
  </w:footnote>
  <w:footnote w:type="continuationSeparator" w:id="0">
    <w:p w:rsidR="00192005" w:rsidRDefault="00192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6C0ECC"/>
    <w:multiLevelType w:val="multilevel"/>
    <w:tmpl w:val="8F2054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804B8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92005"/>
    <w:rsid w:val="004E29B3"/>
    <w:rsid w:val="00590D07"/>
    <w:rsid w:val="00784D58"/>
    <w:rsid w:val="008D6863"/>
    <w:rsid w:val="00AE2AC8"/>
    <w:rsid w:val="00B86B75"/>
    <w:rsid w:val="00BC48D5"/>
    <w:rsid w:val="00C26D6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C257"/>
  <w15:docId w15:val="{87367A29-5B7E-4A92-8035-C627516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C26D6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cityofnewyork.us/Public-Safety/NYPD-Shooting-Incident-Data-Historic-/833y-fsy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Rachel Weber</dc:creator>
  <cp:lastModifiedBy>Weber, Rachel</cp:lastModifiedBy>
  <cp:revision>2</cp:revision>
  <dcterms:created xsi:type="dcterms:W3CDTF">2018-12-12T17:47:00Z</dcterms:created>
  <dcterms:modified xsi:type="dcterms:W3CDTF">2018-12-12T17:47:00Z</dcterms:modified>
</cp:coreProperties>
</file>