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BLOCKCHAIN TRANSACTION RISK ASSESSMENT SUMMARY</w:t>
      </w:r>
    </w:p>
    <w:p>
      <w:pPr>
        <w:jc w:val="center"/>
      </w:pPr>
      <w:r>
        <w:rPr>
          <w:b/>
        </w:rPr>
        <w:t>Analyst: Yvonne Akoth  |  Date: May 24, 2026  |  Classification: CONFIDENTIAL</w:t>
      </w:r>
    </w:p>
    <w:p/>
    <w:p>
      <w:pPr>
        <w:pStyle w:val="Heading1"/>
      </w:pPr>
      <w:r>
        <w:t>1. Executive Summary</w:t>
      </w:r>
    </w:p>
    <w:p>
      <w:r>
        <w:t>This report presents findings from a forensic network analysis of 203,769 Bitcoin transactions spanning 49 blockchain time steps, commissioned by the CBN and NFIU. Of the total, 4,545 transactions are confirmed illicit, 42,019 licit, and 157,205 unlabelled. Analysis focused on 13,376 structurally critical transactions selected via betweenness centrality from a directed payment-flow graph of over 234,000 edges.</w:t>
      </w:r>
    </w:p>
    <w:p>
      <w:pPr>
        <w:pStyle w:val="Heading1"/>
      </w:pPr>
      <w:r>
        <w:t>2. Highest-Risk Nodes</w:t>
      </w:r>
    </w:p>
    <w:p>
      <w:r>
        <w:t>A composite risk score (betweenness 35%, PageRank 30%, out-degree 20%, in-degree 15%) identified three priority transactions:</w:t>
      </w:r>
    </w:p>
    <w:p>
      <w:pPr>
        <w:pStyle w:val="ListNumber"/>
      </w:pPr>
      <w:r>
        <w:rPr>
          <w:b/>
        </w:rPr>
        <w:t>Transaction 157,592  (Unknown | Risk 0.6162)</w:t>
      </w:r>
      <w:r>
        <w:t xml:space="preserve">  — Bridges multiple clusters. Consistent with a laundering relay receiving from diverse sources and redistributing across community boundaries.</w:t>
      </w:r>
    </w:p>
    <w:p>
      <w:pPr>
        <w:pStyle w:val="ListNumber"/>
      </w:pPr>
      <w:r>
        <w:rPr>
          <w:b/>
        </w:rPr>
        <w:t>Transaction 38,779  (Unknown | Risk 0.5405)</w:t>
      </w:r>
      <w:r>
        <w:t xml:space="preserve">  — High betweenness indicates fund-flow mediation between disconnected segments — the defining signature of the layering phase.</w:t>
      </w:r>
    </w:p>
    <w:p>
      <w:pPr>
        <w:pStyle w:val="ListNumber"/>
      </w:pPr>
      <w:r>
        <w:rPr>
          <w:b/>
        </w:rPr>
        <w:t>Transaction 198,775  (Unknown | Risk 0.4510)</w:t>
      </w:r>
      <w:r>
        <w:t xml:space="preserve">  — Elevated PageRank places it deep within a suspicious hierarchy. Structurally proximate to confirmed-illicit clusters.</w:t>
      </w:r>
    </w:p>
    <w:p>
      <w:r>
        <w:t>Pattern detection flagged 7 layering nodes and 86 fan-out nodes. Of 93 flagged transactions, 68 were unlabelled and 18 were licit — none confirmed illicit — underscoring the compliance risk posed by the unlabelled population, which occupies structurally suspicious network positions despite lacking confirmed labels.</w:t>
      </w:r>
    </w:p>
    <w:p>
      <w:pPr>
        <w:pStyle w:val="Heading1"/>
      </w:pPr>
      <w:r>
        <w:t>3. Most Suspicious Cluster</w:t>
      </w:r>
    </w:p>
    <w:p>
      <w:r>
        <w:t>Community detection identified a 10-transaction cluster with 40% illicit concentration — approximately 18× the dataset-wide rate. The cluster exhibits hub-and-spoke structure: central nodes receive funds from multiple anonymous sources and redistribute rapidly to downstream wallets, consistent with cryptocurrency mixing and the layering phase of the AML cycle. Bridge nodes connecting this cluster to the broader network are highest-priority targets for wallet attribution and SAR escalation.</w:t>
      </w:r>
    </w:p>
    <w:p>
      <w:pPr>
        <w:pStyle w:val="Heading1"/>
      </w:pPr>
      <w:r>
        <w:t>4. Recommendations</w:t>
      </w:r>
    </w:p>
    <w:p>
      <w:pPr>
        <w:pStyle w:val="ListNumber"/>
      </w:pPr>
      <w:r>
        <w:rPr>
          <w:b/>
        </w:rPr>
        <w:t>On-Chain Wallet Attribution</w:t>
      </w:r>
      <w:r>
        <w:t xml:space="preserve">  — Submit the three highest-risk nodes and all 86 fan-out flagged transactions to a blockchain intelligence platform (Chainalysis, Elliptic, or TRM Labs) for wallet-ownership attribution. Identities uncovered will trigger SAR obligations under NFIU Directive No. 1 of 2019.</w:t>
      </w:r>
    </w:p>
    <w:p>
      <w:r>
        <w:rPr>
          <w:i/>
        </w:rPr>
        <w:t>Owner: AML Investigations Team &amp; Blockchain Intelligence Unit</w:t>
      </w:r>
    </w:p>
    <w:p>
      <w:pPr>
        <w:pStyle w:val="ListNumber"/>
      </w:pPr>
      <w:r>
        <w:rPr>
          <w:b/>
        </w:rPr>
        <w:t>Automated Transaction Monitoring Rules</w:t>
      </w:r>
      <w:r>
        <w:t xml:space="preserve">  — Update the rule engine to flag transactions receiving from 2+ sources and sending to 5+ unique destinations within a 3-timestep window. Thresholds are empirically derived from this analysis.</w:t>
      </w:r>
    </w:p>
    <w:p>
      <w:r>
        <w:rPr>
          <w:i/>
        </w:rPr>
        <w:t>Owner: Transaction Monitoring Unit &amp; Compliance Technology Team</w:t>
      </w:r>
    </w:p>
    <w:p>
      <w:pPr>
        <w:pStyle w:val="Heading1"/>
      </w:pPr>
      <w:r>
        <w:t>5. Data Limitation</w:t>
      </w:r>
    </w:p>
    <w:p>
      <w:r>
        <w:t>157,205 transactions (77.1%) carry no confirmed class label. Conclusions from unlabelled nodes are actionable intelligence leads pending wallet attribution, not confirmed regulatory findings. The true illicit scale almost certainly exceeds the 4,545 confirmed figure. Future work should prioritise label enrichment through on-chain intelligence integration to reduce this attribution gap before regulatory submission.</w:t>
      </w:r>
    </w:p>
    <w:p/>
    <w:p>
      <w:r>
        <w:t>Prepared using the Elliptic Bitcoin Transaction Dataset. All findings are grounded in structural network analysis and should be corroborated with on-chain intelligence before formal escalation.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