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140" w:line="264" w:lineRule="auto"/>
      </w:pPr>
      <w:r>
        <w:rPr>
          <w:rFonts w:ascii="Arial" w:hAnsi="Arial"/>
          <w:b/>
          <w:i w:val="0"/>
          <w:color w:val="2E74B5"/>
          <w:sz w:val="20"/>
        </w:rPr>
        <w:t>SOLUTION GAP ANALYSIS</w:t>
      </w:r>
    </w:p>
    <w:p>
      <w:pPr>
        <w:keepLines/>
        <w:spacing w:before="0" w:after="120" w:line="240" w:lineRule="auto"/>
      </w:pPr>
      <w:r>
        <w:rPr>
          <w:rFonts w:ascii="Arial" w:hAnsi="Arial"/>
          <w:b/>
          <w:i w:val="0"/>
          <w:color w:val="0B2545"/>
          <w:sz w:val="52"/>
        </w:rPr>
        <w:t>Optivian Solution Gap Analysis</w:t>
        <w:br/>
        <w:t>and Action Plan</w:t>
      </w:r>
    </w:p>
    <w:p>
      <w:pPr>
        <w:keepLines/>
        <w:spacing w:before="0" w:after="320" w:line="264" w:lineRule="auto"/>
      </w:pPr>
      <w:r>
        <w:rPr>
          <w:rFonts w:ascii="Arial" w:hAnsi="Arial"/>
          <w:b w:val="0"/>
          <w:i w:val="0"/>
          <w:color w:val="5F6B7A"/>
          <w:sz w:val="27"/>
        </w:rPr>
        <w:t>Closing the data, intelligence, and deployment gaps required to move from insights to governed actions</w:t>
      </w:r>
    </w:p>
    <w:p>
      <w:pPr>
        <w:spacing w:before="0" w:after="60" w:line="252" w:lineRule="auto"/>
      </w:pPr>
      <w:r>
        <w:rPr>
          <w:rFonts w:ascii="Arial" w:hAnsi="Arial"/>
          <w:b/>
          <w:i w:val="0"/>
          <w:color w:val="0B2545"/>
          <w:sz w:val="21"/>
        </w:rPr>
        <w:t xml:space="preserve">Purpose: </w:t>
      </w:r>
      <w:r>
        <w:rPr>
          <w:rFonts w:ascii="Arial" w:hAnsi="Arial"/>
          <w:b w:val="0"/>
          <w:i w:val="0"/>
          <w:color w:val="000000"/>
          <w:sz w:val="21"/>
        </w:rPr>
        <w:t>Align business, data, product, and cloud teams on the highest-priority solution gaps and the work required to close them.</w:t>
      </w:r>
    </w:p>
    <w:p>
      <w:pPr>
        <w:spacing w:before="0" w:after="60" w:line="252" w:lineRule="auto"/>
      </w:pPr>
      <w:r>
        <w:rPr>
          <w:rFonts w:ascii="Arial" w:hAnsi="Arial"/>
          <w:b/>
          <w:i w:val="0"/>
          <w:color w:val="0B2545"/>
          <w:sz w:val="21"/>
        </w:rPr>
        <w:t xml:space="preserve">Assessment status: </w:t>
      </w:r>
      <w:r>
        <w:rPr>
          <w:rFonts w:ascii="Arial" w:hAnsi="Arial"/>
          <w:b w:val="0"/>
          <w:i w:val="0"/>
          <w:color w:val="000000"/>
          <w:sz w:val="21"/>
        </w:rPr>
        <w:t>Working draft for stakeholder validation</w:t>
      </w:r>
    </w:p>
    <w:p>
      <w:pPr>
        <w:spacing w:before="0" w:after="60" w:line="252" w:lineRule="auto"/>
      </w:pPr>
      <w:r>
        <w:rPr>
          <w:rFonts w:ascii="Arial" w:hAnsi="Arial"/>
          <w:b/>
          <w:i w:val="0"/>
          <w:color w:val="0B2545"/>
          <w:sz w:val="21"/>
        </w:rPr>
        <w:t xml:space="preserve">Basis: </w:t>
      </w:r>
      <w:r>
        <w:rPr>
          <w:rFonts w:ascii="Arial" w:hAnsi="Arial"/>
          <w:b w:val="0"/>
          <w:i w:val="0"/>
          <w:color w:val="000000"/>
          <w:sz w:val="21"/>
        </w:rPr>
        <w:t>Current solution understanding and stakeholder input supplied for this assessment</w:t>
      </w:r>
    </w:p>
    <w:p>
      <w:pPr>
        <w:spacing w:before="0" w:after="60" w:line="252" w:lineRule="auto"/>
      </w:pPr>
      <w:r>
        <w:rPr>
          <w:rFonts w:ascii="Arial" w:hAnsi="Arial"/>
          <w:b/>
          <w:i w:val="0"/>
          <w:color w:val="0B2545"/>
          <w:sz w:val="21"/>
        </w:rPr>
        <w:t xml:space="preserve">Date: </w:t>
      </w:r>
      <w:r>
        <w:rPr>
          <w:rFonts w:ascii="Arial" w:hAnsi="Arial"/>
          <w:b w:val="0"/>
          <w:i w:val="0"/>
          <w:color w:val="000000"/>
          <w:sz w:val="21"/>
        </w:rPr>
        <w:t>8 September 2026</w:t>
      </w:r>
    </w:p>
    <w:p>
      <w:pPr>
        <w:spacing w:after="280"/>
        <w:pBdr>
          <w:bottom w:val="single" w:sz="12" w:space="8" w:color="2E74B5"/>
        </w:pBdr>
      </w:pPr>
    </w:p>
    <w:tbl>
      <w:tblPr>
        <w:tblW w:type="dxa" w:w="9360"/>
        <w:tblLayout w:type="fixed"/>
        <w:tblLook w:firstColumn="1" w:firstRow="1" w:lastColumn="0" w:lastRow="0" w:noHBand="0" w:noVBand="1" w:val="04A0"/>
        <w:tblInd w:w="120" w:type="dxa"/>
        <w:tblBorders>
          <w:top w:val="single" w:sz="4" w:space="0" w:color="EAF2F8"/>
          <w:left w:val="single" w:sz="4" w:space="0" w:color="EAF2F8"/>
          <w:bottom w:val="single" w:sz="4" w:space="0" w:color="EAF2F8"/>
          <w:right w:val="single" w:sz="4" w:space="0" w:color="EAF2F8"/>
          <w:insideH w:val="single" w:sz="4" w:space="0" w:color="EAF2F8"/>
          <w:insideV w:val="single" w:sz="4" w:space="0" w:color="EAF2F8"/>
        </w:tblBorders>
      </w:tblPr>
      <w:tblGrid>
        <w:gridCol w:w="9360"/>
      </w:tblGrid>
      <w:tr>
        <w:trPr>
          <w:cantSplit w:val="true"/>
        </w:trPr>
        <w:tc>
          <w:tcPr>
            <w:tcW w:type="dxa" w:w="9360"/>
            <w:tcMar>
              <w:top w:w="80" w:type="dxa"/>
              <w:start w:w="120" w:type="dxa"/>
              <w:bottom w:w="80" w:type="dxa"/>
              <w:end w:w="120" w:type="dxa"/>
            </w:tcMar>
            <w:vAlign w:val="center"/>
            <w:shd w:fill="EAF2F8"/>
          </w:tcPr>
          <w:p>
            <w:pPr>
              <w:pStyle w:val="CalloutLabel"/>
            </w:pPr>
            <w:r>
              <w:t>Executive takeaway</w:t>
            </w:r>
          </w:p>
          <w:p>
            <w:pPr>
              <w:spacing w:after="0"/>
            </w:pPr>
            <w:r>
              <w:t>Optivian has the core ingredients of a data-centric categorization and enrichment solution, but it is not yet operating as a fully integrated, repeatable platform. The immediate priorities are to establish the data foundation and business operating model, control the cost of ingesting contracts longer than 100 pages, and prove the complete AWS workflow. Categorization, enrichment, and business actions can then operate on trusted data with predictable processing costs.</w:t>
            </w:r>
          </w:p>
        </w:tc>
      </w:tr>
    </w:tbl>
    <w:p>
      <w:pPr>
        <w:spacing w:after="60"/>
      </w:pPr>
    </w:p>
    <w:p>
      <w:pPr>
        <w:pStyle w:val="Heading1"/>
      </w:pPr>
      <w:r>
        <w:t>Executive summary</w:t>
      </w:r>
    </w:p>
    <w:p>
      <w:pPr>
        <w:keepLines w:val="0"/>
        <w:spacing w:before="0" w:after="120" w:line="264" w:lineRule="auto"/>
      </w:pPr>
      <w:r>
        <w:rPr>
          <w:rFonts w:ascii="Arial" w:hAnsi="Arial"/>
          <w:b w:val="0"/>
          <w:i w:val="0"/>
          <w:color w:val="000000"/>
          <w:sz w:val="22"/>
        </w:rPr>
        <w:t>Six interdependent gaps currently limit solution reliability, scalability, and actionability:</w:t>
      </w:r>
    </w:p>
    <w:p>
      <w:pPr>
        <w:numPr>
          <w:ilvl w:val="0"/>
          <w:numId w:val="10"/>
        </w:numPr>
        <w:spacing w:after="160" w:line="280" w:lineRule="auto"/>
      </w:pPr>
      <w:r>
        <w:rPr>
          <w:rFonts w:ascii="Arial" w:hAnsi="Arial"/>
          <w:b/>
          <w:i w:val="0"/>
          <w:color w:val="0B2545"/>
          <w:sz w:val="22"/>
        </w:rPr>
        <w:t xml:space="preserve">No defined data lake foundation. </w:t>
      </w:r>
      <w:r>
        <w:rPr>
          <w:rFonts w:ascii="Arial" w:hAnsi="Arial"/>
          <w:b w:val="0"/>
          <w:i w:val="0"/>
          <w:color w:val="000000"/>
          <w:sz w:val="22"/>
        </w:rPr>
        <w:t>The architecture, storage structure, governance controls, and repeatable pipelines for external data loads and updates still need to be designed.</w:t>
      </w:r>
    </w:p>
    <w:p>
      <w:pPr>
        <w:numPr>
          <w:ilvl w:val="0"/>
          <w:numId w:val="10"/>
        </w:numPr>
        <w:spacing w:after="160" w:line="280" w:lineRule="auto"/>
      </w:pPr>
      <w:r>
        <w:rPr>
          <w:rFonts w:ascii="Arial" w:hAnsi="Arial"/>
          <w:b/>
          <w:i w:val="0"/>
          <w:color w:val="0B2545"/>
          <w:sz w:val="22"/>
        </w:rPr>
        <w:t xml:space="preserve">Categorization quality is constrained. </w:t>
      </w:r>
      <w:r>
        <w:rPr>
          <w:rFonts w:ascii="Arial" w:hAnsi="Arial"/>
          <w:b w:val="0"/>
          <w:i w:val="0"/>
          <w:color w:val="000000"/>
          <w:sz w:val="22"/>
        </w:rPr>
        <w:t>UNSPSC-based categorization is limited by the quality and fit of the taxonomy and, most importantly, by the absence of sufficient reliable labeled training data.</w:t>
      </w:r>
    </w:p>
    <w:p>
      <w:pPr>
        <w:numPr>
          <w:ilvl w:val="0"/>
          <w:numId w:val="10"/>
        </w:numPr>
        <w:spacing w:after="160" w:line="280" w:lineRule="auto"/>
      </w:pPr>
      <w:r>
        <w:rPr>
          <w:rFonts w:ascii="Arial" w:hAnsi="Arial"/>
          <w:b/>
          <w:i w:val="0"/>
          <w:color w:val="0B2545"/>
          <w:sz w:val="22"/>
        </w:rPr>
        <w:t xml:space="preserve">Internal ingestion is not aligned with business operations. </w:t>
      </w:r>
      <w:r>
        <w:rPr>
          <w:rFonts w:ascii="Arial" w:hAnsi="Arial"/>
          <w:b w:val="0"/>
          <w:i w:val="0"/>
          <w:color w:val="000000"/>
          <w:sz w:val="22"/>
        </w:rPr>
        <w:t>The technical flow cannot be finalized until source ownership, business rules, refresh expectations, reconciliation, and exception handling are agreed.</w:t>
      </w:r>
    </w:p>
    <w:p>
      <w:pPr>
        <w:numPr>
          <w:ilvl w:val="0"/>
          <w:numId w:val="10"/>
        </w:numPr>
        <w:spacing w:after="160" w:line="280" w:lineRule="auto"/>
      </w:pPr>
      <w:r>
        <w:rPr>
          <w:rFonts w:ascii="Arial" w:hAnsi="Arial"/>
          <w:b/>
          <w:i w:val="0"/>
          <w:color w:val="0B2545"/>
          <w:sz w:val="22"/>
        </w:rPr>
        <w:t xml:space="preserve">Contract PDF ingestion is not cost efficient for extra-large contracts. </w:t>
      </w:r>
      <w:r>
        <w:rPr>
          <w:rFonts w:ascii="Arial" w:hAnsi="Arial"/>
          <w:b w:val="0"/>
          <w:i w:val="0"/>
          <w:color w:val="000000"/>
          <w:sz w:val="22"/>
        </w:rPr>
        <w:t>The current approach does not yet control or predict processing cost for contracts longer than 100 pages.</w:t>
      </w:r>
    </w:p>
    <w:p>
      <w:pPr>
        <w:numPr>
          <w:ilvl w:val="0"/>
          <w:numId w:val="10"/>
        </w:numPr>
        <w:spacing w:after="160" w:line="280" w:lineRule="auto"/>
      </w:pPr>
      <w:r>
        <w:rPr>
          <w:rFonts w:ascii="Arial" w:hAnsi="Arial"/>
          <w:b/>
          <w:i w:val="0"/>
          <w:color w:val="0B2545"/>
          <w:sz w:val="22"/>
        </w:rPr>
        <w:t xml:space="preserve">Enrichment is not refined enough. </w:t>
      </w:r>
      <w:r>
        <w:rPr>
          <w:rFonts w:ascii="Arial" w:hAnsi="Arial"/>
          <w:b w:val="0"/>
          <w:i w:val="0"/>
          <w:color w:val="000000"/>
          <w:sz w:val="22"/>
        </w:rPr>
        <w:t>Configurations need greater precision, governance, versioning, and contextual rules to produce consistent outputs across data domains and customers.</w:t>
      </w:r>
    </w:p>
    <w:p>
      <w:pPr>
        <w:numPr>
          <w:ilvl w:val="0"/>
          <w:numId w:val="10"/>
        </w:numPr>
        <w:spacing w:after="160" w:line="280" w:lineRule="auto"/>
      </w:pPr>
      <w:r>
        <w:rPr>
          <w:rFonts w:ascii="Arial" w:hAnsi="Arial"/>
          <w:b/>
          <w:i w:val="0"/>
          <w:color w:val="0B2545"/>
          <w:sz w:val="22"/>
        </w:rPr>
        <w:t xml:space="preserve">AWS deployment is incomplete end to end. </w:t>
      </w:r>
      <w:r>
        <w:rPr>
          <w:rFonts w:ascii="Arial" w:hAnsi="Arial"/>
          <w:b w:val="0"/>
          <w:i w:val="0"/>
          <w:color w:val="000000"/>
          <w:sz w:val="22"/>
        </w:rPr>
        <w:t>Infrastructure components exist, but integration, orchestration, release controls, observability, and successful execution of complete workflows remain open.</w:t>
      </w:r>
    </w:p>
    <w:tbl>
      <w:tblPr>
        <w:tblW w:type="dxa" w:w="9360"/>
        <w:tblLayout w:type="fixed"/>
        <w:tblLook w:firstColumn="1" w:firstRow="1" w:lastColumn="0" w:lastRow="0" w:noHBand="0" w:noVBand="1" w:val="04A0"/>
        <w:tblInd w:w="120" w:type="dxa"/>
        <w:tblBorders>
          <w:top w:val="single" w:sz="4" w:space="0" w:color="E8F3ED"/>
          <w:left w:val="single" w:sz="4" w:space="0" w:color="E8F3ED"/>
          <w:bottom w:val="single" w:sz="4" w:space="0" w:color="E8F3ED"/>
          <w:right w:val="single" w:sz="4" w:space="0" w:color="E8F3ED"/>
          <w:insideH w:val="single" w:sz="4" w:space="0" w:color="E8F3ED"/>
          <w:insideV w:val="single" w:sz="4" w:space="0" w:color="E8F3ED"/>
        </w:tblBorders>
      </w:tblPr>
      <w:tblGrid>
        <w:gridCol w:w="9360"/>
      </w:tblGrid>
      <w:tr>
        <w:trPr>
          <w:cantSplit w:val="true"/>
        </w:trPr>
        <w:tc>
          <w:tcPr>
            <w:tcW w:type="dxa" w:w="9360"/>
            <w:tcMar>
              <w:top w:w="80" w:type="dxa"/>
              <w:start w:w="120" w:type="dxa"/>
              <w:bottom w:w="80" w:type="dxa"/>
              <w:end w:w="120" w:type="dxa"/>
            </w:tcMar>
            <w:vAlign w:val="center"/>
            <w:shd w:fill="E8F3ED"/>
          </w:tcPr>
          <w:p>
            <w:pPr>
              <w:pStyle w:val="CalloutLabel"/>
            </w:pPr>
            <w:r>
              <w:t>What closing the gaps unlocks</w:t>
            </w:r>
          </w:p>
          <w:p>
            <w:pPr>
              <w:spacing w:after="0"/>
            </w:pPr>
            <w:r>
              <w:t>Trusted and current datasets, cost-predictable contract processing, measurable categorization, governed enrichment, reliable cloud execution, and an auditable path from detected conditions to business-approved actions.</w:t>
            </w:r>
          </w:p>
        </w:tc>
      </w:tr>
    </w:tbl>
    <w:p>
      <w:pPr>
        <w:spacing w:after="60"/>
      </w:pPr>
    </w:p>
    <w:p>
      <w:pPr>
        <w:pStyle w:val="Heading1"/>
      </w:pPr>
      <w:r>
        <w:t>1. Assessment basis and scope</w:t>
      </w:r>
    </w:p>
    <w:p>
      <w:pPr>
        <w:keepLines w:val="0"/>
        <w:spacing w:before="0" w:after="120" w:line="264" w:lineRule="auto"/>
      </w:pPr>
      <w:r>
        <w:rPr>
          <w:rFonts w:ascii="Arial" w:hAnsi="Arial"/>
          <w:b w:val="0"/>
          <w:i w:val="0"/>
          <w:color w:val="000000"/>
          <w:sz w:val="22"/>
        </w:rPr>
        <w:t>This document treats Optivian as a data-centric solution that ingests internal and external records and contract PDFs, categorizes them—including through UNSPSC—enriches them, and executes workflows in AWS. It focuses on readiness gaps and a practical route to closure; it does not claim that a detailed architecture review, data profiling exercise, model evaluation, PDF-processing cost study, or production-readiness test has already been completed.</w:t>
      </w:r>
    </w:p>
    <w:tbl>
      <w:tblPr>
        <w:tblW w:type="dxa" w:w="9360"/>
        <w:tblLayout w:type="fixed"/>
        <w:tblLook w:firstColumn="1" w:firstRow="1" w:lastColumn="0" w:lastRow="0" w:noHBand="0" w:noVBand="1" w:val="04A0"/>
        <w:tblInd w:w="120" w:type="dxa"/>
        <w:tblBorders>
          <w:top w:val="single" w:sz="4" w:space="0" w:color="FFF4CE"/>
          <w:left w:val="single" w:sz="4" w:space="0" w:color="FFF4CE"/>
          <w:bottom w:val="single" w:sz="4" w:space="0" w:color="FFF4CE"/>
          <w:right w:val="single" w:sz="4" w:space="0" w:color="FFF4CE"/>
          <w:insideH w:val="single" w:sz="4" w:space="0" w:color="FFF4CE"/>
          <w:insideV w:val="single" w:sz="4" w:space="0" w:color="FFF4CE"/>
        </w:tblBorders>
      </w:tblPr>
      <w:tblGrid>
        <w:gridCol w:w="9360"/>
      </w:tblGrid>
      <w:tr>
        <w:trPr>
          <w:cantSplit w:val="true"/>
        </w:trPr>
        <w:tc>
          <w:tcPr>
            <w:tcW w:type="dxa" w:w="9360"/>
            <w:tcMar>
              <w:top w:w="80" w:type="dxa"/>
              <w:start w:w="120" w:type="dxa"/>
              <w:bottom w:w="80" w:type="dxa"/>
              <w:end w:w="120" w:type="dxa"/>
            </w:tcMar>
            <w:vAlign w:val="center"/>
            <w:shd w:fill="FFF4CE"/>
          </w:tcPr>
          <w:p>
            <w:pPr>
              <w:pStyle w:val="CalloutLabel"/>
            </w:pPr>
            <w:r>
              <w:t>Validation boundary</w:t>
            </w:r>
          </w:p>
          <w:p>
            <w:pPr>
              <w:spacing w:after="0"/>
            </w:pPr>
            <w:r>
              <w:t>The target designs and delivery sequence below are recommendations. Service choices, data volumes, contract formats and quality, regulatory constraints, source-system behavior, and current AWS implementation details must be confirmed during discovery before estimates and technical designs are baselined.</w:t>
            </w:r>
          </w:p>
        </w:tc>
      </w:tr>
    </w:tbl>
    <w:p>
      <w:pPr>
        <w:spacing w:after="60"/>
      </w:pPr>
    </w:p>
    <w:p>
      <w:pPr>
        <w:pStyle w:val="Heading2"/>
      </w:pPr>
      <w:r>
        <w:t>Gap dependency view</w:t>
      </w:r>
    </w:p>
    <w:p>
      <w:pPr>
        <w:keepLines w:val="0"/>
        <w:spacing w:before="0" w:after="120" w:line="264" w:lineRule="auto"/>
      </w:pPr>
      <w:r>
        <w:rPr>
          <w:rFonts w:ascii="Arial" w:hAnsi="Arial"/>
          <w:b w:val="0"/>
          <w:i w:val="0"/>
          <w:color w:val="000000"/>
          <w:sz w:val="22"/>
        </w:rPr>
        <w:t>The gaps should not be treated as independent backlog items. They form a dependency chain:</w:t>
      </w:r>
    </w:p>
    <w:p>
      <w:pPr>
        <w:numPr>
          <w:ilvl w:val="0"/>
          <w:numId w:val="11"/>
        </w:numPr>
        <w:spacing w:after="160" w:line="280" w:lineRule="auto"/>
      </w:pPr>
      <w:r>
        <w:rPr>
          <w:rFonts w:ascii="Arial" w:hAnsi="Arial"/>
          <w:b/>
          <w:i w:val="0"/>
          <w:color w:val="0B2545"/>
          <w:sz w:val="22"/>
        </w:rPr>
        <w:t xml:space="preserve">Business alignment: </w:t>
      </w:r>
      <w:r>
        <w:rPr>
          <w:rFonts w:ascii="Arial" w:hAnsi="Arial"/>
          <w:b w:val="0"/>
          <w:i w:val="0"/>
          <w:color w:val="000000"/>
          <w:sz w:val="22"/>
        </w:rPr>
        <w:t>defines ownership, meaning, service levels, and acceptance rules.</w:t>
      </w:r>
    </w:p>
    <w:p>
      <w:pPr>
        <w:numPr>
          <w:ilvl w:val="0"/>
          <w:numId w:val="11"/>
        </w:numPr>
        <w:spacing w:after="160" w:line="280" w:lineRule="auto"/>
      </w:pPr>
      <w:r>
        <w:rPr>
          <w:rFonts w:ascii="Arial" w:hAnsi="Arial"/>
          <w:b/>
          <w:i w:val="0"/>
          <w:color w:val="0B2545"/>
          <w:sz w:val="22"/>
        </w:rPr>
        <w:t xml:space="preserve">Data lake and pipelines: </w:t>
      </w:r>
      <w:r>
        <w:rPr>
          <w:rFonts w:ascii="Arial" w:hAnsi="Arial"/>
          <w:b w:val="0"/>
          <w:i w:val="0"/>
          <w:color w:val="000000"/>
          <w:sz w:val="22"/>
        </w:rPr>
        <w:t>provide governed, replayable, and current source data.</w:t>
      </w:r>
    </w:p>
    <w:p>
      <w:pPr>
        <w:numPr>
          <w:ilvl w:val="0"/>
          <w:numId w:val="11"/>
        </w:numPr>
        <w:spacing w:after="160" w:line="280" w:lineRule="auto"/>
      </w:pPr>
      <w:r>
        <w:rPr>
          <w:rFonts w:ascii="Arial" w:hAnsi="Arial"/>
          <w:b/>
          <w:i w:val="0"/>
          <w:color w:val="0B2545"/>
          <w:sz w:val="22"/>
        </w:rPr>
        <w:t xml:space="preserve">Data quality controls: </w:t>
      </w:r>
      <w:r>
        <w:rPr>
          <w:rFonts w:ascii="Arial" w:hAnsi="Arial"/>
          <w:b w:val="0"/>
          <w:i w:val="0"/>
          <w:color w:val="000000"/>
          <w:sz w:val="22"/>
        </w:rPr>
        <w:t>create trustworthy inputs and reliable labeled examples.</w:t>
      </w:r>
    </w:p>
    <w:p>
      <w:pPr>
        <w:numPr>
          <w:ilvl w:val="0"/>
          <w:numId w:val="11"/>
        </w:numPr>
        <w:spacing w:after="160" w:line="280" w:lineRule="auto"/>
      </w:pPr>
      <w:r>
        <w:rPr>
          <w:rFonts w:ascii="Arial" w:hAnsi="Arial"/>
          <w:b/>
          <w:i w:val="0"/>
          <w:color w:val="0B2545"/>
          <w:sz w:val="22"/>
        </w:rPr>
        <w:t xml:space="preserve">Contract processing controls: </w:t>
      </w:r>
      <w:r>
        <w:rPr>
          <w:rFonts w:ascii="Arial" w:hAnsi="Arial"/>
          <w:b w:val="0"/>
          <w:i w:val="0"/>
          <w:color w:val="000000"/>
          <w:sz w:val="22"/>
        </w:rPr>
        <w:t>make extraction quality and cost predictable for documents longer than 100 pages.</w:t>
      </w:r>
    </w:p>
    <w:p>
      <w:pPr>
        <w:numPr>
          <w:ilvl w:val="0"/>
          <w:numId w:val="11"/>
        </w:numPr>
        <w:spacing w:after="160" w:line="280" w:lineRule="auto"/>
      </w:pPr>
      <w:r>
        <w:rPr>
          <w:rFonts w:ascii="Arial" w:hAnsi="Arial"/>
          <w:b/>
          <w:i w:val="0"/>
          <w:color w:val="0B2545"/>
          <w:sz w:val="22"/>
        </w:rPr>
        <w:t xml:space="preserve">Categorization and enrichment: </w:t>
      </w:r>
      <w:r>
        <w:rPr>
          <w:rFonts w:ascii="Arial" w:hAnsi="Arial"/>
          <w:b w:val="0"/>
          <w:i w:val="0"/>
          <w:color w:val="000000"/>
          <w:sz w:val="22"/>
        </w:rPr>
        <w:t>turn trusted inputs into explainable, usable intelligence.</w:t>
      </w:r>
    </w:p>
    <w:p>
      <w:pPr>
        <w:numPr>
          <w:ilvl w:val="0"/>
          <w:numId w:val="11"/>
        </w:numPr>
        <w:spacing w:after="160" w:line="280" w:lineRule="auto"/>
      </w:pPr>
      <w:r>
        <w:rPr>
          <w:rFonts w:ascii="Arial" w:hAnsi="Arial"/>
          <w:b/>
          <w:i w:val="0"/>
          <w:color w:val="0B2545"/>
          <w:sz w:val="22"/>
        </w:rPr>
        <w:t xml:space="preserve">AWS workflow integration: </w:t>
      </w:r>
      <w:r>
        <w:rPr>
          <w:rFonts w:ascii="Arial" w:hAnsi="Arial"/>
          <w:b w:val="0"/>
          <w:i w:val="0"/>
          <w:color w:val="000000"/>
          <w:sz w:val="22"/>
        </w:rPr>
        <w:t>operationalizes the complete flow with security, monitoring, and recovery.</w:t>
      </w:r>
    </w:p>
    <w:p>
      <w:pPr>
        <w:numPr>
          <w:ilvl w:val="0"/>
          <w:numId w:val="11"/>
        </w:numPr>
        <w:spacing w:after="160" w:line="280" w:lineRule="auto"/>
      </w:pPr>
      <w:r>
        <w:rPr>
          <w:rFonts w:ascii="Arial" w:hAnsi="Arial"/>
          <w:b/>
          <w:i w:val="0"/>
          <w:color w:val="0B2545"/>
          <w:sz w:val="22"/>
        </w:rPr>
        <w:t xml:space="preserve">Action layer: </w:t>
      </w:r>
      <w:r>
        <w:rPr>
          <w:rFonts w:ascii="Arial" w:hAnsi="Arial"/>
          <w:b w:val="0"/>
          <w:i w:val="0"/>
          <w:color w:val="000000"/>
          <w:sz w:val="22"/>
        </w:rPr>
        <w:t>converts governed outputs into recommendations, alerts, approvals, and workflow triggers.</w:t>
      </w:r>
    </w:p>
    <w:p>
      <w:pPr>
        <w:pStyle w:val="Heading1"/>
      </w:pPr>
      <w:r>
        <w:t>2. Data lake architecture and pipeline foundation</w:t>
      </w:r>
    </w:p>
    <w:tbl>
      <w:tblPr>
        <w:tblW w:type="dxa" w:w="9360"/>
        <w:tblLayout w:type="fixed"/>
        <w:tblLook w:firstColumn="1" w:firstRow="1" w:lastColumn="0" w:lastRow="0" w:noHBand="0" w:noVBand="1" w:val="04A0"/>
        <w:tblInd w:w="120" w:type="dxa"/>
        <w:tblBorders>
          <w:top w:val="single" w:sz="4" w:space="0" w:color="FDEBEC"/>
          <w:left w:val="single" w:sz="4" w:space="0" w:color="FDEBEC"/>
          <w:bottom w:val="single" w:sz="4" w:space="0" w:color="FDEBEC"/>
          <w:right w:val="single" w:sz="4" w:space="0" w:color="FDEBEC"/>
          <w:insideH w:val="single" w:sz="4" w:space="0" w:color="FDEBEC"/>
          <w:insideV w:val="single" w:sz="4" w:space="0" w:color="FDEBEC"/>
        </w:tblBorders>
      </w:tblPr>
      <w:tblGrid>
        <w:gridCol w:w="9360"/>
      </w:tblGrid>
      <w:tr>
        <w:trPr>
          <w:cantSplit w:val="true"/>
        </w:trPr>
        <w:tc>
          <w:tcPr>
            <w:tcW w:type="dxa" w:w="9360"/>
            <w:tcMar>
              <w:top w:w="80" w:type="dxa"/>
              <w:start w:w="120" w:type="dxa"/>
              <w:bottom w:w="80" w:type="dxa"/>
              <w:end w:w="120" w:type="dxa"/>
            </w:tcMar>
            <w:vAlign w:val="center"/>
            <w:shd w:fill="FDEBEC"/>
          </w:tcPr>
          <w:p>
            <w:pPr>
              <w:pStyle w:val="CalloutLabel"/>
            </w:pPr>
            <w:r>
              <w:t>Gap statement</w:t>
            </w:r>
          </w:p>
          <w:p>
            <w:pPr>
              <w:spacing w:after="0"/>
            </w:pPr>
            <w:r>
              <w:t>Optivian does not yet have a defined data lake architecture and operating structure. The platform therefore lacks an agreed system of record for raw, standardized, curated, and consumption-ready data, together with reliable mechanisms for initial loads, updates, reprocessing, and publication.</w:t>
            </w:r>
          </w:p>
        </w:tc>
      </w:tr>
    </w:tbl>
    <w:p>
      <w:pPr>
        <w:spacing w:after="60"/>
      </w:pPr>
    </w:p>
    <w:p>
      <w:pPr>
        <w:pStyle w:val="Heading2"/>
      </w:pPr>
      <w:r>
        <w:t>Why it matters</w:t>
      </w:r>
    </w:p>
    <w:p>
      <w:pPr>
        <w:numPr>
          <w:ilvl w:val="0"/>
          <w:numId w:val="10"/>
        </w:numPr>
        <w:spacing w:after="160" w:line="280" w:lineRule="auto"/>
      </w:pPr>
      <w:r>
        <w:rPr>
          <w:rFonts w:ascii="Arial" w:hAnsi="Arial"/>
          <w:b/>
          <w:i w:val="0"/>
          <w:color w:val="0B2545"/>
          <w:sz w:val="22"/>
        </w:rPr>
        <w:t xml:space="preserve">Uncontrolled data lifecycle. </w:t>
      </w:r>
      <w:r>
        <w:rPr>
          <w:rFonts w:ascii="Arial" w:hAnsi="Arial"/>
          <w:b w:val="0"/>
          <w:i w:val="0"/>
          <w:color w:val="000000"/>
          <w:sz w:val="22"/>
        </w:rPr>
        <w:t>Without defined zones, retention, lineage, and ownership, teams cannot consistently determine which dataset is authoritative or reproducible.</w:t>
      </w:r>
    </w:p>
    <w:p>
      <w:pPr>
        <w:numPr>
          <w:ilvl w:val="0"/>
          <w:numId w:val="10"/>
        </w:numPr>
        <w:spacing w:after="160" w:line="280" w:lineRule="auto"/>
      </w:pPr>
      <w:r>
        <w:rPr>
          <w:rFonts w:ascii="Arial" w:hAnsi="Arial"/>
          <w:b/>
          <w:i w:val="0"/>
          <w:color w:val="0B2545"/>
          <w:sz w:val="22"/>
        </w:rPr>
        <w:t xml:space="preserve">Fragile refreshes. </w:t>
      </w:r>
      <w:r>
        <w:rPr>
          <w:rFonts w:ascii="Arial" w:hAnsi="Arial"/>
          <w:b w:val="0"/>
          <w:i w:val="0"/>
          <w:color w:val="000000"/>
          <w:sz w:val="22"/>
        </w:rPr>
        <w:t>External data loading and updates risk becoming source-specific manual processes with inconsistent schedules and failure handling.</w:t>
      </w:r>
    </w:p>
    <w:p>
      <w:pPr>
        <w:numPr>
          <w:ilvl w:val="0"/>
          <w:numId w:val="10"/>
        </w:numPr>
        <w:spacing w:after="160" w:line="280" w:lineRule="auto"/>
      </w:pPr>
      <w:r>
        <w:rPr>
          <w:rFonts w:ascii="Arial" w:hAnsi="Arial"/>
          <w:b/>
          <w:i w:val="0"/>
          <w:color w:val="0B2545"/>
          <w:sz w:val="22"/>
        </w:rPr>
        <w:t xml:space="preserve">Weak downstream confidence. </w:t>
      </w:r>
      <w:r>
        <w:rPr>
          <w:rFonts w:ascii="Arial" w:hAnsi="Arial"/>
          <w:b w:val="0"/>
          <w:i w:val="0"/>
          <w:color w:val="000000"/>
          <w:sz w:val="22"/>
        </w:rPr>
        <w:t>Categorization, enrichment, analytics, and actions inherit unknown freshness and quality issues.</w:t>
      </w:r>
    </w:p>
    <w:p>
      <w:pPr>
        <w:numPr>
          <w:ilvl w:val="0"/>
          <w:numId w:val="10"/>
        </w:numPr>
        <w:spacing w:after="160" w:line="280" w:lineRule="auto"/>
      </w:pPr>
      <w:r>
        <w:rPr>
          <w:rFonts w:ascii="Arial" w:hAnsi="Arial"/>
          <w:b/>
          <w:i w:val="0"/>
          <w:color w:val="0B2545"/>
          <w:sz w:val="22"/>
        </w:rPr>
        <w:t xml:space="preserve">Higher operating cost. </w:t>
      </w:r>
      <w:r>
        <w:rPr>
          <w:rFonts w:ascii="Arial" w:hAnsi="Arial"/>
          <w:b w:val="0"/>
          <w:i w:val="0"/>
          <w:color w:val="000000"/>
          <w:sz w:val="22"/>
        </w:rPr>
        <w:t>Reprocessing, audits, onboarding new sources, and incident recovery become slower and more dependent on individual knowledge.</w:t>
      </w:r>
    </w:p>
    <w:p>
      <w:pPr>
        <w:pStyle w:val="Heading2"/>
      </w:pPr>
      <w:r>
        <w:t>Target capability</w:t>
      </w:r>
    </w:p>
    <w:p>
      <w:pPr>
        <w:keepLines w:val="0"/>
        <w:spacing w:before="0" w:after="120" w:line="264" w:lineRule="auto"/>
      </w:pPr>
      <w:r>
        <w:rPr>
          <w:rFonts w:ascii="Arial" w:hAnsi="Arial"/>
          <w:b w:val="0"/>
          <w:i w:val="0"/>
          <w:color w:val="000000"/>
          <w:sz w:val="22"/>
        </w:rPr>
        <w:t>A governed data platform with explicit storage zones, data contracts, metadata and lineage, quality gates, orchestration, observability, and replayable pipelines. The design should separate immutable source capture from standardized data and business-ready products, while keeping security and cost controls visible.</w:t>
      </w:r>
    </w:p>
    <w:p>
      <w:pPr>
        <w:pStyle w:val="Heading2"/>
      </w:pPr>
      <w:r>
        <w:t>Recommended actions</w:t>
      </w:r>
    </w:p>
    <w:p>
      <w:pPr>
        <w:numPr>
          <w:ilvl w:val="0"/>
          <w:numId w:val="10"/>
        </w:numPr>
        <w:spacing w:after="160" w:line="280" w:lineRule="auto"/>
      </w:pPr>
      <w:r>
        <w:rPr>
          <w:rFonts w:ascii="Arial" w:hAnsi="Arial"/>
          <w:b/>
          <w:i w:val="0"/>
          <w:color w:val="0B2545"/>
          <w:sz w:val="22"/>
        </w:rPr>
        <w:t xml:space="preserve">Define the logical architecture. </w:t>
      </w:r>
      <w:r>
        <w:rPr>
          <w:rFonts w:ascii="Arial" w:hAnsi="Arial"/>
          <w:b w:val="0"/>
          <w:i w:val="0"/>
          <w:color w:val="000000"/>
          <w:sz w:val="22"/>
        </w:rPr>
        <w:t>Agree the landing/raw, standardized, curated, and consumption layers; define partitioning, naming, retention, security boundaries, metadata, and lineage requirements.</w:t>
      </w:r>
    </w:p>
    <w:p>
      <w:pPr>
        <w:numPr>
          <w:ilvl w:val="0"/>
          <w:numId w:val="10"/>
        </w:numPr>
        <w:spacing w:after="160" w:line="280" w:lineRule="auto"/>
      </w:pPr>
      <w:r>
        <w:rPr>
          <w:rFonts w:ascii="Arial" w:hAnsi="Arial"/>
          <w:b/>
          <w:i w:val="0"/>
          <w:color w:val="0B2545"/>
          <w:sz w:val="22"/>
        </w:rPr>
        <w:t xml:space="preserve">Create a source onboarding standard. </w:t>
      </w:r>
      <w:r>
        <w:rPr>
          <w:rFonts w:ascii="Arial" w:hAnsi="Arial"/>
          <w:b w:val="0"/>
          <w:i w:val="0"/>
          <w:color w:val="000000"/>
          <w:sz w:val="22"/>
        </w:rPr>
        <w:t>Use one contract covering ownership, schema, keys, update method, expected volume, cadence, quality rules, sensitive fields, and recovery behavior.</w:t>
      </w:r>
    </w:p>
    <w:p>
      <w:pPr>
        <w:numPr>
          <w:ilvl w:val="0"/>
          <w:numId w:val="10"/>
        </w:numPr>
        <w:spacing w:after="160" w:line="280" w:lineRule="auto"/>
      </w:pPr>
      <w:r>
        <w:rPr>
          <w:rFonts w:ascii="Arial" w:hAnsi="Arial"/>
          <w:b/>
          <w:i w:val="0"/>
          <w:color w:val="0B2545"/>
          <w:sz w:val="22"/>
        </w:rPr>
        <w:t xml:space="preserve">Design pipeline patterns. </w:t>
      </w:r>
      <w:r>
        <w:rPr>
          <w:rFonts w:ascii="Arial" w:hAnsi="Arial"/>
          <w:b w:val="0"/>
          <w:i w:val="0"/>
          <w:color w:val="000000"/>
          <w:sz w:val="22"/>
        </w:rPr>
        <w:t>Standardize full loads, incremental updates, reference-data synchronization, quarantine, replay, backfill, and curated publication.</w:t>
      </w:r>
    </w:p>
    <w:p>
      <w:pPr>
        <w:numPr>
          <w:ilvl w:val="0"/>
          <w:numId w:val="10"/>
        </w:numPr>
        <w:spacing w:after="160" w:line="280" w:lineRule="auto"/>
      </w:pPr>
      <w:r>
        <w:rPr>
          <w:rFonts w:ascii="Arial" w:hAnsi="Arial"/>
          <w:b/>
          <w:i w:val="0"/>
          <w:color w:val="0B2545"/>
          <w:sz w:val="22"/>
        </w:rPr>
        <w:t xml:space="preserve">Implement control-plane capabilities. </w:t>
      </w:r>
      <w:r>
        <w:rPr>
          <w:rFonts w:ascii="Arial" w:hAnsi="Arial"/>
          <w:b w:val="0"/>
          <w:i w:val="0"/>
          <w:color w:val="000000"/>
          <w:sz w:val="22"/>
        </w:rPr>
        <w:t>Track run status, freshness, record counts, quality failures, lineage, cost, and service-level indicators in one operational view.</w:t>
      </w:r>
    </w:p>
    <w:p>
      <w:pPr>
        <w:numPr>
          <w:ilvl w:val="0"/>
          <w:numId w:val="10"/>
        </w:numPr>
        <w:spacing w:after="160" w:line="280" w:lineRule="auto"/>
      </w:pPr>
      <w:r>
        <w:rPr>
          <w:rFonts w:ascii="Arial" w:hAnsi="Arial"/>
          <w:b/>
          <w:i w:val="0"/>
          <w:color w:val="0B2545"/>
          <w:sz w:val="22"/>
        </w:rPr>
        <w:t xml:space="preserve">Prove the pattern with priority sources. </w:t>
      </w:r>
      <w:r>
        <w:rPr>
          <w:rFonts w:ascii="Arial" w:hAnsi="Arial"/>
          <w:b w:val="0"/>
          <w:i w:val="0"/>
          <w:color w:val="000000"/>
          <w:sz w:val="22"/>
        </w:rPr>
        <w:t>Choose representative external and internal sources, run them end to end, and use the result to finalize reusable templates.</w:t>
      </w:r>
    </w:p>
    <w:p>
      <w:pPr>
        <w:pStyle w:val="Heading2"/>
      </w:pPr>
      <w:r>
        <w:t>Required pipeline patterns</w:t>
      </w:r>
    </w:p>
    <w:tbl>
      <w:tblPr>
        <w:tblW w:type="dxa" w:w="9360"/>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700"/>
        <w:gridCol w:w="2600"/>
        <w:gridCol w:w="2600"/>
        <w:gridCol w:w="2460"/>
      </w:tblGrid>
      <w:tr>
        <w:trPr>
          <w:tblHeader w:val="true"/>
          <w:cantSplit w:val="true"/>
        </w:trPr>
        <w:tc>
          <w:tcPr>
            <w:tcW w:type="dxa" w:w="1700"/>
            <w:tcMar>
              <w:top w:w="80" w:type="dxa"/>
              <w:start w:w="120" w:type="dxa"/>
              <w:bottom w:w="80" w:type="dxa"/>
              <w:end w:w="120" w:type="dxa"/>
            </w:tcMar>
            <w:vAlign w:val="center"/>
            <w:shd w:fill="F2F4F7"/>
          </w:tcPr>
          <w:p>
            <w:pPr>
              <w:pStyle w:val="TableHeader"/>
              <w:jc w:val="left"/>
            </w:pPr>
            <w:r>
              <w:rPr>
                <w:rFonts w:ascii="Arial" w:hAnsi="Arial"/>
                <w:b/>
                <w:i w:val="0"/>
                <w:color w:val="0B2545"/>
                <w:sz w:val="17"/>
              </w:rPr>
              <w:t>Pattern</w:t>
            </w:r>
          </w:p>
        </w:tc>
        <w:tc>
          <w:tcPr>
            <w:tcW w:type="dxa" w:w="2600"/>
            <w:tcMar>
              <w:top w:w="80" w:type="dxa"/>
              <w:start w:w="120" w:type="dxa"/>
              <w:bottom w:w="80" w:type="dxa"/>
              <w:end w:w="120" w:type="dxa"/>
            </w:tcMar>
            <w:vAlign w:val="center"/>
            <w:shd w:fill="F2F4F7"/>
          </w:tcPr>
          <w:p>
            <w:pPr>
              <w:pStyle w:val="TableHeader"/>
              <w:jc w:val="left"/>
            </w:pPr>
            <w:r>
              <w:rPr>
                <w:rFonts w:ascii="Arial" w:hAnsi="Arial"/>
                <w:b/>
                <w:i w:val="0"/>
                <w:color w:val="0B2545"/>
                <w:sz w:val="17"/>
              </w:rPr>
              <w:t>Purpose</w:t>
            </w:r>
          </w:p>
        </w:tc>
        <w:tc>
          <w:tcPr>
            <w:tcW w:type="dxa" w:w="2600"/>
            <w:tcMar>
              <w:top w:w="80" w:type="dxa"/>
              <w:start w:w="120" w:type="dxa"/>
              <w:bottom w:w="80" w:type="dxa"/>
              <w:end w:w="120" w:type="dxa"/>
            </w:tcMar>
            <w:vAlign w:val="center"/>
            <w:shd w:fill="F2F4F7"/>
          </w:tcPr>
          <w:p>
            <w:pPr>
              <w:pStyle w:val="TableHeader"/>
              <w:jc w:val="left"/>
            </w:pPr>
            <w:r>
              <w:rPr>
                <w:rFonts w:ascii="Arial" w:hAnsi="Arial"/>
                <w:b/>
                <w:i w:val="0"/>
                <w:color w:val="0B2545"/>
                <w:sz w:val="17"/>
              </w:rPr>
              <w:t>Minimum controls</w:t>
            </w:r>
          </w:p>
        </w:tc>
        <w:tc>
          <w:tcPr>
            <w:tcW w:type="dxa" w:w="2460"/>
            <w:tcMar>
              <w:top w:w="80" w:type="dxa"/>
              <w:start w:w="120" w:type="dxa"/>
              <w:bottom w:w="80" w:type="dxa"/>
              <w:end w:w="120" w:type="dxa"/>
            </w:tcMar>
            <w:vAlign w:val="center"/>
            <w:shd w:fill="F2F4F7"/>
          </w:tcPr>
          <w:p>
            <w:pPr>
              <w:pStyle w:val="TableHeader"/>
              <w:jc w:val="left"/>
            </w:pPr>
            <w:r>
              <w:rPr>
                <w:rFonts w:ascii="Arial" w:hAnsi="Arial"/>
                <w:b/>
                <w:i w:val="0"/>
                <w:color w:val="0B2545"/>
                <w:sz w:val="17"/>
              </w:rPr>
              <w:t>Recovery expectation</w:t>
            </w:r>
          </w:p>
        </w:tc>
      </w:tr>
      <w:tr>
        <w:trPr>
          <w:cantSplit w:val="true"/>
        </w:trPr>
        <w:tc>
          <w:tcPr>
            <w:tcW w:type="dxa" w:w="1700"/>
            <w:tcMar>
              <w:top w:w="80" w:type="dxa"/>
              <w:start w:w="120" w:type="dxa"/>
              <w:bottom w:w="80" w:type="dxa"/>
              <w:end w:w="120" w:type="dxa"/>
            </w:tcMar>
            <w:vAlign w:val="center"/>
          </w:tcPr>
          <w:p>
            <w:pPr>
              <w:pStyle w:val="TableText"/>
            </w:pPr>
            <w:r>
              <w:rPr>
                <w:rFonts w:ascii="Arial" w:hAnsi="Arial"/>
                <w:b w:val="0"/>
                <w:i w:val="0"/>
                <w:color w:val="000000"/>
                <w:sz w:val="17"/>
              </w:rPr>
              <w:t>Initial load / backfill</w:t>
            </w:r>
          </w:p>
        </w:tc>
        <w:tc>
          <w:tcPr>
            <w:tcW w:type="dxa" w:w="2600"/>
            <w:tcMar>
              <w:top w:w="80" w:type="dxa"/>
              <w:start w:w="120" w:type="dxa"/>
              <w:bottom w:w="80" w:type="dxa"/>
              <w:end w:w="120" w:type="dxa"/>
            </w:tcMar>
            <w:vAlign w:val="center"/>
          </w:tcPr>
          <w:p>
            <w:pPr>
              <w:pStyle w:val="TableText"/>
            </w:pPr>
            <w:r>
              <w:rPr>
                <w:rFonts w:ascii="Arial" w:hAnsi="Arial"/>
                <w:b w:val="0"/>
                <w:i w:val="0"/>
                <w:color w:val="000000"/>
                <w:sz w:val="17"/>
              </w:rPr>
              <w:t>Acquire full history; preserve source snapshot and load metadata.</w:t>
            </w:r>
          </w:p>
        </w:tc>
        <w:tc>
          <w:tcPr>
            <w:tcW w:type="dxa" w:w="2600"/>
            <w:tcMar>
              <w:top w:w="80" w:type="dxa"/>
              <w:start w:w="120" w:type="dxa"/>
              <w:bottom w:w="80" w:type="dxa"/>
              <w:end w:w="120" w:type="dxa"/>
            </w:tcMar>
            <w:vAlign w:val="center"/>
          </w:tcPr>
          <w:p>
            <w:pPr>
              <w:pStyle w:val="TableText"/>
            </w:pPr>
            <w:r>
              <w:rPr>
                <w:rFonts w:ascii="Arial" w:hAnsi="Arial"/>
                <w:b w:val="0"/>
                <w:i w:val="0"/>
                <w:color w:val="000000"/>
                <w:sz w:val="17"/>
              </w:rPr>
              <w:t>Completeness, duplicates, schema, row counts</w:t>
            </w:r>
          </w:p>
        </w:tc>
        <w:tc>
          <w:tcPr>
            <w:tcW w:type="dxa" w:w="2460"/>
            <w:tcMar>
              <w:top w:w="80" w:type="dxa"/>
              <w:start w:w="120" w:type="dxa"/>
              <w:bottom w:w="80" w:type="dxa"/>
              <w:end w:w="120" w:type="dxa"/>
            </w:tcMar>
            <w:vAlign w:val="center"/>
          </w:tcPr>
          <w:p>
            <w:pPr>
              <w:pStyle w:val="TableText"/>
            </w:pPr>
            <w:r>
              <w:rPr>
                <w:rFonts w:ascii="Arial" w:hAnsi="Arial"/>
                <w:b w:val="0"/>
                <w:i w:val="0"/>
                <w:color w:val="000000"/>
                <w:sz w:val="17"/>
              </w:rPr>
              <w:t>Re-runnable without corrupting curated data</w:t>
            </w:r>
          </w:p>
        </w:tc>
      </w:tr>
      <w:tr>
        <w:trPr>
          <w:cantSplit w:val="true"/>
        </w:trPr>
        <w:tc>
          <w:tcPr>
            <w:tcW w:type="dxa" w:w="1700"/>
            <w:shd w:fill="FAFBFC"/>
            <w:tcMar>
              <w:top w:w="80" w:type="dxa"/>
              <w:start w:w="120" w:type="dxa"/>
              <w:bottom w:w="80" w:type="dxa"/>
              <w:end w:w="120" w:type="dxa"/>
            </w:tcMar>
            <w:vAlign w:val="center"/>
          </w:tcPr>
          <w:p>
            <w:pPr>
              <w:pStyle w:val="TableText"/>
            </w:pPr>
            <w:r>
              <w:rPr>
                <w:rFonts w:ascii="Arial" w:hAnsi="Arial"/>
                <w:b w:val="0"/>
                <w:i w:val="0"/>
                <w:color w:val="000000"/>
                <w:sz w:val="17"/>
              </w:rPr>
              <w:t>Incremental update</w:t>
            </w:r>
          </w:p>
        </w:tc>
        <w:tc>
          <w:tcPr>
            <w:tcW w:type="dxa" w:w="2600"/>
            <w:shd w:fill="FAFBFC"/>
            <w:tcMar>
              <w:top w:w="80" w:type="dxa"/>
              <w:start w:w="120" w:type="dxa"/>
              <w:bottom w:w="80" w:type="dxa"/>
              <w:end w:w="120" w:type="dxa"/>
            </w:tcMar>
            <w:vAlign w:val="center"/>
          </w:tcPr>
          <w:p>
            <w:pPr>
              <w:pStyle w:val="TableText"/>
            </w:pPr>
            <w:r>
              <w:rPr>
                <w:rFonts w:ascii="Arial" w:hAnsi="Arial"/>
                <w:b w:val="0"/>
                <w:i w:val="0"/>
                <w:color w:val="000000"/>
                <w:sz w:val="17"/>
              </w:rPr>
              <w:t>Apply inserts, changes, and deletions using source-supported methods.</w:t>
            </w:r>
          </w:p>
        </w:tc>
        <w:tc>
          <w:tcPr>
            <w:tcW w:type="dxa" w:w="2600"/>
            <w:shd w:fill="FAFBFC"/>
            <w:tcMar>
              <w:top w:w="80" w:type="dxa"/>
              <w:start w:w="120" w:type="dxa"/>
              <w:bottom w:w="80" w:type="dxa"/>
              <w:end w:w="120" w:type="dxa"/>
            </w:tcMar>
            <w:vAlign w:val="center"/>
          </w:tcPr>
          <w:p>
            <w:pPr>
              <w:pStyle w:val="TableText"/>
            </w:pPr>
            <w:r>
              <w:rPr>
                <w:rFonts w:ascii="Arial" w:hAnsi="Arial"/>
                <w:b w:val="0"/>
                <w:i w:val="0"/>
                <w:color w:val="000000"/>
                <w:sz w:val="17"/>
              </w:rPr>
              <w:t>Freshness, sequence gaps, late arrivals</w:t>
            </w:r>
          </w:p>
        </w:tc>
        <w:tc>
          <w:tcPr>
            <w:tcW w:type="dxa" w:w="2460"/>
            <w:shd w:fill="FAFBFC"/>
            <w:tcMar>
              <w:top w:w="80" w:type="dxa"/>
              <w:start w:w="120" w:type="dxa"/>
              <w:bottom w:w="80" w:type="dxa"/>
              <w:end w:w="120" w:type="dxa"/>
            </w:tcMar>
            <w:vAlign w:val="center"/>
          </w:tcPr>
          <w:p>
            <w:pPr>
              <w:pStyle w:val="TableText"/>
            </w:pPr>
            <w:r>
              <w:rPr>
                <w:rFonts w:ascii="Arial" w:hAnsi="Arial"/>
                <w:b w:val="0"/>
                <w:i w:val="0"/>
                <w:color w:val="000000"/>
                <w:sz w:val="17"/>
              </w:rPr>
              <w:t>Idempotent processing and checkpoints</w:t>
            </w:r>
          </w:p>
        </w:tc>
      </w:tr>
      <w:tr>
        <w:trPr>
          <w:cantSplit w:val="true"/>
        </w:trPr>
        <w:tc>
          <w:tcPr>
            <w:tcW w:type="dxa" w:w="1700"/>
            <w:tcMar>
              <w:top w:w="80" w:type="dxa"/>
              <w:start w:w="120" w:type="dxa"/>
              <w:bottom w:w="80" w:type="dxa"/>
              <w:end w:w="120" w:type="dxa"/>
            </w:tcMar>
            <w:vAlign w:val="center"/>
          </w:tcPr>
          <w:p>
            <w:pPr>
              <w:pStyle w:val="TableText"/>
            </w:pPr>
            <w:r>
              <w:rPr>
                <w:rFonts w:ascii="Arial" w:hAnsi="Arial"/>
                <w:b w:val="0"/>
                <w:i w:val="0"/>
                <w:color w:val="000000"/>
                <w:sz w:val="17"/>
              </w:rPr>
              <w:t>Reference-data sync</w:t>
            </w:r>
          </w:p>
        </w:tc>
        <w:tc>
          <w:tcPr>
            <w:tcW w:type="dxa" w:w="2600"/>
            <w:tcMar>
              <w:top w:w="80" w:type="dxa"/>
              <w:start w:w="120" w:type="dxa"/>
              <w:bottom w:w="80" w:type="dxa"/>
              <w:end w:w="120" w:type="dxa"/>
            </w:tcMar>
            <w:vAlign w:val="center"/>
          </w:tcPr>
          <w:p>
            <w:pPr>
              <w:pStyle w:val="TableText"/>
            </w:pPr>
            <w:r>
              <w:rPr>
                <w:rFonts w:ascii="Arial" w:hAnsi="Arial"/>
                <w:b w:val="0"/>
                <w:i w:val="0"/>
                <w:color w:val="000000"/>
                <w:sz w:val="17"/>
              </w:rPr>
              <w:t>Refresh taxonomies, mappings, supplier or product references.</w:t>
            </w:r>
          </w:p>
        </w:tc>
        <w:tc>
          <w:tcPr>
            <w:tcW w:type="dxa" w:w="2600"/>
            <w:tcMar>
              <w:top w:w="80" w:type="dxa"/>
              <w:start w:w="120" w:type="dxa"/>
              <w:bottom w:w="80" w:type="dxa"/>
              <w:end w:w="120" w:type="dxa"/>
            </w:tcMar>
            <w:vAlign w:val="center"/>
          </w:tcPr>
          <w:p>
            <w:pPr>
              <w:pStyle w:val="TableText"/>
            </w:pPr>
            <w:r>
              <w:rPr>
                <w:rFonts w:ascii="Arial" w:hAnsi="Arial"/>
                <w:b w:val="0"/>
                <w:i w:val="0"/>
                <w:color w:val="000000"/>
                <w:sz w:val="17"/>
              </w:rPr>
              <w:t>Version, effective date, referential integrity</w:t>
            </w:r>
          </w:p>
        </w:tc>
        <w:tc>
          <w:tcPr>
            <w:tcW w:type="dxa" w:w="2460"/>
            <w:tcMar>
              <w:top w:w="80" w:type="dxa"/>
              <w:start w:w="120" w:type="dxa"/>
              <w:bottom w:w="80" w:type="dxa"/>
              <w:end w:w="120" w:type="dxa"/>
            </w:tcMar>
            <w:vAlign w:val="center"/>
          </w:tcPr>
          <w:p>
            <w:pPr>
              <w:pStyle w:val="TableText"/>
            </w:pPr>
            <w:r>
              <w:rPr>
                <w:rFonts w:ascii="Arial" w:hAnsi="Arial"/>
                <w:b w:val="0"/>
                <w:i w:val="0"/>
                <w:color w:val="000000"/>
                <w:sz w:val="17"/>
              </w:rPr>
              <w:t>Versioned publication with rollback</w:t>
            </w:r>
          </w:p>
        </w:tc>
      </w:tr>
      <w:tr>
        <w:trPr>
          <w:cantSplit w:val="true"/>
        </w:trPr>
        <w:tc>
          <w:tcPr>
            <w:tcW w:type="dxa" w:w="1700"/>
            <w:shd w:fill="FAFBFC"/>
            <w:tcMar>
              <w:top w:w="80" w:type="dxa"/>
              <w:start w:w="120" w:type="dxa"/>
              <w:bottom w:w="80" w:type="dxa"/>
              <w:end w:w="120" w:type="dxa"/>
            </w:tcMar>
            <w:vAlign w:val="center"/>
          </w:tcPr>
          <w:p>
            <w:pPr>
              <w:pStyle w:val="TableText"/>
            </w:pPr>
            <w:r>
              <w:rPr>
                <w:rFonts w:ascii="Arial" w:hAnsi="Arial"/>
                <w:b w:val="0"/>
                <w:i w:val="0"/>
                <w:color w:val="000000"/>
                <w:sz w:val="17"/>
              </w:rPr>
              <w:t>Quality quarantine</w:t>
            </w:r>
          </w:p>
        </w:tc>
        <w:tc>
          <w:tcPr>
            <w:tcW w:type="dxa" w:w="2600"/>
            <w:shd w:fill="FAFBFC"/>
            <w:tcMar>
              <w:top w:w="80" w:type="dxa"/>
              <w:start w:w="120" w:type="dxa"/>
              <w:bottom w:w="80" w:type="dxa"/>
              <w:end w:w="120" w:type="dxa"/>
            </w:tcMar>
            <w:vAlign w:val="center"/>
          </w:tcPr>
          <w:p>
            <w:pPr>
              <w:pStyle w:val="TableText"/>
            </w:pPr>
            <w:r>
              <w:rPr>
                <w:rFonts w:ascii="Arial" w:hAnsi="Arial"/>
                <w:b w:val="0"/>
                <w:i w:val="0"/>
                <w:color w:val="000000"/>
                <w:sz w:val="17"/>
              </w:rPr>
              <w:t>Separate invalid or uncertain records from accepted data.</w:t>
            </w:r>
          </w:p>
        </w:tc>
        <w:tc>
          <w:tcPr>
            <w:tcW w:type="dxa" w:w="2600"/>
            <w:shd w:fill="FAFBFC"/>
            <w:tcMar>
              <w:top w:w="80" w:type="dxa"/>
              <w:start w:w="120" w:type="dxa"/>
              <w:bottom w:w="80" w:type="dxa"/>
              <w:end w:w="120" w:type="dxa"/>
            </w:tcMar>
            <w:vAlign w:val="center"/>
          </w:tcPr>
          <w:p>
            <w:pPr>
              <w:pStyle w:val="TableText"/>
            </w:pPr>
            <w:r>
              <w:rPr>
                <w:rFonts w:ascii="Arial" w:hAnsi="Arial"/>
                <w:b w:val="0"/>
                <w:i w:val="0"/>
                <w:color w:val="000000"/>
                <w:sz w:val="17"/>
              </w:rPr>
              <w:t>Rule failures, thresholds, reason codes</w:t>
            </w:r>
          </w:p>
        </w:tc>
        <w:tc>
          <w:tcPr>
            <w:tcW w:type="dxa" w:w="2460"/>
            <w:shd w:fill="FAFBFC"/>
            <w:tcMar>
              <w:top w:w="80" w:type="dxa"/>
              <w:start w:w="120" w:type="dxa"/>
              <w:bottom w:w="80" w:type="dxa"/>
              <w:end w:w="120" w:type="dxa"/>
            </w:tcMar>
            <w:vAlign w:val="center"/>
          </w:tcPr>
          <w:p>
            <w:pPr>
              <w:pStyle w:val="TableText"/>
            </w:pPr>
            <w:r>
              <w:rPr>
                <w:rFonts w:ascii="Arial" w:hAnsi="Arial"/>
                <w:b w:val="0"/>
                <w:i w:val="0"/>
                <w:color w:val="000000"/>
                <w:sz w:val="17"/>
              </w:rPr>
              <w:t>Correction and controlled replay</w:t>
            </w:r>
          </w:p>
        </w:tc>
      </w:tr>
      <w:tr>
        <w:trPr>
          <w:cantSplit w:val="true"/>
        </w:trPr>
        <w:tc>
          <w:tcPr>
            <w:tcW w:type="dxa" w:w="1700"/>
            <w:tcMar>
              <w:top w:w="80" w:type="dxa"/>
              <w:start w:w="120" w:type="dxa"/>
              <w:bottom w:w="80" w:type="dxa"/>
              <w:end w:w="120" w:type="dxa"/>
            </w:tcMar>
            <w:vAlign w:val="center"/>
          </w:tcPr>
          <w:p>
            <w:pPr>
              <w:pStyle w:val="TableText"/>
            </w:pPr>
            <w:r>
              <w:rPr>
                <w:rFonts w:ascii="Arial" w:hAnsi="Arial"/>
                <w:b w:val="0"/>
                <w:i w:val="0"/>
                <w:color w:val="000000"/>
                <w:sz w:val="17"/>
              </w:rPr>
              <w:t>Curated publication</w:t>
            </w:r>
          </w:p>
        </w:tc>
        <w:tc>
          <w:tcPr>
            <w:tcW w:type="dxa" w:w="2600"/>
            <w:tcMar>
              <w:top w:w="80" w:type="dxa"/>
              <w:start w:w="120" w:type="dxa"/>
              <w:bottom w:w="80" w:type="dxa"/>
              <w:end w:w="120" w:type="dxa"/>
            </w:tcMar>
            <w:vAlign w:val="center"/>
          </w:tcPr>
          <w:p>
            <w:pPr>
              <w:pStyle w:val="TableText"/>
            </w:pPr>
            <w:r>
              <w:rPr>
                <w:rFonts w:ascii="Arial" w:hAnsi="Arial"/>
                <w:b w:val="0"/>
                <w:i w:val="0"/>
                <w:color w:val="000000"/>
                <w:sz w:val="17"/>
              </w:rPr>
              <w:t>Publish approved datasets for models, analytics, APIs, and actions.</w:t>
            </w:r>
          </w:p>
        </w:tc>
        <w:tc>
          <w:tcPr>
            <w:tcW w:type="dxa" w:w="2600"/>
            <w:tcMar>
              <w:top w:w="80" w:type="dxa"/>
              <w:start w:w="120" w:type="dxa"/>
              <w:bottom w:w="80" w:type="dxa"/>
              <w:end w:w="120" w:type="dxa"/>
            </w:tcMar>
            <w:vAlign w:val="center"/>
          </w:tcPr>
          <w:p>
            <w:pPr>
              <w:pStyle w:val="TableText"/>
            </w:pPr>
            <w:r>
              <w:rPr>
                <w:rFonts w:ascii="Arial" w:hAnsi="Arial"/>
                <w:b w:val="0"/>
                <w:i w:val="0"/>
                <w:color w:val="000000"/>
                <w:sz w:val="17"/>
              </w:rPr>
              <w:t>Contract conformance, reconciliation, lineage</w:t>
            </w:r>
          </w:p>
        </w:tc>
        <w:tc>
          <w:tcPr>
            <w:tcW w:type="dxa" w:w="2460"/>
            <w:tcMar>
              <w:top w:w="80" w:type="dxa"/>
              <w:start w:w="120" w:type="dxa"/>
              <w:bottom w:w="80" w:type="dxa"/>
              <w:end w:w="120" w:type="dxa"/>
            </w:tcMar>
            <w:vAlign w:val="center"/>
          </w:tcPr>
          <w:p>
            <w:pPr>
              <w:pStyle w:val="TableText"/>
            </w:pPr>
            <w:r>
              <w:rPr>
                <w:rFonts w:ascii="Arial" w:hAnsi="Arial"/>
                <w:b w:val="0"/>
                <w:i w:val="0"/>
                <w:color w:val="000000"/>
                <w:sz w:val="17"/>
              </w:rPr>
              <w:t>Atomic release with traceable version</w:t>
            </w:r>
          </w:p>
        </w:tc>
      </w:tr>
    </w:tbl>
    <w:p>
      <w:pPr>
        <w:spacing w:before="80" w:after="80"/>
      </w:pPr>
    </w:p>
    <w:p>
      <w:pPr>
        <w:pStyle w:val="Heading1"/>
      </w:pPr>
      <w:r>
        <w:t>3. Categorization and UNSPSC quality limitations</w:t>
      </w:r>
    </w:p>
    <w:tbl>
      <w:tblPr>
        <w:tblW w:type="dxa" w:w="9360"/>
        <w:tblLayout w:type="fixed"/>
        <w:tblLook w:firstColumn="1" w:firstRow="1" w:lastColumn="0" w:lastRow="0" w:noHBand="0" w:noVBand="1" w:val="04A0"/>
        <w:tblInd w:w="120" w:type="dxa"/>
        <w:tblBorders>
          <w:top w:val="single" w:sz="4" w:space="0" w:color="FDEBEC"/>
          <w:left w:val="single" w:sz="4" w:space="0" w:color="FDEBEC"/>
          <w:bottom w:val="single" w:sz="4" w:space="0" w:color="FDEBEC"/>
          <w:right w:val="single" w:sz="4" w:space="0" w:color="FDEBEC"/>
          <w:insideH w:val="single" w:sz="4" w:space="0" w:color="FDEBEC"/>
          <w:insideV w:val="single" w:sz="4" w:space="0" w:color="FDEBEC"/>
        </w:tblBorders>
      </w:tblPr>
      <w:tblGrid>
        <w:gridCol w:w="9360"/>
      </w:tblGrid>
      <w:tr>
        <w:trPr>
          <w:cantSplit w:val="true"/>
        </w:trPr>
        <w:tc>
          <w:tcPr>
            <w:tcW w:type="dxa" w:w="9360"/>
            <w:tcMar>
              <w:top w:w="80" w:type="dxa"/>
              <w:start w:w="120" w:type="dxa"/>
              <w:bottom w:w="80" w:type="dxa"/>
              <w:end w:w="120" w:type="dxa"/>
            </w:tcMar>
            <w:vAlign w:val="center"/>
            <w:shd w:fill="FDEBEC"/>
          </w:tcPr>
          <w:p>
            <w:pPr>
              <w:pStyle w:val="CalloutLabel"/>
            </w:pPr>
            <w:r>
              <w:t>Gap statement</w:t>
            </w:r>
          </w:p>
          <w:p>
            <w:pPr>
              <w:spacing w:after="0"/>
            </w:pPr>
            <w:r>
              <w:t>Categorization quality is constrained by two related issues: UNSPSC may not provide the required business-level precision in every domain, and Optivian lacks enough reliable, representative labeled training data to calibrate and validate categorization consistently.</w:t>
            </w:r>
          </w:p>
        </w:tc>
      </w:tr>
    </w:tbl>
    <w:p>
      <w:pPr>
        <w:spacing w:after="60"/>
      </w:pPr>
    </w:p>
    <w:p>
      <w:pPr>
        <w:pStyle w:val="Heading2"/>
      </w:pPr>
      <w:r>
        <w:t>Why it matters</w:t>
      </w:r>
    </w:p>
    <w:p>
      <w:pPr>
        <w:numPr>
          <w:ilvl w:val="0"/>
          <w:numId w:val="10"/>
        </w:numPr>
        <w:spacing w:after="160" w:line="280" w:lineRule="auto"/>
      </w:pPr>
      <w:r>
        <w:rPr>
          <w:rFonts w:ascii="Arial" w:hAnsi="Arial"/>
          <w:b/>
          <w:i w:val="0"/>
          <w:color w:val="0B2545"/>
          <w:sz w:val="22"/>
        </w:rPr>
        <w:t xml:space="preserve">Classification errors become business errors. </w:t>
      </w:r>
      <w:r>
        <w:rPr>
          <w:rFonts w:ascii="Arial" w:hAnsi="Arial"/>
          <w:b w:val="0"/>
          <w:i w:val="0"/>
          <w:color w:val="000000"/>
          <w:sz w:val="22"/>
        </w:rPr>
        <w:t>Incorrect codes distort spend visibility, sourcing opportunities, supplier analysis, reporting, and any downstream actions.</w:t>
      </w:r>
    </w:p>
    <w:p>
      <w:pPr>
        <w:numPr>
          <w:ilvl w:val="0"/>
          <w:numId w:val="10"/>
        </w:numPr>
        <w:spacing w:after="160" w:line="280" w:lineRule="auto"/>
      </w:pPr>
      <w:r>
        <w:rPr>
          <w:rFonts w:ascii="Arial" w:hAnsi="Arial"/>
          <w:b/>
          <w:i w:val="0"/>
          <w:color w:val="0B2545"/>
          <w:sz w:val="22"/>
        </w:rPr>
        <w:t xml:space="preserve">Accuracy may be misleading. </w:t>
      </w:r>
      <w:r>
        <w:rPr>
          <w:rFonts w:ascii="Arial" w:hAnsi="Arial"/>
          <w:b w:val="0"/>
          <w:i w:val="0"/>
          <w:color w:val="000000"/>
          <w:sz w:val="22"/>
        </w:rPr>
        <w:t>A single global score can conceal weak performance in rare, ambiguous, or strategically important categories.</w:t>
      </w:r>
    </w:p>
    <w:p>
      <w:pPr>
        <w:numPr>
          <w:ilvl w:val="0"/>
          <w:numId w:val="10"/>
        </w:numPr>
        <w:spacing w:after="160" w:line="280" w:lineRule="auto"/>
      </w:pPr>
      <w:r>
        <w:rPr>
          <w:rFonts w:ascii="Arial" w:hAnsi="Arial"/>
          <w:b/>
          <w:i w:val="0"/>
          <w:color w:val="0B2545"/>
          <w:sz w:val="22"/>
        </w:rPr>
        <w:t xml:space="preserve">Taxonomy fit varies. </w:t>
      </w:r>
      <w:r>
        <w:rPr>
          <w:rFonts w:ascii="Arial" w:hAnsi="Arial"/>
          <w:b w:val="0"/>
          <w:i w:val="0"/>
          <w:color w:val="000000"/>
          <w:sz w:val="22"/>
        </w:rPr>
        <w:t>UNSPSC is a broad standard; local terminology, multi-purpose descriptions, and organization-specific category structures may require mapping or supplemental classification.</w:t>
      </w:r>
    </w:p>
    <w:p>
      <w:pPr>
        <w:numPr>
          <w:ilvl w:val="0"/>
          <w:numId w:val="10"/>
        </w:numPr>
        <w:spacing w:after="160" w:line="280" w:lineRule="auto"/>
      </w:pPr>
      <w:r>
        <w:rPr>
          <w:rFonts w:ascii="Arial" w:hAnsi="Arial"/>
          <w:b/>
          <w:i w:val="0"/>
          <w:color w:val="0B2545"/>
          <w:sz w:val="22"/>
        </w:rPr>
        <w:t xml:space="preserve">Model improvement is blocked. </w:t>
      </w:r>
      <w:r>
        <w:rPr>
          <w:rFonts w:ascii="Arial" w:hAnsi="Arial"/>
          <w:b w:val="0"/>
          <w:i w:val="0"/>
          <w:color w:val="000000"/>
          <w:sz w:val="22"/>
        </w:rPr>
        <w:t>Without a governed gold dataset, error analysis, retraining, threshold tuning, and regression testing remain subjective.</w:t>
      </w:r>
    </w:p>
    <w:p>
      <w:pPr>
        <w:pStyle w:val="Heading2"/>
      </w:pPr>
      <w:r>
        <w:t>Target capability</w:t>
      </w:r>
    </w:p>
    <w:p>
      <w:pPr>
        <w:keepLines w:val="0"/>
        <w:spacing w:before="0" w:after="120" w:line="264" w:lineRule="auto"/>
      </w:pPr>
      <w:r>
        <w:rPr>
          <w:rFonts w:ascii="Arial" w:hAnsi="Arial"/>
          <w:b w:val="0"/>
          <w:i w:val="0"/>
          <w:color w:val="000000"/>
          <w:sz w:val="22"/>
        </w:rPr>
        <w:t>A measurable, explainable categorization capability that combines the UNSPSC hierarchy with business-specific mappings, reliable labeled data, confidence thresholds, and human review for uncertain or high-impact cases.</w:t>
      </w:r>
    </w:p>
    <w:p>
      <w:pPr>
        <w:pStyle w:val="Heading2"/>
      </w:pPr>
      <w:r>
        <w:t>Recommended actions</w:t>
      </w:r>
    </w:p>
    <w:p>
      <w:pPr>
        <w:numPr>
          <w:ilvl w:val="0"/>
          <w:numId w:val="10"/>
        </w:numPr>
        <w:spacing w:after="160" w:line="280" w:lineRule="auto"/>
      </w:pPr>
      <w:r>
        <w:rPr>
          <w:rFonts w:ascii="Arial" w:hAnsi="Arial"/>
          <w:b/>
          <w:i w:val="0"/>
          <w:color w:val="0B2545"/>
          <w:sz w:val="22"/>
        </w:rPr>
        <w:t xml:space="preserve">Establish a gold dataset. </w:t>
      </w:r>
      <w:r>
        <w:rPr>
          <w:rFonts w:ascii="Arial" w:hAnsi="Arial"/>
          <w:b w:val="0"/>
          <w:i w:val="0"/>
          <w:color w:val="000000"/>
          <w:sz w:val="22"/>
        </w:rPr>
        <w:t>Sample by source, language, spend, category, and ambiguity; use documented labeling guidance and agreement checks between reviewers.</w:t>
      </w:r>
    </w:p>
    <w:p>
      <w:pPr>
        <w:numPr>
          <w:ilvl w:val="0"/>
          <w:numId w:val="10"/>
        </w:numPr>
        <w:spacing w:after="160" w:line="280" w:lineRule="auto"/>
      </w:pPr>
      <w:r>
        <w:rPr>
          <w:rFonts w:ascii="Arial" w:hAnsi="Arial"/>
          <w:b/>
          <w:i w:val="0"/>
          <w:color w:val="0B2545"/>
          <w:sz w:val="22"/>
        </w:rPr>
        <w:t xml:space="preserve">Profile taxonomy fit. </w:t>
      </w:r>
      <w:r>
        <w:rPr>
          <w:rFonts w:ascii="Arial" w:hAnsi="Arial"/>
          <w:b w:val="0"/>
          <w:i w:val="0"/>
          <w:color w:val="000000"/>
          <w:sz w:val="22"/>
        </w:rPr>
        <w:t>Identify where UNSPSC is sufficient, where mappings are needed, and where a supplemental business taxonomy or rules are required.</w:t>
      </w:r>
    </w:p>
    <w:p>
      <w:pPr>
        <w:numPr>
          <w:ilvl w:val="0"/>
          <w:numId w:val="10"/>
        </w:numPr>
        <w:spacing w:after="160" w:line="280" w:lineRule="auto"/>
      </w:pPr>
      <w:r>
        <w:rPr>
          <w:rFonts w:ascii="Arial" w:hAnsi="Arial"/>
          <w:b/>
          <w:i w:val="0"/>
          <w:color w:val="0B2545"/>
          <w:sz w:val="22"/>
        </w:rPr>
        <w:t xml:space="preserve">Adopt confidence-based routing. </w:t>
      </w:r>
      <w:r>
        <w:rPr>
          <w:rFonts w:ascii="Arial" w:hAnsi="Arial"/>
          <w:b w:val="0"/>
          <w:i w:val="0"/>
          <w:color w:val="000000"/>
          <w:sz w:val="22"/>
        </w:rPr>
        <w:t>Auto-accept high-confidence results, route uncertain records to review, and avoid forcing low-quality predictions into downstream workflows.</w:t>
      </w:r>
    </w:p>
    <w:p>
      <w:pPr>
        <w:numPr>
          <w:ilvl w:val="0"/>
          <w:numId w:val="10"/>
        </w:numPr>
        <w:spacing w:after="160" w:line="280" w:lineRule="auto"/>
      </w:pPr>
      <w:r>
        <w:rPr>
          <w:rFonts w:ascii="Arial" w:hAnsi="Arial"/>
          <w:b/>
          <w:i w:val="0"/>
          <w:color w:val="0B2545"/>
          <w:sz w:val="22"/>
        </w:rPr>
        <w:t xml:space="preserve">Use a hybrid approach. </w:t>
      </w:r>
      <w:r>
        <w:rPr>
          <w:rFonts w:ascii="Arial" w:hAnsi="Arial"/>
          <w:b w:val="0"/>
          <w:i w:val="0"/>
          <w:color w:val="000000"/>
          <w:sz w:val="22"/>
        </w:rPr>
        <w:t>Combine deterministic mappings, dictionaries, hierarchy constraints, and machine-learning classification according to the evidence available for each record.</w:t>
      </w:r>
    </w:p>
    <w:p>
      <w:pPr>
        <w:numPr>
          <w:ilvl w:val="0"/>
          <w:numId w:val="10"/>
        </w:numPr>
        <w:spacing w:after="160" w:line="280" w:lineRule="auto"/>
      </w:pPr>
      <w:r>
        <w:rPr>
          <w:rFonts w:ascii="Arial" w:hAnsi="Arial"/>
          <w:b/>
          <w:i w:val="0"/>
          <w:color w:val="0B2545"/>
          <w:sz w:val="22"/>
        </w:rPr>
        <w:t xml:space="preserve">Measure by business slice. </w:t>
      </w:r>
      <w:r>
        <w:rPr>
          <w:rFonts w:ascii="Arial" w:hAnsi="Arial"/>
          <w:b w:val="0"/>
          <w:i w:val="0"/>
          <w:color w:val="000000"/>
          <w:sz w:val="22"/>
        </w:rPr>
        <w:t>Track precision, recall, coverage, abstention, stability, and review effort by source, category level, spend tier, and language—not only as one aggregate score.</w:t>
      </w:r>
    </w:p>
    <w:p>
      <w:pPr>
        <w:numPr>
          <w:ilvl w:val="0"/>
          <w:numId w:val="10"/>
        </w:numPr>
        <w:spacing w:after="160" w:line="280" w:lineRule="auto"/>
      </w:pPr>
      <w:r>
        <w:rPr>
          <w:rFonts w:ascii="Arial" w:hAnsi="Arial"/>
          <w:b/>
          <w:i w:val="0"/>
          <w:color w:val="0B2545"/>
          <w:sz w:val="22"/>
        </w:rPr>
        <w:t xml:space="preserve">Create a feedback loop. </w:t>
      </w:r>
      <w:r>
        <w:rPr>
          <w:rFonts w:ascii="Arial" w:hAnsi="Arial"/>
          <w:b w:val="0"/>
          <w:i w:val="0"/>
          <w:color w:val="000000"/>
          <w:sz w:val="22"/>
        </w:rPr>
        <w:t>Capture approved corrections as governed labels, retrain or recalibrate under version control, and run regression tests before promotion.</w:t>
      </w:r>
    </w:p>
    <w:p>
      <w:pPr>
        <w:pStyle w:val="Heading2"/>
      </w:pPr>
      <w:r>
        <w:t>Minimum categorization quality framework</w:t>
      </w:r>
    </w:p>
    <w:tbl>
      <w:tblPr>
        <w:tblW w:type="dxa" w:w="9360"/>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900"/>
        <w:gridCol w:w="3000"/>
        <w:gridCol w:w="4460"/>
      </w:tblGrid>
      <w:tr>
        <w:trPr>
          <w:tblHeader w:val="true"/>
          <w:cantSplit w:val="true"/>
        </w:trPr>
        <w:tc>
          <w:tcPr>
            <w:tcW w:type="dxa" w:w="1900"/>
            <w:tcMar>
              <w:top w:w="80" w:type="dxa"/>
              <w:start w:w="120" w:type="dxa"/>
              <w:bottom w:w="80" w:type="dxa"/>
              <w:end w:w="120" w:type="dxa"/>
            </w:tcMar>
            <w:vAlign w:val="center"/>
            <w:shd w:fill="F2F4F7"/>
          </w:tcPr>
          <w:p>
            <w:pPr>
              <w:pStyle w:val="TableHeader"/>
              <w:jc w:val="left"/>
            </w:pPr>
            <w:r>
              <w:rPr>
                <w:rFonts w:ascii="Arial" w:hAnsi="Arial"/>
                <w:b/>
                <w:i w:val="0"/>
                <w:color w:val="0B2545"/>
                <w:sz w:val="18"/>
              </w:rPr>
              <w:t>Control area</w:t>
            </w:r>
          </w:p>
        </w:tc>
        <w:tc>
          <w:tcPr>
            <w:tcW w:type="dxa" w:w="3000"/>
            <w:tcMar>
              <w:top w:w="80" w:type="dxa"/>
              <w:start w:w="120" w:type="dxa"/>
              <w:bottom w:w="80" w:type="dxa"/>
              <w:end w:w="120" w:type="dxa"/>
            </w:tcMar>
            <w:vAlign w:val="center"/>
            <w:shd w:fill="F2F4F7"/>
          </w:tcPr>
          <w:p>
            <w:pPr>
              <w:pStyle w:val="TableHeader"/>
              <w:jc w:val="left"/>
            </w:pPr>
            <w:r>
              <w:rPr>
                <w:rFonts w:ascii="Arial" w:hAnsi="Arial"/>
                <w:b/>
                <w:i w:val="0"/>
                <w:color w:val="0B2545"/>
                <w:sz w:val="18"/>
              </w:rPr>
              <w:t>Measure</w:t>
            </w:r>
          </w:p>
        </w:tc>
        <w:tc>
          <w:tcPr>
            <w:tcW w:type="dxa" w:w="4460"/>
            <w:tcMar>
              <w:top w:w="80" w:type="dxa"/>
              <w:start w:w="120" w:type="dxa"/>
              <w:bottom w:w="80" w:type="dxa"/>
              <w:end w:w="120" w:type="dxa"/>
            </w:tcMar>
            <w:vAlign w:val="center"/>
            <w:shd w:fill="F2F4F7"/>
          </w:tcPr>
          <w:p>
            <w:pPr>
              <w:pStyle w:val="TableHeader"/>
              <w:jc w:val="left"/>
            </w:pPr>
            <w:r>
              <w:rPr>
                <w:rFonts w:ascii="Arial" w:hAnsi="Arial"/>
                <w:b/>
                <w:i w:val="0"/>
                <w:color w:val="0B2545"/>
                <w:sz w:val="18"/>
              </w:rPr>
              <w:t>Governance expectation</w:t>
            </w:r>
          </w:p>
        </w:tc>
      </w:tr>
      <w:tr>
        <w:trPr>
          <w:cantSplit w:val="true"/>
        </w:trPr>
        <w:tc>
          <w:tcPr>
            <w:tcW w:type="dxa" w:w="1900"/>
            <w:tcMar>
              <w:top w:w="80" w:type="dxa"/>
              <w:start w:w="120" w:type="dxa"/>
              <w:bottom w:w="80" w:type="dxa"/>
              <w:end w:w="120" w:type="dxa"/>
            </w:tcMar>
            <w:vAlign w:val="center"/>
          </w:tcPr>
          <w:p>
            <w:pPr>
              <w:pStyle w:val="TableText"/>
            </w:pPr>
            <w:r>
              <w:rPr>
                <w:rFonts w:ascii="Arial" w:hAnsi="Arial"/>
                <w:b w:val="0"/>
                <w:i w:val="0"/>
                <w:color w:val="000000"/>
                <w:sz w:val="18"/>
              </w:rPr>
              <w:t>Label reliability</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8"/>
              </w:rPr>
              <w:t>Reviewer agreement and adjudication rate</w:t>
            </w:r>
          </w:p>
        </w:tc>
        <w:tc>
          <w:tcPr>
            <w:tcW w:type="dxa" w:w="4460"/>
            <w:tcMar>
              <w:top w:w="80" w:type="dxa"/>
              <w:start w:w="120" w:type="dxa"/>
              <w:bottom w:w="80" w:type="dxa"/>
              <w:end w:w="120" w:type="dxa"/>
            </w:tcMar>
            <w:vAlign w:val="center"/>
          </w:tcPr>
          <w:p>
            <w:pPr>
              <w:pStyle w:val="TableText"/>
            </w:pPr>
            <w:r>
              <w:rPr>
                <w:rFonts w:ascii="Arial" w:hAnsi="Arial"/>
                <w:b w:val="0"/>
                <w:i w:val="0"/>
                <w:color w:val="000000"/>
                <w:sz w:val="18"/>
              </w:rPr>
              <w:t>Labeling guide, double review for sampled records, documented resolution</w:t>
            </w:r>
          </w:p>
        </w:tc>
      </w:tr>
      <w:tr>
        <w:trPr>
          <w:cantSplit w:val="true"/>
        </w:trPr>
        <w:tc>
          <w:tcPr>
            <w:tcW w:type="dxa" w:w="1900"/>
            <w:shd w:fill="FAFBFC"/>
            <w:tcMar>
              <w:top w:w="80" w:type="dxa"/>
              <w:start w:w="120" w:type="dxa"/>
              <w:bottom w:w="80" w:type="dxa"/>
              <w:end w:w="120" w:type="dxa"/>
            </w:tcMar>
            <w:vAlign w:val="center"/>
          </w:tcPr>
          <w:p>
            <w:pPr>
              <w:pStyle w:val="TableText"/>
            </w:pPr>
            <w:r>
              <w:rPr>
                <w:rFonts w:ascii="Arial" w:hAnsi="Arial"/>
                <w:b w:val="0"/>
                <w:i w:val="0"/>
                <w:color w:val="000000"/>
                <w:sz w:val="18"/>
              </w:rPr>
              <w:t>Model quality</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8"/>
              </w:rPr>
              <w:t>Precision/recall by hierarchy level and priority class</w:t>
            </w:r>
          </w:p>
        </w:tc>
        <w:tc>
          <w:tcPr>
            <w:tcW w:type="dxa" w:w="4460"/>
            <w:shd w:fill="FAFBFC"/>
            <w:tcMar>
              <w:top w:w="80" w:type="dxa"/>
              <w:start w:w="120" w:type="dxa"/>
              <w:bottom w:w="80" w:type="dxa"/>
              <w:end w:w="120" w:type="dxa"/>
            </w:tcMar>
            <w:vAlign w:val="center"/>
          </w:tcPr>
          <w:p>
            <w:pPr>
              <w:pStyle w:val="TableText"/>
            </w:pPr>
            <w:r>
              <w:rPr>
                <w:rFonts w:ascii="Arial" w:hAnsi="Arial"/>
                <w:b w:val="0"/>
                <w:i w:val="0"/>
                <w:color w:val="000000"/>
                <w:sz w:val="18"/>
              </w:rPr>
              <w:t>Thresholds agreed by business impact, not convenience</w:t>
            </w:r>
          </w:p>
        </w:tc>
      </w:tr>
      <w:tr>
        <w:trPr>
          <w:cantSplit w:val="true"/>
        </w:trPr>
        <w:tc>
          <w:tcPr>
            <w:tcW w:type="dxa" w:w="1900"/>
            <w:tcMar>
              <w:top w:w="80" w:type="dxa"/>
              <w:start w:w="120" w:type="dxa"/>
              <w:bottom w:w="80" w:type="dxa"/>
              <w:end w:w="120" w:type="dxa"/>
            </w:tcMar>
            <w:vAlign w:val="center"/>
          </w:tcPr>
          <w:p>
            <w:pPr>
              <w:pStyle w:val="TableText"/>
            </w:pPr>
            <w:r>
              <w:rPr>
                <w:rFonts w:ascii="Arial" w:hAnsi="Arial"/>
                <w:b w:val="0"/>
                <w:i w:val="0"/>
                <w:color w:val="000000"/>
                <w:sz w:val="18"/>
              </w:rPr>
              <w:t>Coverage</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8"/>
              </w:rPr>
              <w:t>Share auto-classified, reviewed, and unclassified</w:t>
            </w:r>
          </w:p>
        </w:tc>
        <w:tc>
          <w:tcPr>
            <w:tcW w:type="dxa" w:w="4460"/>
            <w:tcMar>
              <w:top w:w="80" w:type="dxa"/>
              <w:start w:w="120" w:type="dxa"/>
              <w:bottom w:w="80" w:type="dxa"/>
              <w:end w:w="120" w:type="dxa"/>
            </w:tcMar>
            <w:vAlign w:val="center"/>
          </w:tcPr>
          <w:p>
            <w:pPr>
              <w:pStyle w:val="TableText"/>
            </w:pPr>
            <w:r>
              <w:rPr>
                <w:rFonts w:ascii="Arial" w:hAnsi="Arial"/>
                <w:b w:val="0"/>
                <w:i w:val="0"/>
                <w:color w:val="000000"/>
                <w:sz w:val="18"/>
              </w:rPr>
              <w:t>Explicit abstention is preferable to silent low-confidence assignment</w:t>
            </w:r>
          </w:p>
        </w:tc>
      </w:tr>
      <w:tr>
        <w:trPr>
          <w:cantSplit w:val="true"/>
        </w:trPr>
        <w:tc>
          <w:tcPr>
            <w:tcW w:type="dxa" w:w="1900"/>
            <w:shd w:fill="FAFBFC"/>
            <w:tcMar>
              <w:top w:w="80" w:type="dxa"/>
              <w:start w:w="120" w:type="dxa"/>
              <w:bottom w:w="80" w:type="dxa"/>
              <w:end w:w="120" w:type="dxa"/>
            </w:tcMar>
            <w:vAlign w:val="center"/>
          </w:tcPr>
          <w:p>
            <w:pPr>
              <w:pStyle w:val="TableText"/>
            </w:pPr>
            <w:r>
              <w:rPr>
                <w:rFonts w:ascii="Arial" w:hAnsi="Arial"/>
                <w:b w:val="0"/>
                <w:i w:val="0"/>
                <w:color w:val="000000"/>
                <w:sz w:val="18"/>
              </w:rPr>
              <w:t>Stability</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8"/>
              </w:rPr>
              <w:t>Change rate across versions on a fixed test set</w:t>
            </w:r>
          </w:p>
        </w:tc>
        <w:tc>
          <w:tcPr>
            <w:tcW w:type="dxa" w:w="4460"/>
            <w:shd w:fill="FAFBFC"/>
            <w:tcMar>
              <w:top w:w="80" w:type="dxa"/>
              <w:start w:w="120" w:type="dxa"/>
              <w:bottom w:w="80" w:type="dxa"/>
              <w:end w:w="120" w:type="dxa"/>
            </w:tcMar>
            <w:vAlign w:val="center"/>
          </w:tcPr>
          <w:p>
            <w:pPr>
              <w:pStyle w:val="TableText"/>
            </w:pPr>
            <w:r>
              <w:rPr>
                <w:rFonts w:ascii="Arial" w:hAnsi="Arial"/>
                <w:b w:val="0"/>
                <w:i w:val="0"/>
                <w:color w:val="000000"/>
                <w:sz w:val="18"/>
              </w:rPr>
              <w:t>No promotion without regression review</w:t>
            </w:r>
          </w:p>
        </w:tc>
      </w:tr>
      <w:tr>
        <w:trPr>
          <w:cantSplit w:val="true"/>
        </w:trPr>
        <w:tc>
          <w:tcPr>
            <w:tcW w:type="dxa" w:w="1900"/>
            <w:tcMar>
              <w:top w:w="80" w:type="dxa"/>
              <w:start w:w="120" w:type="dxa"/>
              <w:bottom w:w="80" w:type="dxa"/>
              <w:end w:w="120" w:type="dxa"/>
            </w:tcMar>
            <w:vAlign w:val="center"/>
          </w:tcPr>
          <w:p>
            <w:pPr>
              <w:pStyle w:val="TableText"/>
            </w:pPr>
            <w:r>
              <w:rPr>
                <w:rFonts w:ascii="Arial" w:hAnsi="Arial"/>
                <w:b w:val="0"/>
                <w:i w:val="0"/>
                <w:color w:val="000000"/>
                <w:sz w:val="18"/>
              </w:rPr>
              <w:t>Business outcome</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8"/>
              </w:rPr>
              <w:t>Corrected spend, avoided review effort, action acceptance</w:t>
            </w:r>
          </w:p>
        </w:tc>
        <w:tc>
          <w:tcPr>
            <w:tcW w:type="dxa" w:w="4460"/>
            <w:tcMar>
              <w:top w:w="80" w:type="dxa"/>
              <w:start w:w="120" w:type="dxa"/>
              <w:bottom w:w="80" w:type="dxa"/>
              <w:end w:w="120" w:type="dxa"/>
            </w:tcMar>
            <w:vAlign w:val="center"/>
          </w:tcPr>
          <w:p>
            <w:pPr>
              <w:pStyle w:val="TableText"/>
            </w:pPr>
            <w:r>
              <w:rPr>
                <w:rFonts w:ascii="Arial" w:hAnsi="Arial"/>
                <w:b w:val="0"/>
                <w:i w:val="0"/>
                <w:color w:val="000000"/>
                <w:sz w:val="18"/>
              </w:rPr>
              <w:t>Link technical scores to operational value</w:t>
            </w:r>
          </w:p>
        </w:tc>
      </w:tr>
    </w:tbl>
    <w:p>
      <w:pPr>
        <w:spacing w:before="80" w:after="80"/>
      </w:pPr>
    </w:p>
    <w:p>
      <w:pPr>
        <w:pStyle w:val="Heading1"/>
      </w:pPr>
      <w:r>
        <w:t>4. Internal data ingestion and business alignment</w:t>
      </w:r>
    </w:p>
    <w:tbl>
      <w:tblPr>
        <w:tblW w:type="dxa" w:w="9360"/>
        <w:tblLayout w:type="fixed"/>
        <w:tblLook w:firstColumn="1" w:firstRow="1" w:lastColumn="0" w:lastRow="0" w:noHBand="0" w:noVBand="1" w:val="04A0"/>
        <w:tblInd w:w="120" w:type="dxa"/>
        <w:tblBorders>
          <w:top w:val="single" w:sz="4" w:space="0" w:color="FDEBEC"/>
          <w:left w:val="single" w:sz="4" w:space="0" w:color="FDEBEC"/>
          <w:bottom w:val="single" w:sz="4" w:space="0" w:color="FDEBEC"/>
          <w:right w:val="single" w:sz="4" w:space="0" w:color="FDEBEC"/>
          <w:insideH w:val="single" w:sz="4" w:space="0" w:color="FDEBEC"/>
          <w:insideV w:val="single" w:sz="4" w:space="0" w:color="FDEBEC"/>
        </w:tblBorders>
      </w:tblPr>
      <w:tblGrid>
        <w:gridCol w:w="9360"/>
      </w:tblGrid>
      <w:tr>
        <w:trPr>
          <w:cantSplit w:val="true"/>
        </w:trPr>
        <w:tc>
          <w:tcPr>
            <w:tcW w:type="dxa" w:w="9360"/>
            <w:tcMar>
              <w:top w:w="80" w:type="dxa"/>
              <w:start w:w="120" w:type="dxa"/>
              <w:bottom w:w="80" w:type="dxa"/>
              <w:end w:w="120" w:type="dxa"/>
            </w:tcMar>
            <w:vAlign w:val="center"/>
            <w:shd w:fill="FDEBEC"/>
          </w:tcPr>
          <w:p>
            <w:pPr>
              <w:pStyle w:val="CalloutLabel"/>
            </w:pPr>
            <w:r>
              <w:t>Gap statement</w:t>
            </w:r>
          </w:p>
          <w:p>
            <w:pPr>
              <w:spacing w:after="0"/>
            </w:pPr>
            <w:r>
              <w:t>Internal ingestion cannot be finalized as a purely technical activity. The target flow depends on how the business creates, changes, approves, reconciles, and owns internal data, including the meaning of records and the treatment of exceptions.</w:t>
            </w:r>
          </w:p>
        </w:tc>
      </w:tr>
    </w:tbl>
    <w:p>
      <w:pPr>
        <w:spacing w:after="60"/>
      </w:pPr>
    </w:p>
    <w:p>
      <w:pPr>
        <w:pStyle w:val="Heading2"/>
      </w:pPr>
      <w:r>
        <w:t>Why it matters</w:t>
      </w:r>
    </w:p>
    <w:p>
      <w:pPr>
        <w:numPr>
          <w:ilvl w:val="0"/>
          <w:numId w:val="10"/>
        </w:numPr>
        <w:spacing w:after="160" w:line="280" w:lineRule="auto"/>
      </w:pPr>
      <w:r>
        <w:rPr>
          <w:rFonts w:ascii="Arial" w:hAnsi="Arial"/>
          <w:b/>
          <w:i w:val="0"/>
          <w:color w:val="0B2545"/>
          <w:sz w:val="22"/>
        </w:rPr>
        <w:t xml:space="preserve">Technically valid may still be operationally wrong. </w:t>
      </w:r>
      <w:r>
        <w:rPr>
          <w:rFonts w:ascii="Arial" w:hAnsi="Arial"/>
          <w:b w:val="0"/>
          <w:i w:val="0"/>
          <w:color w:val="000000"/>
          <w:sz w:val="22"/>
        </w:rPr>
        <w:t>A pipeline can load data successfully while violating business timing, approval status, accounting cutoffs, or source-of-truth rules.</w:t>
      </w:r>
    </w:p>
    <w:p>
      <w:pPr>
        <w:numPr>
          <w:ilvl w:val="0"/>
          <w:numId w:val="10"/>
        </w:numPr>
        <w:spacing w:after="160" w:line="280" w:lineRule="auto"/>
      </w:pPr>
      <w:r>
        <w:rPr>
          <w:rFonts w:ascii="Arial" w:hAnsi="Arial"/>
          <w:b/>
          <w:i w:val="0"/>
          <w:color w:val="0B2545"/>
          <w:sz w:val="22"/>
        </w:rPr>
        <w:t xml:space="preserve">Ownership gaps delay incidents. </w:t>
      </w:r>
      <w:r>
        <w:rPr>
          <w:rFonts w:ascii="Arial" w:hAnsi="Arial"/>
          <w:b w:val="0"/>
          <w:i w:val="0"/>
          <w:color w:val="000000"/>
          <w:sz w:val="22"/>
        </w:rPr>
        <w:t>When a source is late or inconsistent, teams need a named decision-maker for correction, acceptance, or escalation.</w:t>
      </w:r>
    </w:p>
    <w:p>
      <w:pPr>
        <w:numPr>
          <w:ilvl w:val="0"/>
          <w:numId w:val="10"/>
        </w:numPr>
        <w:spacing w:after="160" w:line="280" w:lineRule="auto"/>
      </w:pPr>
      <w:r>
        <w:rPr>
          <w:rFonts w:ascii="Arial" w:hAnsi="Arial"/>
          <w:b/>
          <w:i w:val="0"/>
          <w:color w:val="0B2545"/>
          <w:sz w:val="22"/>
        </w:rPr>
        <w:t xml:space="preserve">Unclear semantics propagate. </w:t>
      </w:r>
      <w:r>
        <w:rPr>
          <w:rFonts w:ascii="Arial" w:hAnsi="Arial"/>
          <w:b w:val="0"/>
          <w:i w:val="0"/>
          <w:color w:val="000000"/>
          <w:sz w:val="22"/>
        </w:rPr>
        <w:t>Different interpretations of supplier, item, category, transaction, cancellation, or update behavior produce unreliable outputs.</w:t>
      </w:r>
    </w:p>
    <w:p>
      <w:pPr>
        <w:pStyle w:val="Heading2"/>
      </w:pPr>
      <w:r>
        <w:t>Target capability</w:t>
      </w:r>
    </w:p>
    <w:p>
      <w:pPr>
        <w:keepLines w:val="0"/>
        <w:spacing w:before="0" w:after="120" w:line="264" w:lineRule="auto"/>
      </w:pPr>
      <w:r>
        <w:rPr>
          <w:rFonts w:ascii="Arial" w:hAnsi="Arial"/>
          <w:b w:val="0"/>
          <w:i w:val="0"/>
          <w:color w:val="000000"/>
          <w:sz w:val="22"/>
        </w:rPr>
        <w:t>A jointly owned ingestion operating model in which each source has a signed data contract, business and technical owners, freshness and quality objectives, reconciliation rules, exception workflows, and acceptance evidence.</w:t>
      </w:r>
    </w:p>
    <w:p>
      <w:pPr>
        <w:pStyle w:val="Heading2"/>
      </w:pPr>
      <w:r>
        <w:t>Recommended actions</w:t>
      </w:r>
    </w:p>
    <w:p>
      <w:pPr>
        <w:numPr>
          <w:ilvl w:val="0"/>
          <w:numId w:val="10"/>
        </w:numPr>
        <w:spacing w:after="160" w:line="280" w:lineRule="auto"/>
      </w:pPr>
      <w:r>
        <w:rPr>
          <w:rFonts w:ascii="Arial" w:hAnsi="Arial"/>
          <w:b/>
          <w:i w:val="0"/>
          <w:color w:val="0B2545"/>
          <w:sz w:val="22"/>
        </w:rPr>
        <w:t xml:space="preserve">Map the current business process. </w:t>
      </w:r>
      <w:r>
        <w:rPr>
          <w:rFonts w:ascii="Arial" w:hAnsi="Arial"/>
          <w:b w:val="0"/>
          <w:i w:val="0"/>
          <w:color w:val="000000"/>
          <w:sz w:val="22"/>
        </w:rPr>
        <w:t>Document creation and approval steps, systems of record, handoffs, timing, corrections, and downstream consumers.</w:t>
      </w:r>
    </w:p>
    <w:p>
      <w:pPr>
        <w:numPr>
          <w:ilvl w:val="0"/>
          <w:numId w:val="10"/>
        </w:numPr>
        <w:spacing w:after="160" w:line="280" w:lineRule="auto"/>
      </w:pPr>
      <w:r>
        <w:rPr>
          <w:rFonts w:ascii="Arial" w:hAnsi="Arial"/>
          <w:b/>
          <w:i w:val="0"/>
          <w:color w:val="0B2545"/>
          <w:sz w:val="22"/>
        </w:rPr>
        <w:t xml:space="preserve">Agree source-level contracts. </w:t>
      </w:r>
      <w:r>
        <w:rPr>
          <w:rFonts w:ascii="Arial" w:hAnsi="Arial"/>
          <w:b w:val="0"/>
          <w:i w:val="0"/>
          <w:color w:val="000000"/>
          <w:sz w:val="22"/>
        </w:rPr>
        <w:t>Define scope, semantics, keys, history, update behavior, cutoff rules, quality thresholds, and service levels.</w:t>
      </w:r>
    </w:p>
    <w:p>
      <w:pPr>
        <w:numPr>
          <w:ilvl w:val="0"/>
          <w:numId w:val="10"/>
        </w:numPr>
        <w:spacing w:after="160" w:line="280" w:lineRule="auto"/>
      </w:pPr>
      <w:r>
        <w:rPr>
          <w:rFonts w:ascii="Arial" w:hAnsi="Arial"/>
          <w:b/>
          <w:i w:val="0"/>
          <w:color w:val="0B2545"/>
          <w:sz w:val="22"/>
        </w:rPr>
        <w:t xml:space="preserve">Design reconciliation and exception handling. </w:t>
      </w:r>
      <w:r>
        <w:rPr>
          <w:rFonts w:ascii="Arial" w:hAnsi="Arial"/>
          <w:b w:val="0"/>
          <w:i w:val="0"/>
          <w:color w:val="000000"/>
          <w:sz w:val="22"/>
        </w:rPr>
        <w:t>Specify what is compared, who reviews mismatches, which conditions block publication, and how accepted exceptions are recorded.</w:t>
      </w:r>
    </w:p>
    <w:p>
      <w:pPr>
        <w:numPr>
          <w:ilvl w:val="0"/>
          <w:numId w:val="10"/>
        </w:numPr>
        <w:spacing w:after="160" w:line="280" w:lineRule="auto"/>
      </w:pPr>
      <w:r>
        <w:rPr>
          <w:rFonts w:ascii="Arial" w:hAnsi="Arial"/>
          <w:b/>
          <w:i w:val="0"/>
          <w:color w:val="0B2545"/>
          <w:sz w:val="22"/>
        </w:rPr>
        <w:t xml:space="preserve">Define a RACI. </w:t>
      </w:r>
      <w:r>
        <w:rPr>
          <w:rFonts w:ascii="Arial" w:hAnsi="Arial"/>
          <w:b w:val="0"/>
          <w:i w:val="0"/>
          <w:color w:val="000000"/>
          <w:sz w:val="22"/>
        </w:rPr>
        <w:t>Assign business data owner, source-system owner, data engineering owner, quality steward, and operational escalation path.</w:t>
      </w:r>
    </w:p>
    <w:p>
      <w:pPr>
        <w:numPr>
          <w:ilvl w:val="0"/>
          <w:numId w:val="10"/>
        </w:numPr>
        <w:spacing w:after="160" w:line="280" w:lineRule="auto"/>
      </w:pPr>
      <w:r>
        <w:rPr>
          <w:rFonts w:ascii="Arial" w:hAnsi="Arial"/>
          <w:b/>
          <w:i w:val="0"/>
          <w:color w:val="0B2545"/>
          <w:sz w:val="22"/>
        </w:rPr>
        <w:t xml:space="preserve">Sign off with production-like evidence. </w:t>
      </w:r>
      <w:r>
        <w:rPr>
          <w:rFonts w:ascii="Arial" w:hAnsi="Arial"/>
          <w:b w:val="0"/>
          <w:i w:val="0"/>
          <w:color w:val="000000"/>
          <w:sz w:val="22"/>
        </w:rPr>
        <w:t>Validate representative volumes, late and corrected records, rejected records, and a complete business reconciliation—not only a technical connectivity test.</w:t>
      </w:r>
    </w:p>
    <w:p>
      <w:pPr>
        <w:pStyle w:val="Heading1"/>
      </w:pPr>
      <w:r>
        <w:t>5. Contract PDF ingestion and cost scalability</w:t>
      </w:r>
    </w:p>
    <w:tbl>
      <w:tblPr>
        <w:tblW w:type="dxa" w:w="9360"/>
        <w:tblLayout w:type="fixed"/>
        <w:tblLook w:firstColumn="1" w:firstRow="1" w:lastColumn="0" w:lastRow="0" w:noHBand="0" w:noVBand="1" w:val="04A0"/>
        <w:tblInd w:w="120" w:type="dxa"/>
        <w:tblBorders>
          <w:top w:val="single" w:sz="4" w:space="0" w:color="FDEBEC"/>
          <w:left w:val="single" w:sz="4" w:space="0" w:color="FDEBEC"/>
          <w:bottom w:val="single" w:sz="4" w:space="0" w:color="FDEBEC"/>
          <w:right w:val="single" w:sz="4" w:space="0" w:color="FDEBEC"/>
          <w:insideH w:val="single" w:sz="4" w:space="0" w:color="FDEBEC"/>
          <w:insideV w:val="single" w:sz="4" w:space="0" w:color="FDEBEC"/>
        </w:tblBorders>
      </w:tblPr>
      <w:tblGrid>
        <w:gridCol w:w="9360"/>
      </w:tblGrid>
      <w:tr>
        <w:trPr>
          <w:cantSplit w:val="true"/>
        </w:trPr>
        <w:tc>
          <w:tcPr>
            <w:tcW w:type="dxa" w:w="9360"/>
            <w:tcMar>
              <w:top w:w="80" w:type="dxa"/>
              <w:start w:w="120" w:type="dxa"/>
              <w:bottom w:w="80" w:type="dxa"/>
              <w:end w:w="120" w:type="dxa"/>
            </w:tcMar>
            <w:vAlign w:val="center"/>
            <w:shd w:fill="FDEBEC"/>
          </w:tcPr>
          <w:p>
            <w:pPr>
              <w:pStyle w:val="CalloutLabel"/>
            </w:pPr>
            <w:r>
              <w:t>Gap statement</w:t>
            </w:r>
          </w:p>
          <w:p>
            <w:pPr>
              <w:spacing w:after="0"/>
            </w:pPr>
            <w:r>
              <w:t>Contract PDF ingestion does not yet have a cost-aware strategy for extra-large contracts, particularly those longer than 100 pages. Page rendering, optical character recognition, extraction, model processing, and retries can scale with document length and complexity. This makes the processing cost difficult to predict and may make the price offered for these contracts uneconomic.</w:t>
            </w:r>
          </w:p>
        </w:tc>
      </w:tr>
    </w:tbl>
    <w:p>
      <w:pPr>
        <w:spacing w:after="60"/>
      </w:pPr>
    </w:p>
    <w:p>
      <w:pPr>
        <w:pStyle w:val="Heading2"/>
      </w:pPr>
      <w:r>
        <w:t>Why it matters</w:t>
      </w:r>
    </w:p>
    <w:p>
      <w:pPr>
        <w:numPr>
          <w:ilvl w:val="0"/>
          <w:numId w:val="10"/>
        </w:numPr>
        <w:spacing w:after="160" w:line="280" w:lineRule="auto"/>
      </w:pPr>
      <w:r>
        <w:rPr>
          <w:rFonts w:ascii="Arial" w:hAnsi="Arial"/>
          <w:b/>
          <w:i w:val="0"/>
          <w:color w:val="0B2545"/>
          <w:sz w:val="22"/>
        </w:rPr>
        <w:t xml:space="preserve">Cost increases with page volume and complexity. </w:t>
      </w:r>
      <w:r>
        <w:rPr>
          <w:rFonts w:ascii="Arial" w:hAnsi="Arial"/>
          <w:b w:val="0"/>
          <w:i w:val="0"/>
          <w:color w:val="000000"/>
          <w:sz w:val="22"/>
        </w:rPr>
        <w:t>Scanned pages, poor image quality, tables, annexes, and multiple languages can require more processing than a digitally generated PDF of the same length.</w:t>
      </w:r>
    </w:p>
    <w:p>
      <w:pPr>
        <w:numPr>
          <w:ilvl w:val="0"/>
          <w:numId w:val="10"/>
        </w:numPr>
        <w:spacing w:after="160" w:line="280" w:lineRule="auto"/>
      </w:pPr>
      <w:r>
        <w:rPr>
          <w:rFonts w:ascii="Arial" w:hAnsi="Arial"/>
          <w:b/>
          <w:i w:val="0"/>
          <w:color w:val="0B2545"/>
          <w:sz w:val="22"/>
        </w:rPr>
        <w:t xml:space="preserve">Uniform processing wastes resources. </w:t>
      </w:r>
      <w:r>
        <w:rPr>
          <w:rFonts w:ascii="Arial" w:hAnsi="Arial"/>
          <w:b w:val="0"/>
          <w:i w:val="0"/>
          <w:color w:val="000000"/>
          <w:sz w:val="22"/>
        </w:rPr>
        <w:t>Running every page through the same expensive steps can spend compute and model capacity on blank pages, duplicates, boilerplate, or sections that do not support the requested extraction.</w:t>
      </w:r>
    </w:p>
    <w:p>
      <w:pPr>
        <w:numPr>
          <w:ilvl w:val="0"/>
          <w:numId w:val="10"/>
        </w:numPr>
        <w:spacing w:after="160" w:line="280" w:lineRule="auto"/>
      </w:pPr>
      <w:r>
        <w:rPr>
          <w:rFonts w:ascii="Arial" w:hAnsi="Arial"/>
          <w:b/>
          <w:i w:val="0"/>
          <w:color w:val="0B2545"/>
          <w:sz w:val="22"/>
        </w:rPr>
        <w:t xml:space="preserve">Full-document retries multiply cost. </w:t>
      </w:r>
      <w:r>
        <w:rPr>
          <w:rFonts w:ascii="Arial" w:hAnsi="Arial"/>
          <w:b w:val="0"/>
          <w:i w:val="0"/>
          <w:color w:val="000000"/>
          <w:sz w:val="22"/>
        </w:rPr>
        <w:t>If intermediate results are not saved, a failure late in the workflow can require the entire contract to be processed again.</w:t>
      </w:r>
    </w:p>
    <w:p>
      <w:pPr>
        <w:numPr>
          <w:ilvl w:val="0"/>
          <w:numId w:val="10"/>
        </w:numPr>
        <w:spacing w:after="160" w:line="280" w:lineRule="auto"/>
      </w:pPr>
      <w:r>
        <w:rPr>
          <w:rFonts w:ascii="Arial" w:hAnsi="Arial"/>
          <w:b/>
          <w:i w:val="0"/>
          <w:color w:val="0B2545"/>
          <w:sz w:val="22"/>
        </w:rPr>
        <w:t xml:space="preserve">Pricing and capacity remain uncertain. </w:t>
      </w:r>
      <w:r>
        <w:rPr>
          <w:rFonts w:ascii="Arial" w:hAnsi="Arial"/>
          <w:b w:val="0"/>
          <w:i w:val="0"/>
          <w:color w:val="000000"/>
          <w:sz w:val="22"/>
        </w:rPr>
        <w:t>Without a preflight estimate and measured cost by processing stage, the team cannot set a reliable price, margin, or throughput expectation for contracts longer than 100 pages.</w:t>
      </w:r>
    </w:p>
    <w:p>
      <w:pPr>
        <w:numPr>
          <w:ilvl w:val="0"/>
          <w:numId w:val="10"/>
        </w:numPr>
        <w:spacing w:after="160" w:line="280" w:lineRule="auto"/>
      </w:pPr>
      <w:r>
        <w:rPr>
          <w:rFonts w:ascii="Arial" w:hAnsi="Arial"/>
          <w:b/>
          <w:i w:val="0"/>
          <w:color w:val="0B2545"/>
          <w:sz w:val="22"/>
        </w:rPr>
        <w:t xml:space="preserve">Aggressive optimization can reduce completeness. </w:t>
      </w:r>
      <w:r>
        <w:rPr>
          <w:rFonts w:ascii="Arial" w:hAnsi="Arial"/>
          <w:b w:val="0"/>
          <w:i w:val="0"/>
          <w:color w:val="000000"/>
          <w:sz w:val="22"/>
        </w:rPr>
        <w:t>Page selection and selective OCR must preserve required clause, field, and annex coverage rather than reducing cost by silently skipping relevant content.</w:t>
      </w:r>
    </w:p>
    <w:p>
      <w:pPr>
        <w:pStyle w:val="Heading2"/>
      </w:pPr>
      <w:r>
        <w:t>Target capability</w:t>
      </w:r>
    </w:p>
    <w:p>
      <w:pPr>
        <w:keepLines w:val="0"/>
        <w:spacing w:before="0" w:after="120" w:line="264" w:lineRule="auto"/>
      </w:pPr>
      <w:r>
        <w:rPr>
          <w:rFonts w:ascii="Arial" w:hAnsi="Arial"/>
          <w:b w:val="0"/>
          <w:i w:val="0"/>
          <w:color w:val="000000"/>
          <w:sz w:val="22"/>
        </w:rPr>
        <w:t>A tiered contract-ingestion pipeline that estimates cost before expensive processing, extracts native text where available, applies OCR only when needed, classifies and chunks pages, saves reusable intermediate results, and resumes from the failed stage. Contracts longer than 100 pages should follow an explicit policy that balances cost, turnaround time, and required extraction quality.</w:t>
      </w:r>
    </w:p>
    <w:p>
      <w:pPr>
        <w:pStyle w:val="Heading2"/>
      </w:pPr>
      <w:r>
        <w:t>Recommended actions</w:t>
      </w:r>
    </w:p>
    <w:p>
      <w:pPr>
        <w:numPr>
          <w:ilvl w:val="0"/>
          <w:numId w:val="10"/>
        </w:numPr>
        <w:spacing w:after="160" w:line="280" w:lineRule="auto"/>
      </w:pPr>
      <w:r>
        <w:rPr>
          <w:rFonts w:ascii="Arial" w:hAnsi="Arial"/>
          <w:b/>
          <w:i w:val="0"/>
          <w:color w:val="0B2545"/>
          <w:sz w:val="22"/>
        </w:rPr>
        <w:t xml:space="preserve">Create a cost baseline. </w:t>
      </w:r>
      <w:r>
        <w:rPr>
          <w:rFonts w:ascii="Arial" w:hAnsi="Arial"/>
          <w:b w:val="0"/>
          <w:i w:val="0"/>
          <w:color w:val="000000"/>
          <w:sz w:val="22"/>
        </w:rPr>
        <w:t>Measure cost and duration by page count, native versus scanned content, OCR use, extraction stage, model calls, storage, and retries. Report both cost per page and total cost per contract.</w:t>
      </w:r>
    </w:p>
    <w:p>
      <w:pPr>
        <w:numPr>
          <w:ilvl w:val="0"/>
          <w:numId w:val="10"/>
        </w:numPr>
        <w:spacing w:after="160" w:line="280" w:lineRule="auto"/>
      </w:pPr>
      <w:r>
        <w:rPr>
          <w:rFonts w:ascii="Arial" w:hAnsi="Arial"/>
          <w:b/>
          <w:i w:val="0"/>
          <w:color w:val="0B2545"/>
          <w:sz w:val="22"/>
        </w:rPr>
        <w:t xml:space="preserve">Add a preflight step. </w:t>
      </w:r>
      <w:r>
        <w:rPr>
          <w:rFonts w:ascii="Arial" w:hAnsi="Arial"/>
          <w:b w:val="0"/>
          <w:i w:val="0"/>
          <w:color w:val="000000"/>
          <w:sz w:val="22"/>
        </w:rPr>
        <w:t>Detect page count, file size, available text, scan quality, language, blank or duplicate pages, table density, and document structure before selecting the processing route.</w:t>
      </w:r>
    </w:p>
    <w:p>
      <w:pPr>
        <w:numPr>
          <w:ilvl w:val="0"/>
          <w:numId w:val="10"/>
        </w:numPr>
        <w:spacing w:after="160" w:line="280" w:lineRule="auto"/>
      </w:pPr>
      <w:r>
        <w:rPr>
          <w:rFonts w:ascii="Arial" w:hAnsi="Arial"/>
          <w:b/>
          <w:i w:val="0"/>
          <w:color w:val="0B2545"/>
          <w:sz w:val="22"/>
        </w:rPr>
        <w:t xml:space="preserve">Use the least expensive reliable extraction path. </w:t>
      </w:r>
      <w:r>
        <w:rPr>
          <w:rFonts w:ascii="Arial" w:hAnsi="Arial"/>
          <w:b w:val="0"/>
          <w:i w:val="0"/>
          <w:color w:val="000000"/>
          <w:sz w:val="22"/>
        </w:rPr>
        <w:t>Prefer embedded text when its quality is acceptable, apply OCR only to pages that require it, and avoid repeated conversion of unchanged pages.</w:t>
      </w:r>
    </w:p>
    <w:p>
      <w:pPr>
        <w:numPr>
          <w:ilvl w:val="0"/>
          <w:numId w:val="10"/>
        </w:numPr>
        <w:spacing w:after="160" w:line="280" w:lineRule="auto"/>
      </w:pPr>
      <w:r>
        <w:rPr>
          <w:rFonts w:ascii="Arial" w:hAnsi="Arial"/>
          <w:b/>
          <w:i w:val="0"/>
          <w:color w:val="0B2545"/>
          <w:sz w:val="22"/>
        </w:rPr>
        <w:t xml:space="preserve">Make processing section aware. </w:t>
      </w:r>
      <w:r>
        <w:rPr>
          <w:rFonts w:ascii="Arial" w:hAnsi="Arial"/>
          <w:b w:val="0"/>
          <w:i w:val="0"/>
          <w:color w:val="000000"/>
          <w:sz w:val="22"/>
        </w:rPr>
        <w:t>Identify the table of contents, clauses, schedules, and annexes; process relevant sections with suitable chunk sizes while retaining contract-level coverage checks.</w:t>
      </w:r>
    </w:p>
    <w:p>
      <w:pPr>
        <w:numPr>
          <w:ilvl w:val="0"/>
          <w:numId w:val="10"/>
        </w:numPr>
        <w:spacing w:after="160" w:line="280" w:lineRule="auto"/>
      </w:pPr>
      <w:r>
        <w:rPr>
          <w:rFonts w:ascii="Arial" w:hAnsi="Arial"/>
          <w:b/>
          <w:i w:val="0"/>
          <w:color w:val="0B2545"/>
          <w:sz w:val="22"/>
        </w:rPr>
        <w:t xml:space="preserve">Cache and resume intermediate outputs. </w:t>
      </w:r>
      <w:r>
        <w:rPr>
          <w:rFonts w:ascii="Arial" w:hAnsi="Arial"/>
          <w:b w:val="0"/>
          <w:i w:val="0"/>
          <w:color w:val="000000"/>
          <w:sz w:val="22"/>
        </w:rPr>
        <w:t>Store page text, OCR results, page classifications, chunks, and extraction results by document and processing version so retries restart from the failed stage.</w:t>
      </w:r>
    </w:p>
    <w:p>
      <w:pPr>
        <w:numPr>
          <w:ilvl w:val="0"/>
          <w:numId w:val="10"/>
        </w:numPr>
        <w:spacing w:after="160" w:line="280" w:lineRule="auto"/>
      </w:pPr>
      <w:r>
        <w:rPr>
          <w:rFonts w:ascii="Arial" w:hAnsi="Arial"/>
          <w:b/>
          <w:i w:val="0"/>
          <w:color w:val="0B2545"/>
          <w:sz w:val="22"/>
        </w:rPr>
        <w:t xml:space="preserve">Define the extra-large contract policy. </w:t>
      </w:r>
      <w:r>
        <w:rPr>
          <w:rFonts w:ascii="Arial" w:hAnsi="Arial"/>
          <w:b w:val="0"/>
          <w:i w:val="0"/>
          <w:color w:val="000000"/>
          <w:sz w:val="22"/>
        </w:rPr>
        <w:t>For contracts longer than 100 pages, calculate an estimated cost before execution and route the document according to a configurable cost ceiling, customer price, service level, and approval rule.</w:t>
      </w:r>
    </w:p>
    <w:p>
      <w:pPr>
        <w:numPr>
          <w:ilvl w:val="0"/>
          <w:numId w:val="10"/>
        </w:numPr>
        <w:spacing w:after="160" w:line="280" w:lineRule="auto"/>
      </w:pPr>
      <w:r>
        <w:rPr>
          <w:rFonts w:ascii="Arial" w:hAnsi="Arial"/>
          <w:b/>
          <w:i w:val="0"/>
          <w:color w:val="0B2545"/>
          <w:sz w:val="22"/>
        </w:rPr>
        <w:t xml:space="preserve">Benchmark quality against cost. </w:t>
      </w:r>
      <w:r>
        <w:rPr>
          <w:rFonts w:ascii="Arial" w:hAnsi="Arial"/>
          <w:b w:val="0"/>
          <w:i w:val="0"/>
          <w:color w:val="000000"/>
          <w:sz w:val="22"/>
        </w:rPr>
        <w:t>Maintain a representative long-contract test set and compare field and clause coverage, precision, recall, processing time, estimated cost, and actual cost before changing the route.</w:t>
      </w:r>
    </w:p>
    <w:p>
      <w:pPr>
        <w:pStyle w:val="Heading2"/>
      </w:pPr>
      <w:r>
        <w:t>Cost controls for contracts longer than 100 pages</w:t>
      </w:r>
    </w:p>
    <w:tbl>
      <w:tblPr>
        <w:tblW w:type="dxa" w:w="9360"/>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800"/>
        <w:gridCol w:w="3000"/>
        <w:gridCol w:w="4560"/>
      </w:tblGrid>
      <w:tr>
        <w:trPr>
          <w:tblHeader w:val="true"/>
          <w:cantSplit w:val="true"/>
        </w:trPr>
        <w:tc>
          <w:tcPr>
            <w:tcW w:type="dxa" w:w="1800"/>
            <w:tcMar>
              <w:top w:w="80" w:type="dxa"/>
              <w:start w:w="120" w:type="dxa"/>
              <w:bottom w:w="80" w:type="dxa"/>
              <w:end w:w="120" w:type="dxa"/>
            </w:tcMar>
            <w:vAlign w:val="center"/>
            <w:shd w:fill="F2F4F7"/>
          </w:tcPr>
          <w:p>
            <w:pPr>
              <w:pStyle w:val="TableHeader"/>
              <w:jc w:val="left"/>
            </w:pPr>
            <w:r>
              <w:rPr>
                <w:rFonts w:ascii="Arial" w:hAnsi="Arial"/>
                <w:b/>
                <w:i w:val="0"/>
                <w:color w:val="0B2545"/>
                <w:sz w:val="17"/>
              </w:rPr>
              <w:t>Processing stage</w:t>
            </w:r>
          </w:p>
        </w:tc>
        <w:tc>
          <w:tcPr>
            <w:tcW w:type="dxa" w:w="3000"/>
            <w:tcMar>
              <w:top w:w="80" w:type="dxa"/>
              <w:start w:w="120" w:type="dxa"/>
              <w:bottom w:w="80" w:type="dxa"/>
              <w:end w:w="120" w:type="dxa"/>
            </w:tcMar>
            <w:vAlign w:val="center"/>
            <w:shd w:fill="F2F4F7"/>
          </w:tcPr>
          <w:p>
            <w:pPr>
              <w:pStyle w:val="TableHeader"/>
              <w:jc w:val="left"/>
            </w:pPr>
            <w:r>
              <w:rPr>
                <w:rFonts w:ascii="Arial" w:hAnsi="Arial"/>
                <w:b/>
                <w:i w:val="0"/>
                <w:color w:val="0B2545"/>
                <w:sz w:val="17"/>
              </w:rPr>
              <w:t>Cost exposure</w:t>
            </w:r>
          </w:p>
        </w:tc>
        <w:tc>
          <w:tcPr>
            <w:tcW w:type="dxa" w:w="4560"/>
            <w:tcMar>
              <w:top w:w="80" w:type="dxa"/>
              <w:start w:w="120" w:type="dxa"/>
              <w:bottom w:w="80" w:type="dxa"/>
              <w:end w:w="120" w:type="dxa"/>
            </w:tcMar>
            <w:vAlign w:val="center"/>
            <w:shd w:fill="F2F4F7"/>
          </w:tcPr>
          <w:p>
            <w:pPr>
              <w:pStyle w:val="TableHeader"/>
              <w:jc w:val="left"/>
            </w:pPr>
            <w:r>
              <w:rPr>
                <w:rFonts w:ascii="Arial" w:hAnsi="Arial"/>
                <w:b/>
                <w:i w:val="0"/>
                <w:color w:val="0B2545"/>
                <w:sz w:val="17"/>
              </w:rPr>
              <w:t>Required control</w:t>
            </w:r>
          </w:p>
        </w:tc>
      </w:tr>
      <w:tr>
        <w:trPr>
          <w:cantSplit w:val="true"/>
        </w:trPr>
        <w:tc>
          <w:tcPr>
            <w:tcW w:type="dxa" w:w="1800"/>
            <w:tcMar>
              <w:top w:w="80" w:type="dxa"/>
              <w:start w:w="120" w:type="dxa"/>
              <w:bottom w:w="80" w:type="dxa"/>
              <w:end w:w="120" w:type="dxa"/>
            </w:tcMar>
            <w:vAlign w:val="center"/>
          </w:tcPr>
          <w:p>
            <w:pPr>
              <w:pStyle w:val="TableText"/>
            </w:pPr>
            <w:r>
              <w:rPr>
                <w:rFonts w:ascii="Arial" w:hAnsi="Arial"/>
                <w:b w:val="0"/>
                <w:i w:val="0"/>
                <w:color w:val="000000"/>
                <w:sz w:val="17"/>
              </w:rPr>
              <w:t>Preflight</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7"/>
              </w:rPr>
              <w:t>Uncertain work before processing begins</w:t>
            </w:r>
          </w:p>
        </w:tc>
        <w:tc>
          <w:tcPr>
            <w:tcW w:type="dxa" w:w="4560"/>
            <w:tcMar>
              <w:top w:w="80" w:type="dxa"/>
              <w:start w:w="120" w:type="dxa"/>
              <w:bottom w:w="80" w:type="dxa"/>
              <w:end w:w="120" w:type="dxa"/>
            </w:tcMar>
            <w:vAlign w:val="center"/>
          </w:tcPr>
          <w:p>
            <w:pPr>
              <w:pStyle w:val="TableText"/>
            </w:pPr>
            <w:r>
              <w:rPr>
                <w:rFonts w:ascii="Arial" w:hAnsi="Arial"/>
                <w:b w:val="0"/>
                <w:i w:val="0"/>
                <w:color w:val="000000"/>
                <w:sz w:val="17"/>
              </w:rPr>
              <w:t>Estimate route, duration, and cost from page count, text availability, scan quality, language, and structure</w:t>
            </w:r>
          </w:p>
        </w:tc>
      </w:tr>
      <w:tr>
        <w:trPr>
          <w:cantSplit w:val="true"/>
        </w:trPr>
        <w:tc>
          <w:tcPr>
            <w:tcW w:type="dxa" w:w="1800"/>
            <w:shd w:fill="FAFBFC"/>
            <w:tcMar>
              <w:top w:w="80" w:type="dxa"/>
              <w:start w:w="120" w:type="dxa"/>
              <w:bottom w:w="80" w:type="dxa"/>
              <w:end w:w="120" w:type="dxa"/>
            </w:tcMar>
            <w:vAlign w:val="center"/>
          </w:tcPr>
          <w:p>
            <w:pPr>
              <w:pStyle w:val="TableText"/>
            </w:pPr>
            <w:r>
              <w:rPr>
                <w:rFonts w:ascii="Arial" w:hAnsi="Arial"/>
                <w:b w:val="0"/>
                <w:i w:val="0"/>
                <w:color w:val="000000"/>
                <w:sz w:val="17"/>
              </w:rPr>
              <w:t>Text acquisition</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7"/>
              </w:rPr>
              <w:t>OCR applied to pages that already contain usable text</w:t>
            </w:r>
          </w:p>
        </w:tc>
        <w:tc>
          <w:tcPr>
            <w:tcW w:type="dxa" w:w="4560"/>
            <w:shd w:fill="FAFBFC"/>
            <w:tcMar>
              <w:top w:w="80" w:type="dxa"/>
              <w:start w:w="120" w:type="dxa"/>
              <w:bottom w:w="80" w:type="dxa"/>
              <w:end w:w="120" w:type="dxa"/>
            </w:tcMar>
            <w:vAlign w:val="center"/>
          </w:tcPr>
          <w:p>
            <w:pPr>
              <w:pStyle w:val="TableText"/>
            </w:pPr>
            <w:r>
              <w:rPr>
                <w:rFonts w:ascii="Arial" w:hAnsi="Arial"/>
                <w:b w:val="0"/>
                <w:i w:val="0"/>
                <w:color w:val="000000"/>
                <w:sz w:val="17"/>
              </w:rPr>
              <w:t>Use native text first and OCR only the pages that fail the text-quality threshold</w:t>
            </w:r>
          </w:p>
        </w:tc>
      </w:tr>
      <w:tr>
        <w:trPr>
          <w:cantSplit w:val="true"/>
        </w:trPr>
        <w:tc>
          <w:tcPr>
            <w:tcW w:type="dxa" w:w="1800"/>
            <w:tcMar>
              <w:top w:w="80" w:type="dxa"/>
              <w:start w:w="120" w:type="dxa"/>
              <w:bottom w:w="80" w:type="dxa"/>
              <w:end w:w="120" w:type="dxa"/>
            </w:tcMar>
            <w:vAlign w:val="center"/>
          </w:tcPr>
          <w:p>
            <w:pPr>
              <w:pStyle w:val="TableText"/>
            </w:pPr>
            <w:r>
              <w:rPr>
                <w:rFonts w:ascii="Arial" w:hAnsi="Arial"/>
                <w:b w:val="0"/>
                <w:i w:val="0"/>
                <w:color w:val="000000"/>
                <w:sz w:val="17"/>
              </w:rPr>
              <w:t>Extraction</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7"/>
              </w:rPr>
              <w:t>Every page receives the same expensive analysis</w:t>
            </w:r>
          </w:p>
        </w:tc>
        <w:tc>
          <w:tcPr>
            <w:tcW w:type="dxa" w:w="4560"/>
            <w:tcMar>
              <w:top w:w="80" w:type="dxa"/>
              <w:start w:w="120" w:type="dxa"/>
              <w:bottom w:w="80" w:type="dxa"/>
              <w:end w:w="120" w:type="dxa"/>
            </w:tcMar>
            <w:vAlign w:val="center"/>
          </w:tcPr>
          <w:p>
            <w:pPr>
              <w:pStyle w:val="TableText"/>
            </w:pPr>
            <w:r>
              <w:rPr>
                <w:rFonts w:ascii="Arial" w:hAnsi="Arial"/>
                <w:b w:val="0"/>
                <w:i w:val="0"/>
                <w:color w:val="000000"/>
                <w:sz w:val="17"/>
              </w:rPr>
              <w:t>Classify pages and sections, then apply the required extraction while checking contract-level coverage</w:t>
            </w:r>
          </w:p>
        </w:tc>
      </w:tr>
      <w:tr>
        <w:trPr>
          <w:cantSplit w:val="true"/>
        </w:trPr>
        <w:tc>
          <w:tcPr>
            <w:tcW w:type="dxa" w:w="1800"/>
            <w:shd w:fill="FAFBFC"/>
            <w:tcMar>
              <w:top w:w="80" w:type="dxa"/>
              <w:start w:w="120" w:type="dxa"/>
              <w:bottom w:w="80" w:type="dxa"/>
              <w:end w:w="120" w:type="dxa"/>
            </w:tcMar>
            <w:vAlign w:val="center"/>
          </w:tcPr>
          <w:p>
            <w:pPr>
              <w:pStyle w:val="TableText"/>
            </w:pPr>
            <w:r>
              <w:rPr>
                <w:rFonts w:ascii="Arial" w:hAnsi="Arial"/>
                <w:b w:val="0"/>
                <w:i w:val="0"/>
                <w:color w:val="000000"/>
                <w:sz w:val="17"/>
              </w:rPr>
              <w:t>Retries</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7"/>
              </w:rPr>
              <w:t>A late failure causes a full-document rerun</w:t>
            </w:r>
          </w:p>
        </w:tc>
        <w:tc>
          <w:tcPr>
            <w:tcW w:type="dxa" w:w="4560"/>
            <w:shd w:fill="FAFBFC"/>
            <w:tcMar>
              <w:top w:w="80" w:type="dxa"/>
              <w:start w:w="120" w:type="dxa"/>
              <w:bottom w:w="80" w:type="dxa"/>
              <w:end w:w="120" w:type="dxa"/>
            </w:tcMar>
            <w:vAlign w:val="center"/>
          </w:tcPr>
          <w:p>
            <w:pPr>
              <w:pStyle w:val="TableText"/>
            </w:pPr>
            <w:r>
              <w:rPr>
                <w:rFonts w:ascii="Arial" w:hAnsi="Arial"/>
                <w:b w:val="0"/>
                <w:i w:val="0"/>
                <w:color w:val="000000"/>
                <w:sz w:val="17"/>
              </w:rPr>
              <w:t>Save versioned page and stage outputs and resume from the failed checkpoint</w:t>
            </w:r>
          </w:p>
        </w:tc>
      </w:tr>
      <w:tr>
        <w:trPr>
          <w:cantSplit w:val="true"/>
        </w:trPr>
        <w:tc>
          <w:tcPr>
            <w:tcW w:type="dxa" w:w="1800"/>
            <w:tcMar>
              <w:top w:w="80" w:type="dxa"/>
              <w:start w:w="120" w:type="dxa"/>
              <w:bottom w:w="80" w:type="dxa"/>
              <w:end w:w="120" w:type="dxa"/>
            </w:tcMar>
            <w:vAlign w:val="center"/>
          </w:tcPr>
          <w:p>
            <w:pPr>
              <w:pStyle w:val="TableText"/>
            </w:pPr>
            <w:r>
              <w:rPr>
                <w:rFonts w:ascii="Arial" w:hAnsi="Arial"/>
                <w:b w:val="0"/>
                <w:i w:val="0"/>
                <w:color w:val="000000"/>
                <w:sz w:val="17"/>
              </w:rPr>
              <w:t>Commercial control</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7"/>
              </w:rPr>
              <w:t>Actual cost exceeds the price or margin assumption</w:t>
            </w:r>
          </w:p>
        </w:tc>
        <w:tc>
          <w:tcPr>
            <w:tcW w:type="dxa" w:w="4560"/>
            <w:tcMar>
              <w:top w:w="80" w:type="dxa"/>
              <w:start w:w="120" w:type="dxa"/>
              <w:bottom w:w="80" w:type="dxa"/>
              <w:end w:w="120" w:type="dxa"/>
            </w:tcMar>
            <w:vAlign w:val="center"/>
          </w:tcPr>
          <w:p>
            <w:pPr>
              <w:pStyle w:val="TableText"/>
            </w:pPr>
            <w:r>
              <w:rPr>
                <w:rFonts w:ascii="Arial" w:hAnsi="Arial"/>
                <w:b w:val="0"/>
                <w:i w:val="0"/>
                <w:color w:val="000000"/>
                <w:sz w:val="17"/>
              </w:rPr>
              <w:t>Estimate before execution and apply an approved ceiling, price tier, exception, or manual route</w:t>
            </w:r>
          </w:p>
        </w:tc>
      </w:tr>
      <w:tr>
        <w:trPr>
          <w:cantSplit w:val="true"/>
        </w:trPr>
        <w:tc>
          <w:tcPr>
            <w:tcW w:type="dxa" w:w="1800"/>
            <w:shd w:fill="FAFBFC"/>
            <w:tcMar>
              <w:top w:w="80" w:type="dxa"/>
              <w:start w:w="120" w:type="dxa"/>
              <w:bottom w:w="80" w:type="dxa"/>
              <w:end w:w="120" w:type="dxa"/>
            </w:tcMar>
            <w:vAlign w:val="center"/>
          </w:tcPr>
          <w:p>
            <w:pPr>
              <w:pStyle w:val="TableText"/>
            </w:pPr>
            <w:r>
              <w:rPr>
                <w:rFonts w:ascii="Arial" w:hAnsi="Arial"/>
                <w:b w:val="0"/>
                <w:i w:val="0"/>
                <w:color w:val="000000"/>
                <w:sz w:val="17"/>
              </w:rPr>
              <w:t>Monitoring</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7"/>
              </w:rPr>
              <w:t>Cost drift is detected after margin has already been lost</w:t>
            </w:r>
          </w:p>
        </w:tc>
        <w:tc>
          <w:tcPr>
            <w:tcW w:type="dxa" w:w="4560"/>
            <w:shd w:fill="FAFBFC"/>
            <w:tcMar>
              <w:top w:w="80" w:type="dxa"/>
              <w:start w:w="120" w:type="dxa"/>
              <w:bottom w:w="80" w:type="dxa"/>
              <w:end w:w="120" w:type="dxa"/>
            </w:tcMar>
            <w:vAlign w:val="center"/>
          </w:tcPr>
          <w:p>
            <w:pPr>
              <w:pStyle w:val="TableText"/>
            </w:pPr>
            <w:r>
              <w:rPr>
                <w:rFonts w:ascii="Arial" w:hAnsi="Arial"/>
                <w:b w:val="0"/>
                <w:i w:val="0"/>
                <w:color w:val="000000"/>
                <w:sz w:val="17"/>
              </w:rPr>
              <w:t>Track estimated versus actual cost, cost per page, OCR share, model use, retry waste, and quality</w:t>
            </w:r>
          </w:p>
        </w:tc>
      </w:tr>
    </w:tbl>
    <w:p>
      <w:pPr>
        <w:spacing w:before="80" w:after="80"/>
      </w:pPr>
    </w:p>
    <w:p>
      <w:pPr>
        <w:pStyle w:val="Heading1"/>
      </w:pPr>
      <w:r>
        <w:t>6. Enrichment configuration maturity</w:t>
      </w:r>
    </w:p>
    <w:tbl>
      <w:tblPr>
        <w:tblW w:type="dxa" w:w="9360"/>
        <w:tblLayout w:type="fixed"/>
        <w:tblLook w:firstColumn="1" w:firstRow="1" w:lastColumn="0" w:lastRow="0" w:noHBand="0" w:noVBand="1" w:val="04A0"/>
        <w:tblInd w:w="120" w:type="dxa"/>
        <w:tblBorders>
          <w:top w:val="single" w:sz="4" w:space="0" w:color="FDEBEC"/>
          <w:left w:val="single" w:sz="4" w:space="0" w:color="FDEBEC"/>
          <w:bottom w:val="single" w:sz="4" w:space="0" w:color="FDEBEC"/>
          <w:right w:val="single" w:sz="4" w:space="0" w:color="FDEBEC"/>
          <w:insideH w:val="single" w:sz="4" w:space="0" w:color="FDEBEC"/>
          <w:insideV w:val="single" w:sz="4" w:space="0" w:color="FDEBEC"/>
        </w:tblBorders>
      </w:tblPr>
      <w:tblGrid>
        <w:gridCol w:w="9360"/>
      </w:tblGrid>
      <w:tr>
        <w:trPr>
          <w:cantSplit w:val="true"/>
        </w:trPr>
        <w:tc>
          <w:tcPr>
            <w:tcW w:type="dxa" w:w="9360"/>
            <w:tcMar>
              <w:top w:w="80" w:type="dxa"/>
              <w:start w:w="120" w:type="dxa"/>
              <w:bottom w:w="80" w:type="dxa"/>
              <w:end w:w="120" w:type="dxa"/>
            </w:tcMar>
            <w:vAlign w:val="center"/>
            <w:shd w:fill="FDEBEC"/>
          </w:tcPr>
          <w:p>
            <w:pPr>
              <w:pStyle w:val="CalloutLabel"/>
            </w:pPr>
            <w:r>
              <w:t>Gap statement</w:t>
            </w:r>
          </w:p>
          <w:p>
            <w:pPr>
              <w:spacing w:after="0"/>
            </w:pPr>
            <w:r>
              <w:t>Enrichment exists as a capability area, but configurations are not yet sufficiently refined to produce consistent, explainable, and context-aware outputs across data sources and business use cases.</w:t>
            </w:r>
          </w:p>
        </w:tc>
      </w:tr>
    </w:tbl>
    <w:p>
      <w:pPr>
        <w:spacing w:after="60"/>
      </w:pPr>
    </w:p>
    <w:p>
      <w:pPr>
        <w:pStyle w:val="Heading2"/>
      </w:pPr>
      <w:r>
        <w:t>Why it matters</w:t>
      </w:r>
    </w:p>
    <w:p>
      <w:pPr>
        <w:numPr>
          <w:ilvl w:val="0"/>
          <w:numId w:val="10"/>
        </w:numPr>
        <w:spacing w:after="160" w:line="280" w:lineRule="auto"/>
      </w:pPr>
      <w:r>
        <w:rPr>
          <w:rFonts w:ascii="Arial" w:hAnsi="Arial"/>
          <w:b/>
          <w:i w:val="0"/>
          <w:color w:val="0B2545"/>
          <w:sz w:val="22"/>
        </w:rPr>
        <w:t xml:space="preserve">Generic rules reduce precision. </w:t>
      </w:r>
      <w:r>
        <w:rPr>
          <w:rFonts w:ascii="Arial" w:hAnsi="Arial"/>
          <w:b w:val="0"/>
          <w:i w:val="0"/>
          <w:color w:val="000000"/>
          <w:sz w:val="22"/>
        </w:rPr>
        <w:t>The same rule set may not suit different source systems, languages, categories, customers, or data-quality levels.</w:t>
      </w:r>
    </w:p>
    <w:p>
      <w:pPr>
        <w:numPr>
          <w:ilvl w:val="0"/>
          <w:numId w:val="10"/>
        </w:numPr>
        <w:spacing w:after="160" w:line="280" w:lineRule="auto"/>
      </w:pPr>
      <w:r>
        <w:rPr>
          <w:rFonts w:ascii="Arial" w:hAnsi="Arial"/>
          <w:b/>
          <w:i w:val="0"/>
          <w:color w:val="0B2545"/>
          <w:sz w:val="22"/>
        </w:rPr>
        <w:t xml:space="preserve">Change risk is difficult to control. </w:t>
      </w:r>
      <w:r>
        <w:rPr>
          <w:rFonts w:ascii="Arial" w:hAnsi="Arial"/>
          <w:b w:val="0"/>
          <w:i w:val="0"/>
          <w:color w:val="000000"/>
          <w:sz w:val="22"/>
        </w:rPr>
        <w:t>Without versioning and regression evidence, configuration changes can silently alter downstream analytics and actions.</w:t>
      </w:r>
    </w:p>
    <w:p>
      <w:pPr>
        <w:numPr>
          <w:ilvl w:val="0"/>
          <w:numId w:val="10"/>
        </w:numPr>
        <w:spacing w:after="160" w:line="280" w:lineRule="auto"/>
      </w:pPr>
      <w:r>
        <w:rPr>
          <w:rFonts w:ascii="Arial" w:hAnsi="Arial"/>
          <w:b/>
          <w:i w:val="0"/>
          <w:color w:val="0B2545"/>
          <w:sz w:val="22"/>
        </w:rPr>
        <w:t xml:space="preserve">Provenance is weak. </w:t>
      </w:r>
      <w:r>
        <w:rPr>
          <w:rFonts w:ascii="Arial" w:hAnsi="Arial"/>
          <w:b w:val="0"/>
          <w:i w:val="0"/>
          <w:color w:val="000000"/>
          <w:sz w:val="22"/>
        </w:rPr>
        <w:t>Users need to know which source, rule, model, or mapping produced an enriched value and with what confidence.</w:t>
      </w:r>
    </w:p>
    <w:p>
      <w:pPr>
        <w:numPr>
          <w:ilvl w:val="0"/>
          <w:numId w:val="10"/>
        </w:numPr>
        <w:spacing w:after="160" w:line="280" w:lineRule="auto"/>
      </w:pPr>
      <w:r>
        <w:rPr>
          <w:rFonts w:ascii="Arial" w:hAnsi="Arial"/>
          <w:b/>
          <w:i w:val="0"/>
          <w:color w:val="0B2545"/>
          <w:sz w:val="22"/>
        </w:rPr>
        <w:t xml:space="preserve">Conflicts are hard to resolve. </w:t>
      </w:r>
      <w:r>
        <w:rPr>
          <w:rFonts w:ascii="Arial" w:hAnsi="Arial"/>
          <w:b w:val="0"/>
          <w:i w:val="0"/>
          <w:color w:val="000000"/>
          <w:sz w:val="22"/>
        </w:rPr>
        <w:t>Multiple candidate values require clear precedence, survivorship, and manual override rules.</w:t>
      </w:r>
    </w:p>
    <w:p>
      <w:pPr>
        <w:pStyle w:val="Heading2"/>
      </w:pPr>
      <w:r>
        <w:t>Target capability</w:t>
      </w:r>
    </w:p>
    <w:p>
      <w:pPr>
        <w:keepLines w:val="0"/>
        <w:spacing w:before="0" w:after="120" w:line="264" w:lineRule="auto"/>
      </w:pPr>
      <w:r>
        <w:rPr>
          <w:rFonts w:ascii="Arial" w:hAnsi="Arial"/>
          <w:b w:val="0"/>
          <w:i w:val="0"/>
          <w:color w:val="000000"/>
          <w:sz w:val="22"/>
        </w:rPr>
        <w:t>A configuration-driven enrichment framework with scoped rule sets, explicit precedence, versioning, provenance, confidence, quality gates, and business approval. Configurations should be reusable but capable of controlled source- or domain-specific overrides.</w:t>
      </w:r>
    </w:p>
    <w:p>
      <w:pPr>
        <w:pStyle w:val="Heading2"/>
      </w:pPr>
      <w:r>
        <w:t>Recommended actions</w:t>
      </w:r>
    </w:p>
    <w:p>
      <w:pPr>
        <w:numPr>
          <w:ilvl w:val="0"/>
          <w:numId w:val="10"/>
        </w:numPr>
        <w:spacing w:after="160" w:line="280" w:lineRule="auto"/>
      </w:pPr>
      <w:r>
        <w:rPr>
          <w:rFonts w:ascii="Arial" w:hAnsi="Arial"/>
          <w:b/>
          <w:i w:val="0"/>
          <w:color w:val="0B2545"/>
          <w:sz w:val="22"/>
        </w:rPr>
        <w:t xml:space="preserve">Create an enrichment configuration model. </w:t>
      </w:r>
      <w:r>
        <w:rPr>
          <w:rFonts w:ascii="Arial" w:hAnsi="Arial"/>
          <w:b w:val="0"/>
          <w:i w:val="0"/>
          <w:color w:val="000000"/>
          <w:sz w:val="22"/>
        </w:rPr>
        <w:t>Define inputs, conditions, transforms, reference versions, precedence, confidence, output contract, and error behavior.</w:t>
      </w:r>
    </w:p>
    <w:p>
      <w:pPr>
        <w:numPr>
          <w:ilvl w:val="0"/>
          <w:numId w:val="10"/>
        </w:numPr>
        <w:spacing w:after="160" w:line="280" w:lineRule="auto"/>
      </w:pPr>
      <w:r>
        <w:rPr>
          <w:rFonts w:ascii="Arial" w:hAnsi="Arial"/>
          <w:b/>
          <w:i w:val="0"/>
          <w:color w:val="0B2545"/>
          <w:sz w:val="22"/>
        </w:rPr>
        <w:t xml:space="preserve">Segment configurations deliberately. </w:t>
      </w:r>
      <w:r>
        <w:rPr>
          <w:rFonts w:ascii="Arial" w:hAnsi="Arial"/>
          <w:b w:val="0"/>
          <w:i w:val="0"/>
          <w:color w:val="000000"/>
          <w:sz w:val="22"/>
        </w:rPr>
        <w:t>Separate shared defaults from domain, customer, geography, language, and source-specific overrides.</w:t>
      </w:r>
    </w:p>
    <w:p>
      <w:pPr>
        <w:numPr>
          <w:ilvl w:val="0"/>
          <w:numId w:val="10"/>
        </w:numPr>
        <w:spacing w:after="160" w:line="280" w:lineRule="auto"/>
      </w:pPr>
      <w:r>
        <w:rPr>
          <w:rFonts w:ascii="Arial" w:hAnsi="Arial"/>
          <w:b/>
          <w:i w:val="0"/>
          <w:color w:val="0B2545"/>
          <w:sz w:val="22"/>
        </w:rPr>
        <w:t xml:space="preserve">Version and test every change. </w:t>
      </w:r>
      <w:r>
        <w:rPr>
          <w:rFonts w:ascii="Arial" w:hAnsi="Arial"/>
          <w:b w:val="0"/>
          <w:i w:val="0"/>
          <w:color w:val="000000"/>
          <w:sz w:val="22"/>
        </w:rPr>
        <w:t>Maintain sample fixtures, expected outputs, impact comparison, approval, deployment history, and rollback.</w:t>
      </w:r>
    </w:p>
    <w:p>
      <w:pPr>
        <w:numPr>
          <w:ilvl w:val="0"/>
          <w:numId w:val="10"/>
        </w:numPr>
        <w:spacing w:after="160" w:line="280" w:lineRule="auto"/>
      </w:pPr>
      <w:r>
        <w:rPr>
          <w:rFonts w:ascii="Arial" w:hAnsi="Arial"/>
          <w:b/>
          <w:i w:val="0"/>
          <w:color w:val="0B2545"/>
          <w:sz w:val="22"/>
        </w:rPr>
        <w:t xml:space="preserve">Capture provenance. </w:t>
      </w:r>
      <w:r>
        <w:rPr>
          <w:rFonts w:ascii="Arial" w:hAnsi="Arial"/>
          <w:b w:val="0"/>
          <w:i w:val="0"/>
          <w:color w:val="000000"/>
          <w:sz w:val="22"/>
        </w:rPr>
        <w:t>Store the original value, enriched value, method, configuration version, timestamp, confidence, and any reviewer decision.</w:t>
      </w:r>
    </w:p>
    <w:p>
      <w:pPr>
        <w:numPr>
          <w:ilvl w:val="0"/>
          <w:numId w:val="10"/>
        </w:numPr>
        <w:spacing w:after="160" w:line="280" w:lineRule="auto"/>
      </w:pPr>
      <w:r>
        <w:rPr>
          <w:rFonts w:ascii="Arial" w:hAnsi="Arial"/>
          <w:b/>
          <w:i w:val="0"/>
          <w:color w:val="0B2545"/>
          <w:sz w:val="22"/>
        </w:rPr>
        <w:t xml:space="preserve">Prioritize by action value. </w:t>
      </w:r>
      <w:r>
        <w:rPr>
          <w:rFonts w:ascii="Arial" w:hAnsi="Arial"/>
          <w:b w:val="0"/>
          <w:i w:val="0"/>
          <w:color w:val="000000"/>
          <w:sz w:val="22"/>
        </w:rPr>
        <w:t>Refine enrichments that directly improve high-value categorization, recommendations, compliance checks, or workflow triggers first.</w:t>
      </w:r>
    </w:p>
    <w:p>
      <w:pPr>
        <w:pStyle w:val="Heading2"/>
      </w:pPr>
      <w:r>
        <w:t>Enrichment configuration checklist</w:t>
      </w:r>
    </w:p>
    <w:tbl>
      <w:tblPr>
        <w:tblW w:type="dxa" w:w="9360"/>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F2F4F7"/>
          </w:tcPr>
          <w:p>
            <w:pPr>
              <w:pStyle w:val="TableHeader"/>
              <w:jc w:val="left"/>
            </w:pPr>
            <w:r>
              <w:rPr>
                <w:rFonts w:ascii="Arial" w:hAnsi="Arial"/>
                <w:b/>
                <w:i w:val="0"/>
                <w:color w:val="0B2545"/>
                <w:sz w:val="18"/>
              </w:rPr>
              <w:t>Configuration element</w:t>
            </w:r>
          </w:p>
        </w:tc>
        <w:tc>
          <w:tcPr>
            <w:tcW w:type="dxa" w:w="7160"/>
            <w:tcMar>
              <w:top w:w="80" w:type="dxa"/>
              <w:start w:w="120" w:type="dxa"/>
              <w:bottom w:w="80" w:type="dxa"/>
              <w:end w:w="120" w:type="dxa"/>
            </w:tcMar>
            <w:vAlign w:val="center"/>
            <w:shd w:fill="F2F4F7"/>
          </w:tcPr>
          <w:p>
            <w:pPr>
              <w:pStyle w:val="TableHeader"/>
              <w:jc w:val="left"/>
            </w:pPr>
            <w:r>
              <w:rPr>
                <w:rFonts w:ascii="Arial" w:hAnsi="Arial"/>
                <w:b/>
                <w:i w:val="0"/>
                <w:color w:val="0B2545"/>
                <w:sz w:val="18"/>
              </w:rPr>
              <w:t>Required definition</w:t>
            </w:r>
          </w:p>
        </w:tc>
      </w:tr>
      <w:tr>
        <w:trPr>
          <w:cantSplit w:val="true"/>
        </w:trPr>
        <w:tc>
          <w:tcPr>
            <w:tcW w:type="dxa" w:w="2200"/>
            <w:tcMar>
              <w:top w:w="80" w:type="dxa"/>
              <w:start w:w="120" w:type="dxa"/>
              <w:bottom w:w="80" w:type="dxa"/>
              <w:end w:w="120" w:type="dxa"/>
            </w:tcMar>
            <w:vAlign w:val="center"/>
          </w:tcPr>
          <w:p>
            <w:pPr>
              <w:pStyle w:val="TableText"/>
            </w:pPr>
            <w:r>
              <w:rPr>
                <w:rFonts w:ascii="Arial" w:hAnsi="Arial"/>
                <w:b w:val="0"/>
                <w:i w:val="0"/>
                <w:color w:val="000000"/>
                <w:sz w:val="18"/>
              </w:rPr>
              <w:t>Scope</w:t>
            </w:r>
          </w:p>
        </w:tc>
        <w:tc>
          <w:tcPr>
            <w:tcW w:type="dxa" w:w="7160"/>
            <w:tcMar>
              <w:top w:w="80" w:type="dxa"/>
              <w:start w:w="120" w:type="dxa"/>
              <w:bottom w:w="80" w:type="dxa"/>
              <w:end w:w="120" w:type="dxa"/>
            </w:tcMar>
            <w:vAlign w:val="center"/>
          </w:tcPr>
          <w:p>
            <w:pPr>
              <w:pStyle w:val="TableText"/>
            </w:pPr>
            <w:r>
              <w:rPr>
                <w:rFonts w:ascii="Arial" w:hAnsi="Arial"/>
                <w:b w:val="0"/>
                <w:i w:val="0"/>
                <w:color w:val="000000"/>
                <w:sz w:val="18"/>
              </w:rPr>
              <w:t>Which source, domain, customer, language, or category does the configuration apply to?</w:t>
            </w:r>
          </w:p>
        </w:tc>
      </w:tr>
      <w:tr>
        <w:trPr>
          <w:cantSplit w:val="true"/>
        </w:trPr>
        <w:tc>
          <w:tcPr>
            <w:tcW w:type="dxa" w:w="2200"/>
            <w:shd w:fill="FAFBFC"/>
            <w:tcMar>
              <w:top w:w="80" w:type="dxa"/>
              <w:start w:w="120" w:type="dxa"/>
              <w:bottom w:w="80" w:type="dxa"/>
              <w:end w:w="120" w:type="dxa"/>
            </w:tcMar>
            <w:vAlign w:val="center"/>
          </w:tcPr>
          <w:p>
            <w:pPr>
              <w:pStyle w:val="TableText"/>
            </w:pPr>
            <w:r>
              <w:rPr>
                <w:rFonts w:ascii="Arial" w:hAnsi="Arial"/>
                <w:b w:val="0"/>
                <w:i w:val="0"/>
                <w:color w:val="000000"/>
                <w:sz w:val="18"/>
              </w:rPr>
              <w:t>Inputs</w:t>
            </w:r>
          </w:p>
        </w:tc>
        <w:tc>
          <w:tcPr>
            <w:tcW w:type="dxa" w:w="7160"/>
            <w:shd w:fill="FAFBFC"/>
            <w:tcMar>
              <w:top w:w="80" w:type="dxa"/>
              <w:start w:w="120" w:type="dxa"/>
              <w:bottom w:w="80" w:type="dxa"/>
              <w:end w:w="120" w:type="dxa"/>
            </w:tcMar>
            <w:vAlign w:val="center"/>
          </w:tcPr>
          <w:p>
            <w:pPr>
              <w:pStyle w:val="TableText"/>
            </w:pPr>
            <w:r>
              <w:rPr>
                <w:rFonts w:ascii="Arial" w:hAnsi="Arial"/>
                <w:b w:val="0"/>
                <w:i w:val="0"/>
                <w:color w:val="000000"/>
                <w:sz w:val="18"/>
              </w:rPr>
              <w:t>Which fields and reference datasets are required, and what happens when they are missing?</w:t>
            </w:r>
          </w:p>
        </w:tc>
      </w:tr>
      <w:tr>
        <w:trPr>
          <w:cantSplit w:val="true"/>
        </w:trPr>
        <w:tc>
          <w:tcPr>
            <w:tcW w:type="dxa" w:w="2200"/>
            <w:tcMar>
              <w:top w:w="80" w:type="dxa"/>
              <w:start w:w="120" w:type="dxa"/>
              <w:bottom w:w="80" w:type="dxa"/>
              <w:end w:w="120" w:type="dxa"/>
            </w:tcMar>
            <w:vAlign w:val="center"/>
          </w:tcPr>
          <w:p>
            <w:pPr>
              <w:pStyle w:val="TableText"/>
            </w:pPr>
            <w:r>
              <w:rPr>
                <w:rFonts w:ascii="Arial" w:hAnsi="Arial"/>
                <w:b w:val="0"/>
                <w:i w:val="0"/>
                <w:color w:val="000000"/>
                <w:sz w:val="18"/>
              </w:rPr>
              <w:t>Decision logic</w:t>
            </w:r>
          </w:p>
        </w:tc>
        <w:tc>
          <w:tcPr>
            <w:tcW w:type="dxa" w:w="7160"/>
            <w:tcMar>
              <w:top w:w="80" w:type="dxa"/>
              <w:start w:w="120" w:type="dxa"/>
              <w:bottom w:w="80" w:type="dxa"/>
              <w:end w:w="120" w:type="dxa"/>
            </w:tcMar>
            <w:vAlign w:val="center"/>
          </w:tcPr>
          <w:p>
            <w:pPr>
              <w:pStyle w:val="TableText"/>
            </w:pPr>
            <w:r>
              <w:rPr>
                <w:rFonts w:ascii="Arial" w:hAnsi="Arial"/>
                <w:b w:val="0"/>
                <w:i w:val="0"/>
                <w:color w:val="000000"/>
                <w:sz w:val="18"/>
              </w:rPr>
              <w:t>What rules, mappings, models, thresholds, and precedence determine the result?</w:t>
            </w:r>
          </w:p>
        </w:tc>
      </w:tr>
      <w:tr>
        <w:trPr>
          <w:cantSplit w:val="true"/>
        </w:trPr>
        <w:tc>
          <w:tcPr>
            <w:tcW w:type="dxa" w:w="2200"/>
            <w:shd w:fill="FAFBFC"/>
            <w:tcMar>
              <w:top w:w="80" w:type="dxa"/>
              <w:start w:w="120" w:type="dxa"/>
              <w:bottom w:w="80" w:type="dxa"/>
              <w:end w:w="120" w:type="dxa"/>
            </w:tcMar>
            <w:vAlign w:val="center"/>
          </w:tcPr>
          <w:p>
            <w:pPr>
              <w:pStyle w:val="TableText"/>
            </w:pPr>
            <w:r>
              <w:rPr>
                <w:rFonts w:ascii="Arial" w:hAnsi="Arial"/>
                <w:b w:val="0"/>
                <w:i w:val="0"/>
                <w:color w:val="000000"/>
                <w:sz w:val="18"/>
              </w:rPr>
              <w:t>Evidence</w:t>
            </w:r>
          </w:p>
        </w:tc>
        <w:tc>
          <w:tcPr>
            <w:tcW w:type="dxa" w:w="7160"/>
            <w:shd w:fill="FAFBFC"/>
            <w:tcMar>
              <w:top w:w="80" w:type="dxa"/>
              <w:start w:w="120" w:type="dxa"/>
              <w:bottom w:w="80" w:type="dxa"/>
              <w:end w:w="120" w:type="dxa"/>
            </w:tcMar>
            <w:vAlign w:val="center"/>
          </w:tcPr>
          <w:p>
            <w:pPr>
              <w:pStyle w:val="TableText"/>
            </w:pPr>
            <w:r>
              <w:rPr>
                <w:rFonts w:ascii="Arial" w:hAnsi="Arial"/>
                <w:b w:val="0"/>
                <w:i w:val="0"/>
                <w:color w:val="000000"/>
                <w:sz w:val="18"/>
              </w:rPr>
              <w:t>What provenance and confidence are stored with the enriched value?</w:t>
            </w:r>
          </w:p>
        </w:tc>
      </w:tr>
      <w:tr>
        <w:trPr>
          <w:cantSplit w:val="true"/>
        </w:trPr>
        <w:tc>
          <w:tcPr>
            <w:tcW w:type="dxa" w:w="2200"/>
            <w:tcMar>
              <w:top w:w="80" w:type="dxa"/>
              <w:start w:w="120" w:type="dxa"/>
              <w:bottom w:w="80" w:type="dxa"/>
              <w:end w:w="120" w:type="dxa"/>
            </w:tcMar>
            <w:vAlign w:val="center"/>
          </w:tcPr>
          <w:p>
            <w:pPr>
              <w:pStyle w:val="TableText"/>
            </w:pPr>
            <w:r>
              <w:rPr>
                <w:rFonts w:ascii="Arial" w:hAnsi="Arial"/>
                <w:b w:val="0"/>
                <w:i w:val="0"/>
                <w:color w:val="000000"/>
                <w:sz w:val="18"/>
              </w:rPr>
              <w:t>Quality</w:t>
            </w:r>
          </w:p>
        </w:tc>
        <w:tc>
          <w:tcPr>
            <w:tcW w:type="dxa" w:w="7160"/>
            <w:tcMar>
              <w:top w:w="80" w:type="dxa"/>
              <w:start w:w="120" w:type="dxa"/>
              <w:bottom w:w="80" w:type="dxa"/>
              <w:end w:w="120" w:type="dxa"/>
            </w:tcMar>
            <w:vAlign w:val="center"/>
          </w:tcPr>
          <w:p>
            <w:pPr>
              <w:pStyle w:val="TableText"/>
            </w:pPr>
            <w:r>
              <w:rPr>
                <w:rFonts w:ascii="Arial" w:hAnsi="Arial"/>
                <w:b w:val="0"/>
                <w:i w:val="0"/>
                <w:color w:val="000000"/>
                <w:sz w:val="18"/>
              </w:rPr>
              <w:t>Which tests, samples, and business thresholds must pass before release?</w:t>
            </w:r>
          </w:p>
        </w:tc>
      </w:tr>
      <w:tr>
        <w:trPr>
          <w:cantSplit w:val="true"/>
        </w:trPr>
        <w:tc>
          <w:tcPr>
            <w:tcW w:type="dxa" w:w="2200"/>
            <w:shd w:fill="FAFBFC"/>
            <w:tcMar>
              <w:top w:w="80" w:type="dxa"/>
              <w:start w:w="120" w:type="dxa"/>
              <w:bottom w:w="80" w:type="dxa"/>
              <w:end w:w="120" w:type="dxa"/>
            </w:tcMar>
            <w:vAlign w:val="center"/>
          </w:tcPr>
          <w:p>
            <w:pPr>
              <w:pStyle w:val="TableText"/>
            </w:pPr>
            <w:r>
              <w:rPr>
                <w:rFonts w:ascii="Arial" w:hAnsi="Arial"/>
                <w:b w:val="0"/>
                <w:i w:val="0"/>
                <w:color w:val="000000"/>
                <w:sz w:val="18"/>
              </w:rPr>
              <w:t>Lifecycle</w:t>
            </w:r>
          </w:p>
        </w:tc>
        <w:tc>
          <w:tcPr>
            <w:tcW w:type="dxa" w:w="7160"/>
            <w:shd w:fill="FAFBFC"/>
            <w:tcMar>
              <w:top w:w="80" w:type="dxa"/>
              <w:start w:w="120" w:type="dxa"/>
              <w:bottom w:w="80" w:type="dxa"/>
              <w:end w:w="120" w:type="dxa"/>
            </w:tcMar>
            <w:vAlign w:val="center"/>
          </w:tcPr>
          <w:p>
            <w:pPr>
              <w:pStyle w:val="TableText"/>
            </w:pPr>
            <w:r>
              <w:rPr>
                <w:rFonts w:ascii="Arial" w:hAnsi="Arial"/>
                <w:b w:val="0"/>
                <w:i w:val="0"/>
                <w:color w:val="000000"/>
                <w:sz w:val="18"/>
              </w:rPr>
              <w:t>Who approves, versions, monitors, rolls back, and retires the configuration?</w:t>
            </w:r>
          </w:p>
        </w:tc>
      </w:tr>
    </w:tbl>
    <w:p>
      <w:pPr>
        <w:spacing w:before="80" w:after="80"/>
      </w:pPr>
    </w:p>
    <w:p>
      <w:pPr>
        <w:pStyle w:val="Heading1"/>
      </w:pPr>
      <w:r>
        <w:t>7. AWS integration and end-to-end workflow execution</w:t>
      </w:r>
    </w:p>
    <w:tbl>
      <w:tblPr>
        <w:tblW w:type="dxa" w:w="9360"/>
        <w:tblLayout w:type="fixed"/>
        <w:tblLook w:firstColumn="1" w:firstRow="1" w:lastColumn="0" w:lastRow="0" w:noHBand="0" w:noVBand="1" w:val="04A0"/>
        <w:tblInd w:w="120" w:type="dxa"/>
        <w:tblBorders>
          <w:top w:val="single" w:sz="4" w:space="0" w:color="FDEBEC"/>
          <w:left w:val="single" w:sz="4" w:space="0" w:color="FDEBEC"/>
          <w:bottom w:val="single" w:sz="4" w:space="0" w:color="FDEBEC"/>
          <w:right w:val="single" w:sz="4" w:space="0" w:color="FDEBEC"/>
          <w:insideH w:val="single" w:sz="4" w:space="0" w:color="FDEBEC"/>
          <w:insideV w:val="single" w:sz="4" w:space="0" w:color="FDEBEC"/>
        </w:tblBorders>
      </w:tblPr>
      <w:tblGrid>
        <w:gridCol w:w="9360"/>
      </w:tblGrid>
      <w:tr>
        <w:trPr>
          <w:cantSplit w:val="true"/>
        </w:trPr>
        <w:tc>
          <w:tcPr>
            <w:tcW w:type="dxa" w:w="9360"/>
            <w:tcMar>
              <w:top w:w="80" w:type="dxa"/>
              <w:start w:w="120" w:type="dxa"/>
              <w:bottom w:w="80" w:type="dxa"/>
              <w:end w:w="120" w:type="dxa"/>
            </w:tcMar>
            <w:vAlign w:val="center"/>
            <w:shd w:fill="FDEBEC"/>
          </w:tcPr>
          <w:p>
            <w:pPr>
              <w:pStyle w:val="CalloutLabel"/>
            </w:pPr>
            <w:r>
              <w:t>Gap statement</w:t>
            </w:r>
          </w:p>
          <w:p>
            <w:pPr>
              <w:spacing w:after="0"/>
            </w:pPr>
            <w:r>
              <w:t>The AWS infrastructure components are present or underway, but the integrated deployment and complete execution of Optivian workflows are not yet proven. The remaining gap includes application and data-service integration, orchestration, environment configuration, security, observability, release controls, and operational recovery.</w:t>
            </w:r>
          </w:p>
        </w:tc>
      </w:tr>
    </w:tbl>
    <w:p>
      <w:pPr>
        <w:spacing w:after="60"/>
      </w:pPr>
    </w:p>
    <w:p>
      <w:pPr>
        <w:pStyle w:val="Heading2"/>
      </w:pPr>
      <w:r>
        <w:t>Why it matters</w:t>
      </w:r>
    </w:p>
    <w:p>
      <w:pPr>
        <w:numPr>
          <w:ilvl w:val="0"/>
          <w:numId w:val="10"/>
        </w:numPr>
        <w:spacing w:after="160" w:line="280" w:lineRule="auto"/>
      </w:pPr>
      <w:r>
        <w:rPr>
          <w:rFonts w:ascii="Arial" w:hAnsi="Arial"/>
          <w:b/>
          <w:i w:val="0"/>
          <w:color w:val="0B2545"/>
          <w:sz w:val="22"/>
        </w:rPr>
        <w:t xml:space="preserve">Components do not equal a platform. </w:t>
      </w:r>
      <w:r>
        <w:rPr>
          <w:rFonts w:ascii="Arial" w:hAnsi="Arial"/>
          <w:b w:val="0"/>
          <w:i w:val="0"/>
          <w:color w:val="000000"/>
          <w:sz w:val="22"/>
        </w:rPr>
        <w:t>Individual resources can exist while identities, networking, configuration, data movement, orchestration, and dependencies remain disconnected.</w:t>
      </w:r>
    </w:p>
    <w:p>
      <w:pPr>
        <w:numPr>
          <w:ilvl w:val="0"/>
          <w:numId w:val="10"/>
        </w:numPr>
        <w:spacing w:after="160" w:line="280" w:lineRule="auto"/>
      </w:pPr>
      <w:r>
        <w:rPr>
          <w:rFonts w:ascii="Arial" w:hAnsi="Arial"/>
          <w:b/>
          <w:i w:val="0"/>
          <w:color w:val="0B2545"/>
          <w:sz w:val="22"/>
        </w:rPr>
        <w:t xml:space="preserve">Delivery risk remains hidden. </w:t>
      </w:r>
      <w:r>
        <w:rPr>
          <w:rFonts w:ascii="Arial" w:hAnsi="Arial"/>
          <w:b w:val="0"/>
          <w:i w:val="0"/>
          <w:color w:val="000000"/>
          <w:sz w:val="22"/>
        </w:rPr>
        <w:t>Without repeatable deployment and an end-to-end test, failures may appear only during production-like execution.</w:t>
      </w:r>
    </w:p>
    <w:p>
      <w:pPr>
        <w:numPr>
          <w:ilvl w:val="0"/>
          <w:numId w:val="10"/>
        </w:numPr>
        <w:spacing w:after="160" w:line="280" w:lineRule="auto"/>
      </w:pPr>
      <w:r>
        <w:rPr>
          <w:rFonts w:ascii="Arial" w:hAnsi="Arial"/>
          <w:b/>
          <w:i w:val="0"/>
          <w:color w:val="0B2545"/>
          <w:sz w:val="22"/>
        </w:rPr>
        <w:t xml:space="preserve">Operations are not yet demonstrable. </w:t>
      </w:r>
      <w:r>
        <w:rPr>
          <w:rFonts w:ascii="Arial" w:hAnsi="Arial"/>
          <w:b w:val="0"/>
          <w:i w:val="0"/>
          <w:color w:val="000000"/>
          <w:sz w:val="22"/>
        </w:rPr>
        <w:t>Teams need evidence that runs can be monitored, retried, replayed, rolled back, and audited under realistic conditions.</w:t>
      </w:r>
    </w:p>
    <w:p>
      <w:pPr>
        <w:numPr>
          <w:ilvl w:val="0"/>
          <w:numId w:val="10"/>
        </w:numPr>
        <w:spacing w:after="160" w:line="280" w:lineRule="auto"/>
      </w:pPr>
      <w:r>
        <w:rPr>
          <w:rFonts w:ascii="Arial" w:hAnsi="Arial"/>
          <w:b/>
          <w:i w:val="0"/>
          <w:color w:val="0B2545"/>
          <w:sz w:val="22"/>
        </w:rPr>
        <w:t xml:space="preserve">Security must be validated in context. </w:t>
      </w:r>
      <w:r>
        <w:rPr>
          <w:rFonts w:ascii="Arial" w:hAnsi="Arial"/>
          <w:b w:val="0"/>
          <w:i w:val="0"/>
          <w:color w:val="000000"/>
          <w:sz w:val="22"/>
        </w:rPr>
        <w:t>Least privilege, secrets, encryption, logging, data isolation, and access review must cover the complete workflow rather than isolated resources.</w:t>
      </w:r>
    </w:p>
    <w:p>
      <w:pPr>
        <w:pStyle w:val="Heading2"/>
      </w:pPr>
      <w:r>
        <w:t>Target capability</w:t>
      </w:r>
    </w:p>
    <w:p>
      <w:pPr>
        <w:keepLines w:val="0"/>
        <w:spacing w:before="0" w:after="120" w:line="264" w:lineRule="auto"/>
      </w:pPr>
      <w:r>
        <w:rPr>
          <w:rFonts w:ascii="Arial" w:hAnsi="Arial"/>
          <w:b w:val="0"/>
          <w:i w:val="0"/>
          <w:color w:val="000000"/>
          <w:sz w:val="22"/>
        </w:rPr>
        <w:t>A repeatable, environment-aware AWS deployment that executes representative Optivian workflows end to end—from source arrival through ingestion, quality, categorization, enrichment, publication, and approved action—under observable, secure, and recoverable operating controls.</w:t>
      </w:r>
    </w:p>
    <w:p>
      <w:pPr>
        <w:pStyle w:val="Heading2"/>
      </w:pPr>
      <w:r>
        <w:t>Recommended actions</w:t>
      </w:r>
    </w:p>
    <w:p>
      <w:pPr>
        <w:numPr>
          <w:ilvl w:val="0"/>
          <w:numId w:val="10"/>
        </w:numPr>
        <w:spacing w:after="160" w:line="280" w:lineRule="auto"/>
      </w:pPr>
      <w:r>
        <w:rPr>
          <w:rFonts w:ascii="Arial" w:hAnsi="Arial"/>
          <w:b/>
          <w:i w:val="0"/>
          <w:color w:val="0B2545"/>
          <w:sz w:val="22"/>
        </w:rPr>
        <w:t xml:space="preserve">Baseline the deployed architecture. </w:t>
      </w:r>
      <w:r>
        <w:rPr>
          <w:rFonts w:ascii="Arial" w:hAnsi="Arial"/>
          <w:b w:val="0"/>
          <w:i w:val="0"/>
          <w:color w:val="000000"/>
          <w:sz w:val="22"/>
        </w:rPr>
        <w:t>Inventory components, environments, network paths, identities, configuration, data stores, orchestration, dependencies, and unresolved decisions.</w:t>
      </w:r>
    </w:p>
    <w:p>
      <w:pPr>
        <w:numPr>
          <w:ilvl w:val="0"/>
          <w:numId w:val="10"/>
        </w:numPr>
        <w:spacing w:after="160" w:line="280" w:lineRule="auto"/>
      </w:pPr>
      <w:r>
        <w:rPr>
          <w:rFonts w:ascii="Arial" w:hAnsi="Arial"/>
          <w:b/>
          <w:i w:val="0"/>
          <w:color w:val="0B2545"/>
          <w:sz w:val="22"/>
        </w:rPr>
        <w:t xml:space="preserve">Define the release workflow. </w:t>
      </w:r>
      <w:r>
        <w:rPr>
          <w:rFonts w:ascii="Arial" w:hAnsi="Arial"/>
          <w:b w:val="0"/>
          <w:i w:val="0"/>
          <w:color w:val="000000"/>
          <w:sz w:val="22"/>
        </w:rPr>
        <w:t>Automate build, test, infrastructure change review, deployment, configuration promotion, data migrations where applicable, verification, and rollback.</w:t>
      </w:r>
    </w:p>
    <w:p>
      <w:pPr>
        <w:numPr>
          <w:ilvl w:val="0"/>
          <w:numId w:val="10"/>
        </w:numPr>
        <w:spacing w:after="160" w:line="280" w:lineRule="auto"/>
      </w:pPr>
      <w:r>
        <w:rPr>
          <w:rFonts w:ascii="Arial" w:hAnsi="Arial"/>
          <w:b/>
          <w:i w:val="0"/>
          <w:color w:val="0B2545"/>
          <w:sz w:val="22"/>
        </w:rPr>
        <w:t xml:space="preserve">Integrate orchestration and run control. </w:t>
      </w:r>
      <w:r>
        <w:rPr>
          <w:rFonts w:ascii="Arial" w:hAnsi="Arial"/>
          <w:b w:val="0"/>
          <w:i w:val="0"/>
          <w:color w:val="000000"/>
          <w:sz w:val="22"/>
        </w:rPr>
        <w:t>Establish triggers, dependency handling, retries, idempotency, timeouts, backfills, concurrency rules, and failure isolation.</w:t>
      </w:r>
    </w:p>
    <w:p>
      <w:pPr>
        <w:numPr>
          <w:ilvl w:val="0"/>
          <w:numId w:val="10"/>
        </w:numPr>
        <w:spacing w:after="160" w:line="280" w:lineRule="auto"/>
      </w:pPr>
      <w:r>
        <w:rPr>
          <w:rFonts w:ascii="Arial" w:hAnsi="Arial"/>
          <w:b/>
          <w:i w:val="0"/>
          <w:color w:val="0B2545"/>
          <w:sz w:val="22"/>
        </w:rPr>
        <w:t xml:space="preserve">Implement observability. </w:t>
      </w:r>
      <w:r>
        <w:rPr>
          <w:rFonts w:ascii="Arial" w:hAnsi="Arial"/>
          <w:b w:val="0"/>
          <w:i w:val="0"/>
          <w:color w:val="000000"/>
          <w:sz w:val="22"/>
        </w:rPr>
        <w:t>Use correlated run identifiers, structured logs, metrics, alerts, data-quality results, lineage, and operational dashboards with named response owners.</w:t>
      </w:r>
    </w:p>
    <w:p>
      <w:pPr>
        <w:numPr>
          <w:ilvl w:val="0"/>
          <w:numId w:val="10"/>
        </w:numPr>
        <w:spacing w:after="160" w:line="280" w:lineRule="auto"/>
      </w:pPr>
      <w:r>
        <w:rPr>
          <w:rFonts w:ascii="Arial" w:hAnsi="Arial"/>
          <w:b/>
          <w:i w:val="0"/>
          <w:color w:val="0B2545"/>
          <w:sz w:val="22"/>
        </w:rPr>
        <w:t xml:space="preserve">Prove production scenarios. </w:t>
      </w:r>
      <w:r>
        <w:rPr>
          <w:rFonts w:ascii="Arial" w:hAnsi="Arial"/>
          <w:b w:val="0"/>
          <w:i w:val="0"/>
          <w:color w:val="000000"/>
          <w:sz w:val="22"/>
        </w:rPr>
        <w:t>Execute happy path, bad data, missing dependency, late source, partial failure, retry, replay, and rollback tests in a production-like environment.</w:t>
      </w:r>
    </w:p>
    <w:p>
      <w:pPr>
        <w:numPr>
          <w:ilvl w:val="0"/>
          <w:numId w:val="10"/>
        </w:numPr>
        <w:spacing w:after="160" w:line="280" w:lineRule="auto"/>
      </w:pPr>
      <w:r>
        <w:rPr>
          <w:rFonts w:ascii="Arial" w:hAnsi="Arial"/>
          <w:b/>
          <w:i w:val="0"/>
          <w:color w:val="0B2545"/>
          <w:sz w:val="22"/>
        </w:rPr>
        <w:t xml:space="preserve">Complete operational readiness. </w:t>
      </w:r>
      <w:r>
        <w:rPr>
          <w:rFonts w:ascii="Arial" w:hAnsi="Arial"/>
          <w:b w:val="0"/>
          <w:i w:val="0"/>
          <w:color w:val="000000"/>
          <w:sz w:val="22"/>
        </w:rPr>
        <w:t>Approve runbooks, access, on-call ownership, backup and recovery evidence, cost thresholds, and go-live criteria.</w:t>
      </w:r>
    </w:p>
    <w:p>
      <w:pPr>
        <w:pStyle w:val="Heading1"/>
      </w:pPr>
      <w:r>
        <w:t>8. From data outputs to business actions</w:t>
      </w:r>
    </w:p>
    <w:p>
      <w:pPr>
        <w:keepLines w:val="0"/>
        <w:spacing w:before="0" w:after="120" w:line="264" w:lineRule="auto"/>
      </w:pPr>
      <w:r>
        <w:rPr>
          <w:rFonts w:ascii="Arial" w:hAnsi="Arial"/>
          <w:b w:val="0"/>
          <w:i w:val="0"/>
          <w:color w:val="000000"/>
          <w:sz w:val="22"/>
        </w:rPr>
        <w:t>The purpose of closing these gaps is not only to improve data processing. It is to create a controlled path from evidence to action. Optivian should distinguish between an analytical signal, a recommended action, an approved action, and an executed action so that automation remains explainable and governed.</w:t>
      </w:r>
    </w:p>
    <w:p>
      <w:pPr>
        <w:numPr>
          <w:ilvl w:val="0"/>
          <w:numId w:val="12"/>
        </w:numPr>
        <w:spacing w:after="160" w:line="280" w:lineRule="auto"/>
      </w:pPr>
      <w:r>
        <w:rPr>
          <w:rFonts w:ascii="Arial" w:hAnsi="Arial"/>
          <w:b/>
          <w:i w:val="0"/>
          <w:color w:val="0B2545"/>
          <w:sz w:val="22"/>
        </w:rPr>
        <w:t xml:space="preserve">Detect: </w:t>
      </w:r>
      <w:r>
        <w:rPr>
          <w:rFonts w:ascii="Arial" w:hAnsi="Arial"/>
          <w:b w:val="0"/>
          <w:i w:val="0"/>
          <w:color w:val="000000"/>
          <w:sz w:val="22"/>
        </w:rPr>
        <w:t>Identify a condition from current, quality-controlled data.</w:t>
      </w:r>
    </w:p>
    <w:p>
      <w:pPr>
        <w:numPr>
          <w:ilvl w:val="0"/>
          <w:numId w:val="12"/>
        </w:numPr>
        <w:spacing w:after="160" w:line="280" w:lineRule="auto"/>
      </w:pPr>
      <w:r>
        <w:rPr>
          <w:rFonts w:ascii="Arial" w:hAnsi="Arial"/>
          <w:b/>
          <w:i w:val="0"/>
          <w:color w:val="0B2545"/>
          <w:sz w:val="22"/>
        </w:rPr>
        <w:t xml:space="preserve">Decide: </w:t>
      </w:r>
      <w:r>
        <w:rPr>
          <w:rFonts w:ascii="Arial" w:hAnsi="Arial"/>
          <w:b w:val="0"/>
          <w:i w:val="0"/>
          <w:color w:val="000000"/>
          <w:sz w:val="22"/>
        </w:rPr>
        <w:t>Apply a policy, model, or rule and produce a recommendation with evidence and confidence.</w:t>
      </w:r>
    </w:p>
    <w:p>
      <w:pPr>
        <w:numPr>
          <w:ilvl w:val="0"/>
          <w:numId w:val="12"/>
        </w:numPr>
        <w:spacing w:after="160" w:line="280" w:lineRule="auto"/>
      </w:pPr>
      <w:r>
        <w:rPr>
          <w:rFonts w:ascii="Arial" w:hAnsi="Arial"/>
          <w:b/>
          <w:i w:val="0"/>
          <w:color w:val="0B2545"/>
          <w:sz w:val="22"/>
        </w:rPr>
        <w:t xml:space="preserve">Approve: </w:t>
      </w:r>
      <w:r>
        <w:rPr>
          <w:rFonts w:ascii="Arial" w:hAnsi="Arial"/>
          <w:b w:val="0"/>
          <w:i w:val="0"/>
          <w:color w:val="000000"/>
          <w:sz w:val="22"/>
        </w:rPr>
        <w:t>Route high-impact or low-confidence recommendations to the appropriate business owner.</w:t>
      </w:r>
    </w:p>
    <w:p>
      <w:pPr>
        <w:numPr>
          <w:ilvl w:val="0"/>
          <w:numId w:val="12"/>
        </w:numPr>
        <w:spacing w:after="160" w:line="280" w:lineRule="auto"/>
      </w:pPr>
      <w:r>
        <w:rPr>
          <w:rFonts w:ascii="Arial" w:hAnsi="Arial"/>
          <w:b/>
          <w:i w:val="0"/>
          <w:color w:val="0B2545"/>
          <w:sz w:val="22"/>
        </w:rPr>
        <w:t xml:space="preserve">Execute: </w:t>
      </w:r>
      <w:r>
        <w:rPr>
          <w:rFonts w:ascii="Arial" w:hAnsi="Arial"/>
          <w:b w:val="0"/>
          <w:i w:val="0"/>
          <w:color w:val="000000"/>
          <w:sz w:val="22"/>
        </w:rPr>
        <w:t>Trigger the target workflow or create an assigned task through an idempotent integration.</w:t>
      </w:r>
    </w:p>
    <w:p>
      <w:pPr>
        <w:numPr>
          <w:ilvl w:val="0"/>
          <w:numId w:val="12"/>
        </w:numPr>
        <w:spacing w:after="160" w:line="280" w:lineRule="auto"/>
      </w:pPr>
      <w:r>
        <w:rPr>
          <w:rFonts w:ascii="Arial" w:hAnsi="Arial"/>
          <w:b/>
          <w:i w:val="0"/>
          <w:color w:val="0B2545"/>
          <w:sz w:val="22"/>
        </w:rPr>
        <w:t xml:space="preserve">Audit and learn: </w:t>
      </w:r>
      <w:r>
        <w:rPr>
          <w:rFonts w:ascii="Arial" w:hAnsi="Arial"/>
          <w:b w:val="0"/>
          <w:i w:val="0"/>
          <w:color w:val="000000"/>
          <w:sz w:val="22"/>
        </w:rPr>
        <w:t>Record the outcome, capture corrections, and feed validated results back into quality, categorization, and enrichment.</w:t>
      </w:r>
    </w:p>
    <w:p>
      <w:pPr>
        <w:pStyle w:val="Heading2"/>
      </w:pPr>
      <w:r>
        <w:t>Candidate action patterns</w:t>
      </w:r>
    </w:p>
    <w:tbl>
      <w:tblPr>
        <w:tblW w:type="dxa" w:w="9360"/>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500"/>
        <w:gridCol w:w="3000"/>
        <w:gridCol w:w="3000"/>
        <w:gridCol w:w="1860"/>
      </w:tblGrid>
      <w:tr>
        <w:trPr>
          <w:tblHeader w:val="true"/>
          <w:cantSplit w:val="true"/>
        </w:trPr>
        <w:tc>
          <w:tcPr>
            <w:tcW w:type="dxa" w:w="1500"/>
            <w:tcMar>
              <w:top w:w="80" w:type="dxa"/>
              <w:start w:w="120" w:type="dxa"/>
              <w:bottom w:w="80" w:type="dxa"/>
              <w:end w:w="120" w:type="dxa"/>
            </w:tcMar>
            <w:vAlign w:val="center"/>
            <w:shd w:fill="F2F4F7"/>
          </w:tcPr>
          <w:p>
            <w:pPr>
              <w:pStyle w:val="TableHeader"/>
              <w:jc w:val="left"/>
            </w:pPr>
            <w:r>
              <w:rPr>
                <w:rFonts w:ascii="Arial" w:hAnsi="Arial"/>
                <w:b/>
                <w:i w:val="0"/>
                <w:color w:val="0B2545"/>
                <w:sz w:val="17"/>
              </w:rPr>
              <w:t>Action area</w:t>
            </w:r>
          </w:p>
        </w:tc>
        <w:tc>
          <w:tcPr>
            <w:tcW w:type="dxa" w:w="3000"/>
            <w:tcMar>
              <w:top w:w="80" w:type="dxa"/>
              <w:start w:w="120" w:type="dxa"/>
              <w:bottom w:w="80" w:type="dxa"/>
              <w:end w:w="120" w:type="dxa"/>
            </w:tcMar>
            <w:vAlign w:val="center"/>
            <w:shd w:fill="F2F4F7"/>
          </w:tcPr>
          <w:p>
            <w:pPr>
              <w:pStyle w:val="TableHeader"/>
              <w:jc w:val="left"/>
            </w:pPr>
            <w:r>
              <w:rPr>
                <w:rFonts w:ascii="Arial" w:hAnsi="Arial"/>
                <w:b/>
                <w:i w:val="0"/>
                <w:color w:val="0B2545"/>
                <w:sz w:val="17"/>
              </w:rPr>
              <w:t>Trigger</w:t>
            </w:r>
          </w:p>
        </w:tc>
        <w:tc>
          <w:tcPr>
            <w:tcW w:type="dxa" w:w="3000"/>
            <w:tcMar>
              <w:top w:w="80" w:type="dxa"/>
              <w:start w:w="120" w:type="dxa"/>
              <w:bottom w:w="80" w:type="dxa"/>
              <w:end w:w="120" w:type="dxa"/>
            </w:tcMar>
            <w:vAlign w:val="center"/>
            <w:shd w:fill="F2F4F7"/>
          </w:tcPr>
          <w:p>
            <w:pPr>
              <w:pStyle w:val="TableHeader"/>
              <w:jc w:val="left"/>
            </w:pPr>
            <w:r>
              <w:rPr>
                <w:rFonts w:ascii="Arial" w:hAnsi="Arial"/>
                <w:b/>
                <w:i w:val="0"/>
                <w:color w:val="0B2545"/>
                <w:sz w:val="17"/>
              </w:rPr>
              <w:t>Response</w:t>
            </w:r>
          </w:p>
        </w:tc>
        <w:tc>
          <w:tcPr>
            <w:tcW w:type="dxa" w:w="1860"/>
            <w:tcMar>
              <w:top w:w="80" w:type="dxa"/>
              <w:start w:w="120" w:type="dxa"/>
              <w:bottom w:w="80" w:type="dxa"/>
              <w:end w:w="120" w:type="dxa"/>
            </w:tcMar>
            <w:vAlign w:val="center"/>
            <w:shd w:fill="F2F4F7"/>
          </w:tcPr>
          <w:p>
            <w:pPr>
              <w:pStyle w:val="TableHeader"/>
              <w:jc w:val="left"/>
            </w:pPr>
            <w:r>
              <w:rPr>
                <w:rFonts w:ascii="Arial" w:hAnsi="Arial"/>
                <w:b/>
                <w:i w:val="0"/>
                <w:color w:val="0B2545"/>
                <w:sz w:val="17"/>
              </w:rPr>
              <w:t>Control</w:t>
            </w:r>
          </w:p>
        </w:tc>
      </w:tr>
      <w:tr>
        <w:trPr>
          <w:cantSplit w:val="true"/>
        </w:trPr>
        <w:tc>
          <w:tcPr>
            <w:tcW w:type="dxa" w:w="1500"/>
            <w:tcMar>
              <w:top w:w="80" w:type="dxa"/>
              <w:start w:w="120" w:type="dxa"/>
              <w:bottom w:w="80" w:type="dxa"/>
              <w:end w:w="120" w:type="dxa"/>
            </w:tcMar>
            <w:vAlign w:val="center"/>
          </w:tcPr>
          <w:p>
            <w:pPr>
              <w:pStyle w:val="TableText"/>
            </w:pPr>
            <w:r>
              <w:rPr>
                <w:rFonts w:ascii="Arial" w:hAnsi="Arial"/>
                <w:b w:val="0"/>
                <w:i w:val="0"/>
                <w:color w:val="000000"/>
                <w:sz w:val="17"/>
              </w:rPr>
              <w:t>Data operations</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7"/>
              </w:rPr>
              <w:t>External source is late, incomplete, or fails a quality threshold</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7"/>
              </w:rPr>
              <w:t>Create incident, notify owner, quarantine affected publication</w:t>
            </w:r>
          </w:p>
        </w:tc>
        <w:tc>
          <w:tcPr>
            <w:tcW w:type="dxa" w:w="1860"/>
            <w:tcMar>
              <w:top w:w="80" w:type="dxa"/>
              <w:start w:w="120" w:type="dxa"/>
              <w:bottom w:w="80" w:type="dxa"/>
              <w:end w:w="120" w:type="dxa"/>
            </w:tcMar>
            <w:vAlign w:val="center"/>
          </w:tcPr>
          <w:p>
            <w:pPr>
              <w:pStyle w:val="TableText"/>
            </w:pPr>
            <w:r>
              <w:rPr>
                <w:rFonts w:ascii="Arial" w:hAnsi="Arial"/>
                <w:b w:val="0"/>
                <w:i w:val="0"/>
                <w:color w:val="000000"/>
                <w:sz w:val="17"/>
              </w:rPr>
              <w:t>Automatic for containment; owner approval for acceptance</w:t>
            </w:r>
          </w:p>
        </w:tc>
      </w:tr>
      <w:tr>
        <w:trPr>
          <w:cantSplit w:val="true"/>
        </w:trPr>
        <w:tc>
          <w:tcPr>
            <w:tcW w:type="dxa" w:w="1500"/>
            <w:shd w:fill="FAFBFC"/>
            <w:tcMar>
              <w:top w:w="80" w:type="dxa"/>
              <w:start w:w="120" w:type="dxa"/>
              <w:bottom w:w="80" w:type="dxa"/>
              <w:end w:w="120" w:type="dxa"/>
            </w:tcMar>
            <w:vAlign w:val="center"/>
          </w:tcPr>
          <w:p>
            <w:pPr>
              <w:pStyle w:val="TableText"/>
            </w:pPr>
            <w:r>
              <w:rPr>
                <w:rFonts w:ascii="Arial" w:hAnsi="Arial"/>
                <w:b w:val="0"/>
                <w:i w:val="0"/>
                <w:color w:val="000000"/>
                <w:sz w:val="17"/>
              </w:rPr>
              <w:t>Contract ingestion</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7"/>
              </w:rPr>
              <w:t>PDF exceeds 100 pages or its estimated cost exceeds policy</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7"/>
              </w:rPr>
              <w:t>Route through the cost-aware pipeline or request an approved exception</w:t>
            </w:r>
          </w:p>
        </w:tc>
        <w:tc>
          <w:tcPr>
            <w:tcW w:type="dxa" w:w="1860"/>
            <w:shd w:fill="FAFBFC"/>
            <w:tcMar>
              <w:top w:w="80" w:type="dxa"/>
              <w:start w:w="120" w:type="dxa"/>
              <w:bottom w:w="80" w:type="dxa"/>
              <w:end w:w="120" w:type="dxa"/>
            </w:tcMar>
            <w:vAlign w:val="center"/>
          </w:tcPr>
          <w:p>
            <w:pPr>
              <w:pStyle w:val="TableText"/>
            </w:pPr>
            <w:r>
              <w:rPr>
                <w:rFonts w:ascii="Arial" w:hAnsi="Arial"/>
                <w:b w:val="0"/>
                <w:i w:val="0"/>
                <w:color w:val="000000"/>
                <w:sz w:val="17"/>
              </w:rPr>
              <w:t>Configurable cost ceiling and approval</w:t>
            </w:r>
          </w:p>
        </w:tc>
      </w:tr>
      <w:tr>
        <w:trPr>
          <w:cantSplit w:val="true"/>
        </w:trPr>
        <w:tc>
          <w:tcPr>
            <w:tcW w:type="dxa" w:w="1500"/>
            <w:tcMar>
              <w:top w:w="80" w:type="dxa"/>
              <w:start w:w="120" w:type="dxa"/>
              <w:bottom w:w="80" w:type="dxa"/>
              <w:end w:w="120" w:type="dxa"/>
            </w:tcMar>
            <w:vAlign w:val="center"/>
          </w:tcPr>
          <w:p>
            <w:pPr>
              <w:pStyle w:val="TableText"/>
            </w:pPr>
            <w:r>
              <w:rPr>
                <w:rFonts w:ascii="Arial" w:hAnsi="Arial"/>
                <w:b w:val="0"/>
                <w:i w:val="0"/>
                <w:color w:val="000000"/>
                <w:sz w:val="17"/>
              </w:rPr>
              <w:t>Categorization</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7"/>
              </w:rPr>
              <w:t>Classification confidence is below threshold or category is high impact</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7"/>
              </w:rPr>
              <w:t>Route record set for review with ranked suggestions and evidence</w:t>
            </w:r>
          </w:p>
        </w:tc>
        <w:tc>
          <w:tcPr>
            <w:tcW w:type="dxa" w:w="1860"/>
            <w:tcMar>
              <w:top w:w="80" w:type="dxa"/>
              <w:start w:w="120" w:type="dxa"/>
              <w:bottom w:w="80" w:type="dxa"/>
              <w:end w:w="120" w:type="dxa"/>
            </w:tcMar>
            <w:vAlign w:val="center"/>
          </w:tcPr>
          <w:p>
            <w:pPr>
              <w:pStyle w:val="TableText"/>
            </w:pPr>
            <w:r>
              <w:rPr>
                <w:rFonts w:ascii="Arial" w:hAnsi="Arial"/>
                <w:b w:val="0"/>
                <w:i w:val="0"/>
                <w:color w:val="000000"/>
                <w:sz w:val="17"/>
              </w:rPr>
              <w:t>Human review</w:t>
            </w:r>
          </w:p>
        </w:tc>
      </w:tr>
      <w:tr>
        <w:trPr>
          <w:cantSplit w:val="true"/>
        </w:trPr>
        <w:tc>
          <w:tcPr>
            <w:tcW w:type="dxa" w:w="1500"/>
            <w:shd w:fill="FAFBFC"/>
            <w:tcMar>
              <w:top w:w="80" w:type="dxa"/>
              <w:start w:w="120" w:type="dxa"/>
              <w:bottom w:w="80" w:type="dxa"/>
              <w:end w:w="120" w:type="dxa"/>
            </w:tcMar>
            <w:vAlign w:val="center"/>
          </w:tcPr>
          <w:p>
            <w:pPr>
              <w:pStyle w:val="TableText"/>
            </w:pPr>
            <w:r>
              <w:rPr>
                <w:rFonts w:ascii="Arial" w:hAnsi="Arial"/>
                <w:b w:val="0"/>
                <w:i w:val="0"/>
                <w:color w:val="000000"/>
                <w:sz w:val="17"/>
              </w:rPr>
              <w:t>Enrichment</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7"/>
              </w:rPr>
              <w:t>Multiple candidate values conflict or a critical input is missing</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7"/>
              </w:rPr>
              <w:t>Apply precedence or request steward decision</w:t>
            </w:r>
          </w:p>
        </w:tc>
        <w:tc>
          <w:tcPr>
            <w:tcW w:type="dxa" w:w="1860"/>
            <w:shd w:fill="FAFBFC"/>
            <w:tcMar>
              <w:top w:w="80" w:type="dxa"/>
              <w:start w:w="120" w:type="dxa"/>
              <w:bottom w:w="80" w:type="dxa"/>
              <w:end w:w="120" w:type="dxa"/>
            </w:tcMar>
            <w:vAlign w:val="center"/>
          </w:tcPr>
          <w:p>
            <w:pPr>
              <w:pStyle w:val="TableText"/>
            </w:pPr>
            <w:r>
              <w:rPr>
                <w:rFonts w:ascii="Arial" w:hAnsi="Arial"/>
                <w:b w:val="0"/>
                <w:i w:val="0"/>
                <w:color w:val="000000"/>
                <w:sz w:val="17"/>
              </w:rPr>
              <w:t>Policy-based; review when unresolved</w:t>
            </w:r>
          </w:p>
        </w:tc>
      </w:tr>
      <w:tr>
        <w:trPr>
          <w:cantSplit w:val="true"/>
        </w:trPr>
        <w:tc>
          <w:tcPr>
            <w:tcW w:type="dxa" w:w="1500"/>
            <w:tcMar>
              <w:top w:w="80" w:type="dxa"/>
              <w:start w:w="120" w:type="dxa"/>
              <w:bottom w:w="80" w:type="dxa"/>
              <w:end w:w="120" w:type="dxa"/>
            </w:tcMar>
            <w:vAlign w:val="center"/>
          </w:tcPr>
          <w:p>
            <w:pPr>
              <w:pStyle w:val="TableText"/>
            </w:pPr>
            <w:r>
              <w:rPr>
                <w:rFonts w:ascii="Arial" w:hAnsi="Arial"/>
                <w:b w:val="0"/>
                <w:i w:val="0"/>
                <w:color w:val="000000"/>
                <w:sz w:val="17"/>
              </w:rPr>
              <w:t>Business opportunity</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7"/>
              </w:rPr>
              <w:t>Curated data reveals a validated spend, supplier, or compliance condition</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7"/>
              </w:rPr>
              <w:t>Create a recommendation or workflow task with quantified rationale</w:t>
            </w:r>
          </w:p>
        </w:tc>
        <w:tc>
          <w:tcPr>
            <w:tcW w:type="dxa" w:w="1860"/>
            <w:tcMar>
              <w:top w:w="80" w:type="dxa"/>
              <w:start w:w="120" w:type="dxa"/>
              <w:bottom w:w="80" w:type="dxa"/>
              <w:end w:w="120" w:type="dxa"/>
            </w:tcMar>
            <w:vAlign w:val="center"/>
          </w:tcPr>
          <w:p>
            <w:pPr>
              <w:pStyle w:val="TableText"/>
            </w:pPr>
            <w:r>
              <w:rPr>
                <w:rFonts w:ascii="Arial" w:hAnsi="Arial"/>
                <w:b w:val="0"/>
                <w:i w:val="0"/>
                <w:color w:val="000000"/>
                <w:sz w:val="17"/>
              </w:rPr>
              <w:t>Business owner approval</w:t>
            </w:r>
          </w:p>
        </w:tc>
      </w:tr>
      <w:tr>
        <w:trPr>
          <w:cantSplit w:val="true"/>
        </w:trPr>
        <w:tc>
          <w:tcPr>
            <w:tcW w:type="dxa" w:w="1500"/>
            <w:shd w:fill="FAFBFC"/>
            <w:tcMar>
              <w:top w:w="80" w:type="dxa"/>
              <w:start w:w="120" w:type="dxa"/>
              <w:bottom w:w="80" w:type="dxa"/>
              <w:end w:w="120" w:type="dxa"/>
            </w:tcMar>
            <w:vAlign w:val="center"/>
          </w:tcPr>
          <w:p>
            <w:pPr>
              <w:pStyle w:val="TableText"/>
            </w:pPr>
            <w:r>
              <w:rPr>
                <w:rFonts w:ascii="Arial" w:hAnsi="Arial"/>
                <w:b w:val="0"/>
                <w:i w:val="0"/>
                <w:color w:val="000000"/>
                <w:sz w:val="17"/>
              </w:rPr>
              <w:t>Model/configuration</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7"/>
              </w:rPr>
              <w:t>Drift or regression threshold is breached</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7"/>
              </w:rPr>
              <w:t>Pause promotion, open investigation, restore approved version if needed</w:t>
            </w:r>
          </w:p>
        </w:tc>
        <w:tc>
          <w:tcPr>
            <w:tcW w:type="dxa" w:w="1860"/>
            <w:shd w:fill="FAFBFC"/>
            <w:tcMar>
              <w:top w:w="80" w:type="dxa"/>
              <w:start w:w="120" w:type="dxa"/>
              <w:bottom w:w="80" w:type="dxa"/>
              <w:end w:w="120" w:type="dxa"/>
            </w:tcMar>
            <w:vAlign w:val="center"/>
          </w:tcPr>
          <w:p>
            <w:pPr>
              <w:pStyle w:val="TableText"/>
            </w:pPr>
            <w:r>
              <w:rPr>
                <w:rFonts w:ascii="Arial" w:hAnsi="Arial"/>
                <w:b w:val="0"/>
                <w:i w:val="0"/>
                <w:color w:val="000000"/>
                <w:sz w:val="17"/>
              </w:rPr>
              <w:t>Controlled operational approval</w:t>
            </w:r>
          </w:p>
        </w:tc>
      </w:tr>
    </w:tbl>
    <w:p>
      <w:pPr>
        <w:spacing w:before="80" w:after="80"/>
      </w:pPr>
    </w:p>
    <w:tbl>
      <w:tblPr>
        <w:tblW w:type="dxa" w:w="9360"/>
        <w:tblLayout w:type="fixed"/>
        <w:tblLook w:firstColumn="1" w:firstRow="1" w:lastColumn="0" w:lastRow="0" w:noHBand="0" w:noVBand="1" w:val="04A0"/>
        <w:tblInd w:w="120" w:type="dxa"/>
        <w:tblBorders>
          <w:top w:val="single" w:sz="4" w:space="0" w:color="FFF4CE"/>
          <w:left w:val="single" w:sz="4" w:space="0" w:color="FFF4CE"/>
          <w:bottom w:val="single" w:sz="4" w:space="0" w:color="FFF4CE"/>
          <w:right w:val="single" w:sz="4" w:space="0" w:color="FFF4CE"/>
          <w:insideH w:val="single" w:sz="4" w:space="0" w:color="FFF4CE"/>
          <w:insideV w:val="single" w:sz="4" w:space="0" w:color="FFF4CE"/>
        </w:tblBorders>
      </w:tblPr>
      <w:tblGrid>
        <w:gridCol w:w="9360"/>
      </w:tblGrid>
      <w:tr>
        <w:trPr>
          <w:cantSplit w:val="true"/>
        </w:trPr>
        <w:tc>
          <w:tcPr>
            <w:tcW w:type="dxa" w:w="9360"/>
            <w:tcMar>
              <w:top w:w="80" w:type="dxa"/>
              <w:start w:w="120" w:type="dxa"/>
              <w:bottom w:w="80" w:type="dxa"/>
              <w:end w:w="120" w:type="dxa"/>
            </w:tcMar>
            <w:vAlign w:val="center"/>
            <w:shd w:fill="FFF4CE"/>
          </w:tcPr>
          <w:p>
            <w:pPr>
              <w:pStyle w:val="CalloutLabel"/>
            </w:pPr>
            <w:r>
              <w:t>Action design principle</w:t>
            </w:r>
          </w:p>
          <w:p>
            <w:pPr>
              <w:spacing w:after="0"/>
            </w:pPr>
            <w:r>
              <w:t>No action should depend on an output that lacks freshness, lineage, confidence, ownership, and a defined recovery path. High-impact actions should remain approval-based until quality and operating evidence justify greater automation.</w:t>
            </w:r>
          </w:p>
        </w:tc>
      </w:tr>
    </w:tbl>
    <w:p>
      <w:pPr>
        <w:spacing w:after="60"/>
      </w:pPr>
    </w:p>
    <w:p>
      <w:pPr>
        <w:pStyle w:val="Heading1"/>
      </w:pPr>
      <w:r>
        <w:t>9. Prioritized delivery roadmap</w:t>
      </w:r>
    </w:p>
    <w:p>
      <w:pPr>
        <w:keepLines w:val="0"/>
        <w:spacing w:before="0" w:after="120" w:line="264" w:lineRule="auto"/>
      </w:pPr>
      <w:r>
        <w:rPr>
          <w:rFonts w:ascii="Arial" w:hAnsi="Arial"/>
          <w:b w:val="0"/>
          <w:i w:val="0"/>
          <w:color w:val="000000"/>
          <w:sz w:val="22"/>
        </w:rPr>
        <w:t>The following sequence is outcome-based. Durations should be estimated only after source complexity, data volume, target service levels, AWS topology, and team capacity are confirmed.</w:t>
      </w:r>
    </w:p>
    <w:tbl>
      <w:tblPr>
        <w:tblW w:type="dxa" w:w="9360"/>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900"/>
        <w:gridCol w:w="4460"/>
        <w:gridCol w:w="3000"/>
      </w:tblGrid>
      <w:tr>
        <w:trPr>
          <w:tblHeader w:val="true"/>
          <w:cantSplit w:val="true"/>
        </w:trPr>
        <w:tc>
          <w:tcPr>
            <w:tcW w:type="dxa" w:w="1900"/>
            <w:tcMar>
              <w:top w:w="80" w:type="dxa"/>
              <w:start w:w="120" w:type="dxa"/>
              <w:bottom w:w="80" w:type="dxa"/>
              <w:end w:w="120" w:type="dxa"/>
            </w:tcMar>
            <w:vAlign w:val="center"/>
            <w:shd w:fill="F2F4F7"/>
          </w:tcPr>
          <w:p>
            <w:pPr>
              <w:pStyle w:val="TableHeader"/>
              <w:jc w:val="left"/>
            </w:pPr>
            <w:r>
              <w:rPr>
                <w:rFonts w:ascii="Arial" w:hAnsi="Arial"/>
                <w:b/>
                <w:i w:val="0"/>
                <w:color w:val="0B2545"/>
                <w:sz w:val="17"/>
              </w:rPr>
              <w:t>Phase</w:t>
            </w:r>
          </w:p>
        </w:tc>
        <w:tc>
          <w:tcPr>
            <w:tcW w:type="dxa" w:w="4460"/>
            <w:tcMar>
              <w:top w:w="80" w:type="dxa"/>
              <w:start w:w="120" w:type="dxa"/>
              <w:bottom w:w="80" w:type="dxa"/>
              <w:end w:w="120" w:type="dxa"/>
            </w:tcMar>
            <w:vAlign w:val="center"/>
            <w:shd w:fill="F2F4F7"/>
          </w:tcPr>
          <w:p>
            <w:pPr>
              <w:pStyle w:val="TableHeader"/>
              <w:jc w:val="left"/>
            </w:pPr>
            <w:r>
              <w:rPr>
                <w:rFonts w:ascii="Arial" w:hAnsi="Arial"/>
                <w:b/>
                <w:i w:val="0"/>
                <w:color w:val="0B2545"/>
                <w:sz w:val="17"/>
              </w:rPr>
              <w:t>Primary outputs</w:t>
            </w:r>
          </w:p>
        </w:tc>
        <w:tc>
          <w:tcPr>
            <w:tcW w:type="dxa" w:w="3000"/>
            <w:tcMar>
              <w:top w:w="80" w:type="dxa"/>
              <w:start w:w="120" w:type="dxa"/>
              <w:bottom w:w="80" w:type="dxa"/>
              <w:end w:w="120" w:type="dxa"/>
            </w:tcMar>
            <w:vAlign w:val="center"/>
            <w:shd w:fill="F2F4F7"/>
          </w:tcPr>
          <w:p>
            <w:pPr>
              <w:pStyle w:val="TableHeader"/>
              <w:jc w:val="left"/>
            </w:pPr>
            <w:r>
              <w:rPr>
                <w:rFonts w:ascii="Arial" w:hAnsi="Arial"/>
                <w:b/>
                <w:i w:val="0"/>
                <w:color w:val="0B2545"/>
                <w:sz w:val="17"/>
              </w:rPr>
              <w:t>Exit evidence</w:t>
            </w:r>
          </w:p>
        </w:tc>
      </w:tr>
      <w:tr>
        <w:trPr>
          <w:cantSplit w:val="true"/>
        </w:trPr>
        <w:tc>
          <w:tcPr>
            <w:tcW w:type="dxa" w:w="1900"/>
            <w:tcMar>
              <w:top w:w="80" w:type="dxa"/>
              <w:start w:w="120" w:type="dxa"/>
              <w:bottom w:w="80" w:type="dxa"/>
              <w:end w:w="120" w:type="dxa"/>
            </w:tcMar>
            <w:vAlign w:val="center"/>
          </w:tcPr>
          <w:p>
            <w:pPr>
              <w:pStyle w:val="TableText"/>
            </w:pPr>
            <w:r>
              <w:rPr>
                <w:rFonts w:ascii="Arial" w:hAnsi="Arial"/>
                <w:b w:val="0"/>
                <w:i w:val="0"/>
                <w:color w:val="000000"/>
                <w:sz w:val="17"/>
              </w:rPr>
              <w:t>0 — Align and baseline</w:t>
            </w:r>
          </w:p>
        </w:tc>
        <w:tc>
          <w:tcPr>
            <w:tcW w:type="dxa" w:w="4460"/>
            <w:tcMar>
              <w:top w:w="80" w:type="dxa"/>
              <w:start w:w="120" w:type="dxa"/>
              <w:bottom w:w="80" w:type="dxa"/>
              <w:end w:w="120" w:type="dxa"/>
            </w:tcMar>
            <w:vAlign w:val="center"/>
          </w:tcPr>
          <w:p>
            <w:pPr>
              <w:pStyle w:val="TableText"/>
            </w:pPr>
            <w:r>
              <w:rPr>
                <w:rFonts w:ascii="Arial" w:hAnsi="Arial"/>
                <w:b w:val="0"/>
                <w:i w:val="0"/>
                <w:color w:val="000000"/>
                <w:sz w:val="17"/>
              </w:rPr>
              <w:t>Business process maps; source inventory; architecture baseline; owners; priority use cases; acceptance measures</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7"/>
              </w:rPr>
              <w:t>Signed decisions and an agreed pilot scope</w:t>
            </w:r>
          </w:p>
        </w:tc>
      </w:tr>
      <w:tr>
        <w:trPr>
          <w:cantSplit w:val="true"/>
        </w:trPr>
        <w:tc>
          <w:tcPr>
            <w:tcW w:type="dxa" w:w="1900"/>
            <w:shd w:fill="FAFBFC"/>
            <w:tcMar>
              <w:top w:w="80" w:type="dxa"/>
              <w:start w:w="120" w:type="dxa"/>
              <w:bottom w:w="80" w:type="dxa"/>
              <w:end w:w="120" w:type="dxa"/>
            </w:tcMar>
            <w:vAlign w:val="center"/>
          </w:tcPr>
          <w:p>
            <w:pPr>
              <w:pStyle w:val="TableText"/>
            </w:pPr>
            <w:r>
              <w:rPr>
                <w:rFonts w:ascii="Arial" w:hAnsi="Arial"/>
                <w:b w:val="0"/>
                <w:i w:val="0"/>
                <w:color w:val="000000"/>
                <w:sz w:val="17"/>
              </w:rPr>
              <w:t>1 — Establish the data foundation</w:t>
            </w:r>
          </w:p>
        </w:tc>
        <w:tc>
          <w:tcPr>
            <w:tcW w:type="dxa" w:w="4460"/>
            <w:shd w:fill="FAFBFC"/>
            <w:tcMar>
              <w:top w:w="80" w:type="dxa"/>
              <w:start w:w="120" w:type="dxa"/>
              <w:bottom w:w="80" w:type="dxa"/>
              <w:end w:w="120" w:type="dxa"/>
            </w:tcMar>
            <w:vAlign w:val="center"/>
          </w:tcPr>
          <w:p>
            <w:pPr>
              <w:pStyle w:val="TableText"/>
            </w:pPr>
            <w:r>
              <w:rPr>
                <w:rFonts w:ascii="Arial" w:hAnsi="Arial"/>
                <w:b w:val="0"/>
                <w:i w:val="0"/>
                <w:color w:val="000000"/>
                <w:sz w:val="17"/>
              </w:rPr>
              <w:t>Lake zones and controls; source contract; orchestration pattern; quality/quarantine; metadata and lineage</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7"/>
              </w:rPr>
              <w:t>One external source loaded, updated, replayed, and published reproducibly</w:t>
            </w:r>
          </w:p>
        </w:tc>
      </w:tr>
      <w:tr>
        <w:trPr>
          <w:cantSplit w:val="true"/>
        </w:trPr>
        <w:tc>
          <w:tcPr>
            <w:tcW w:type="dxa" w:w="1900"/>
            <w:tcMar>
              <w:top w:w="80" w:type="dxa"/>
              <w:start w:w="120" w:type="dxa"/>
              <w:bottom w:w="80" w:type="dxa"/>
              <w:end w:w="120" w:type="dxa"/>
            </w:tcMar>
            <w:vAlign w:val="center"/>
          </w:tcPr>
          <w:p>
            <w:pPr>
              <w:pStyle w:val="TableText"/>
            </w:pPr>
            <w:r>
              <w:rPr>
                <w:rFonts w:ascii="Arial" w:hAnsi="Arial"/>
                <w:b w:val="0"/>
                <w:i w:val="0"/>
                <w:color w:val="000000"/>
                <w:sz w:val="17"/>
              </w:rPr>
              <w:t>2 — Operationalize internal ingestion</w:t>
            </w:r>
          </w:p>
        </w:tc>
        <w:tc>
          <w:tcPr>
            <w:tcW w:type="dxa" w:w="4460"/>
            <w:tcMar>
              <w:top w:w="80" w:type="dxa"/>
              <w:start w:w="120" w:type="dxa"/>
              <w:bottom w:w="80" w:type="dxa"/>
              <w:end w:w="120" w:type="dxa"/>
            </w:tcMar>
            <w:vAlign w:val="center"/>
          </w:tcPr>
          <w:p>
            <w:pPr>
              <w:pStyle w:val="TableText"/>
            </w:pPr>
            <w:r>
              <w:rPr>
                <w:rFonts w:ascii="Arial" w:hAnsi="Arial"/>
                <w:b w:val="0"/>
                <w:i w:val="0"/>
                <w:color w:val="000000"/>
                <w:sz w:val="17"/>
              </w:rPr>
              <w:t>Business-aligned contracts; reconciliation; exception workflow; source-level service objectives</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7"/>
              </w:rPr>
              <w:t>One internal source reconciled and accepted by business and technical owners</w:t>
            </w:r>
          </w:p>
        </w:tc>
      </w:tr>
      <w:tr>
        <w:trPr>
          <w:cantSplit w:val="true"/>
        </w:trPr>
        <w:tc>
          <w:tcPr>
            <w:tcW w:type="dxa" w:w="1900"/>
            <w:shd w:fill="FAFBFC"/>
            <w:tcMar>
              <w:top w:w="80" w:type="dxa"/>
              <w:start w:w="120" w:type="dxa"/>
              <w:bottom w:w="80" w:type="dxa"/>
              <w:end w:w="120" w:type="dxa"/>
            </w:tcMar>
            <w:vAlign w:val="center"/>
          </w:tcPr>
          <w:p>
            <w:pPr>
              <w:pStyle w:val="TableText"/>
            </w:pPr>
            <w:r>
              <w:rPr>
                <w:rFonts w:ascii="Arial" w:hAnsi="Arial"/>
                <w:b w:val="0"/>
                <w:i w:val="0"/>
                <w:color w:val="000000"/>
                <w:sz w:val="17"/>
              </w:rPr>
              <w:t>3 — Control contract ingestion cost</w:t>
            </w:r>
          </w:p>
        </w:tc>
        <w:tc>
          <w:tcPr>
            <w:tcW w:type="dxa" w:w="4460"/>
            <w:shd w:fill="FAFBFC"/>
            <w:tcMar>
              <w:top w:w="80" w:type="dxa"/>
              <w:start w:w="120" w:type="dxa"/>
              <w:bottom w:w="80" w:type="dxa"/>
              <w:end w:w="120" w:type="dxa"/>
            </w:tcMar>
            <w:vAlign w:val="center"/>
          </w:tcPr>
          <w:p>
            <w:pPr>
              <w:pStyle w:val="TableText"/>
            </w:pPr>
            <w:r>
              <w:rPr>
                <w:rFonts w:ascii="Arial" w:hAnsi="Arial"/>
                <w:b w:val="0"/>
                <w:i w:val="0"/>
                <w:color w:val="000000"/>
                <w:sz w:val="17"/>
              </w:rPr>
              <w:t>PDF preflight; cost model; selective OCR; section-aware extraction; cached stages; policy for contracts over 100 pages</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7"/>
              </w:rPr>
              <w:t>Extra-large contract meets the approved quality target and estimated-versus-actual cost tolerance</w:t>
            </w:r>
          </w:p>
        </w:tc>
      </w:tr>
      <w:tr>
        <w:trPr>
          <w:cantSplit w:val="true"/>
        </w:trPr>
        <w:tc>
          <w:tcPr>
            <w:tcW w:type="dxa" w:w="1900"/>
            <w:tcMar>
              <w:top w:w="80" w:type="dxa"/>
              <w:start w:w="120" w:type="dxa"/>
              <w:bottom w:w="80" w:type="dxa"/>
              <w:end w:w="120" w:type="dxa"/>
            </w:tcMar>
            <w:vAlign w:val="center"/>
          </w:tcPr>
          <w:p>
            <w:pPr>
              <w:pStyle w:val="TableText"/>
            </w:pPr>
            <w:r>
              <w:rPr>
                <w:rFonts w:ascii="Arial" w:hAnsi="Arial"/>
                <w:b w:val="0"/>
                <w:i w:val="0"/>
                <w:color w:val="000000"/>
                <w:sz w:val="17"/>
              </w:rPr>
              <w:t>4 — Improve intelligence</w:t>
            </w:r>
          </w:p>
        </w:tc>
        <w:tc>
          <w:tcPr>
            <w:tcW w:type="dxa" w:w="4460"/>
            <w:tcMar>
              <w:top w:w="80" w:type="dxa"/>
              <w:start w:w="120" w:type="dxa"/>
              <w:bottom w:w="80" w:type="dxa"/>
              <w:end w:w="120" w:type="dxa"/>
            </w:tcMar>
            <w:vAlign w:val="center"/>
          </w:tcPr>
          <w:p>
            <w:pPr>
              <w:pStyle w:val="TableText"/>
            </w:pPr>
            <w:r>
              <w:rPr>
                <w:rFonts w:ascii="Arial" w:hAnsi="Arial"/>
                <w:b w:val="0"/>
                <w:i w:val="0"/>
                <w:color w:val="000000"/>
                <w:sz w:val="17"/>
              </w:rPr>
              <w:t>Gold labels; UNSPSC fit assessment; hybrid categorization; refined enrichment configurations; regression suite</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7"/>
              </w:rPr>
              <w:t>Measured improvement on approved test sets and priority use cases</w:t>
            </w:r>
          </w:p>
        </w:tc>
      </w:tr>
      <w:tr>
        <w:trPr>
          <w:cantSplit w:val="true"/>
        </w:trPr>
        <w:tc>
          <w:tcPr>
            <w:tcW w:type="dxa" w:w="1900"/>
            <w:shd w:fill="FAFBFC"/>
            <w:tcMar>
              <w:top w:w="80" w:type="dxa"/>
              <w:start w:w="120" w:type="dxa"/>
              <w:bottom w:w="80" w:type="dxa"/>
              <w:end w:w="120" w:type="dxa"/>
            </w:tcMar>
            <w:vAlign w:val="center"/>
          </w:tcPr>
          <w:p>
            <w:pPr>
              <w:pStyle w:val="TableText"/>
            </w:pPr>
            <w:r>
              <w:rPr>
                <w:rFonts w:ascii="Arial" w:hAnsi="Arial"/>
                <w:b w:val="0"/>
                <w:i w:val="0"/>
                <w:color w:val="000000"/>
                <w:sz w:val="17"/>
              </w:rPr>
              <w:t>5 — Integrate and prove AWS execution</w:t>
            </w:r>
          </w:p>
        </w:tc>
        <w:tc>
          <w:tcPr>
            <w:tcW w:type="dxa" w:w="4460"/>
            <w:shd w:fill="FAFBFC"/>
            <w:tcMar>
              <w:top w:w="80" w:type="dxa"/>
              <w:start w:w="120" w:type="dxa"/>
              <w:bottom w:w="80" w:type="dxa"/>
              <w:end w:w="120" w:type="dxa"/>
            </w:tcMar>
            <w:vAlign w:val="center"/>
          </w:tcPr>
          <w:p>
            <w:pPr>
              <w:pStyle w:val="TableText"/>
            </w:pPr>
            <w:r>
              <w:rPr>
                <w:rFonts w:ascii="Arial" w:hAnsi="Arial"/>
                <w:b w:val="0"/>
                <w:i w:val="0"/>
                <w:color w:val="000000"/>
                <w:sz w:val="17"/>
              </w:rPr>
              <w:t>Automated release; integrated orchestration; observability; security checks; recovery tests; runbooks</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7"/>
              </w:rPr>
              <w:t>Complete production-like workflow passes readiness criteria</w:t>
            </w:r>
          </w:p>
        </w:tc>
      </w:tr>
      <w:tr>
        <w:trPr>
          <w:cantSplit w:val="true"/>
        </w:trPr>
        <w:tc>
          <w:tcPr>
            <w:tcW w:type="dxa" w:w="1900"/>
            <w:tcMar>
              <w:top w:w="80" w:type="dxa"/>
              <w:start w:w="120" w:type="dxa"/>
              <w:bottom w:w="80" w:type="dxa"/>
              <w:end w:w="120" w:type="dxa"/>
            </w:tcMar>
            <w:vAlign w:val="center"/>
          </w:tcPr>
          <w:p>
            <w:pPr>
              <w:pStyle w:val="TableText"/>
            </w:pPr>
            <w:r>
              <w:rPr>
                <w:rFonts w:ascii="Arial" w:hAnsi="Arial"/>
                <w:b w:val="0"/>
                <w:i w:val="0"/>
                <w:color w:val="000000"/>
                <w:sz w:val="17"/>
              </w:rPr>
              <w:t>6 — Activate governed actions</w:t>
            </w:r>
          </w:p>
        </w:tc>
        <w:tc>
          <w:tcPr>
            <w:tcW w:type="dxa" w:w="4460"/>
            <w:tcMar>
              <w:top w:w="80" w:type="dxa"/>
              <w:start w:w="120" w:type="dxa"/>
              <w:bottom w:w="80" w:type="dxa"/>
              <w:end w:w="120" w:type="dxa"/>
            </w:tcMar>
            <w:vAlign w:val="center"/>
          </w:tcPr>
          <w:p>
            <w:pPr>
              <w:pStyle w:val="TableText"/>
            </w:pPr>
            <w:r>
              <w:rPr>
                <w:rFonts w:ascii="Arial" w:hAnsi="Arial"/>
                <w:b w:val="0"/>
                <w:i w:val="0"/>
                <w:color w:val="000000"/>
                <w:sz w:val="17"/>
              </w:rPr>
              <w:t>Action policies; approvals; connectors; audit trail; outcome feedback</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7"/>
              </w:rPr>
              <w:t>First business action delivered with traceable evidence and measured outcome</w:t>
            </w:r>
          </w:p>
        </w:tc>
      </w:tr>
    </w:tbl>
    <w:p>
      <w:pPr>
        <w:spacing w:before="80" w:after="80"/>
      </w:pPr>
    </w:p>
    <w:p>
      <w:pPr>
        <w:pStyle w:val="Heading2"/>
      </w:pPr>
      <w:r>
        <w:t>Sequencing rules</w:t>
      </w:r>
    </w:p>
    <w:p>
      <w:pPr>
        <w:numPr>
          <w:ilvl w:val="0"/>
          <w:numId w:val="10"/>
        </w:numPr>
        <w:spacing w:after="160" w:line="280" w:lineRule="auto"/>
      </w:pPr>
      <w:r>
        <w:rPr>
          <w:rFonts w:ascii="Arial" w:hAnsi="Arial"/>
          <w:b/>
          <w:i w:val="0"/>
          <w:color w:val="0B2545"/>
          <w:sz w:val="22"/>
        </w:rPr>
        <w:t xml:space="preserve">Do not wait for the full lake to prove value. </w:t>
      </w:r>
      <w:r>
        <w:rPr>
          <w:rFonts w:ascii="Arial" w:hAnsi="Arial"/>
          <w:b w:val="0"/>
          <w:i w:val="0"/>
          <w:color w:val="000000"/>
          <w:sz w:val="22"/>
        </w:rPr>
        <w:t>Use a thin, reusable pilot slice, but build it according to the target controls so it does not become a disposable path.</w:t>
      </w:r>
    </w:p>
    <w:p>
      <w:pPr>
        <w:numPr>
          <w:ilvl w:val="0"/>
          <w:numId w:val="10"/>
        </w:numPr>
        <w:spacing w:after="160" w:line="280" w:lineRule="auto"/>
      </w:pPr>
      <w:r>
        <w:rPr>
          <w:rFonts w:ascii="Arial" w:hAnsi="Arial"/>
          <w:b/>
          <w:i w:val="0"/>
          <w:color w:val="0B2545"/>
          <w:sz w:val="22"/>
        </w:rPr>
        <w:t xml:space="preserve">Do not optimize models on unstable data. </w:t>
      </w:r>
      <w:r>
        <w:rPr>
          <w:rFonts w:ascii="Arial" w:hAnsi="Arial"/>
          <w:b w:val="0"/>
          <w:i w:val="0"/>
          <w:color w:val="000000"/>
          <w:sz w:val="22"/>
        </w:rPr>
        <w:t>Baseline ingestion quality and labeled-data governance before treating categorization scores as authoritative.</w:t>
      </w:r>
    </w:p>
    <w:p>
      <w:pPr>
        <w:numPr>
          <w:ilvl w:val="0"/>
          <w:numId w:val="10"/>
        </w:numPr>
        <w:spacing w:after="160" w:line="280" w:lineRule="auto"/>
      </w:pPr>
      <w:r>
        <w:rPr>
          <w:rFonts w:ascii="Arial" w:hAnsi="Arial"/>
          <w:b/>
          <w:i w:val="0"/>
          <w:color w:val="0B2545"/>
          <w:sz w:val="22"/>
        </w:rPr>
        <w:t xml:space="preserve">Do not process extra-large contracts without a cost estimate. </w:t>
      </w:r>
      <w:r>
        <w:rPr>
          <w:rFonts w:ascii="Arial" w:hAnsi="Arial"/>
          <w:b w:val="0"/>
          <w:i w:val="0"/>
          <w:color w:val="000000"/>
          <w:sz w:val="22"/>
        </w:rPr>
        <w:t>Preflight every contract longer than 100 pages and apply the approved routing, ceiling, and exception policy before expensive processing begins.</w:t>
      </w:r>
    </w:p>
    <w:p>
      <w:pPr>
        <w:numPr>
          <w:ilvl w:val="0"/>
          <w:numId w:val="10"/>
        </w:numPr>
        <w:spacing w:after="160" w:line="280" w:lineRule="auto"/>
      </w:pPr>
      <w:r>
        <w:rPr>
          <w:rFonts w:ascii="Arial" w:hAnsi="Arial"/>
          <w:b/>
          <w:i w:val="0"/>
          <w:color w:val="0B2545"/>
          <w:sz w:val="22"/>
        </w:rPr>
        <w:t xml:space="preserve">Do not automate high-impact actions too early. </w:t>
      </w:r>
      <w:r>
        <w:rPr>
          <w:rFonts w:ascii="Arial" w:hAnsi="Arial"/>
          <w:b w:val="0"/>
          <w:i w:val="0"/>
          <w:color w:val="000000"/>
          <w:sz w:val="22"/>
        </w:rPr>
        <w:t>Start with recommendations and approvals, measure outcomes, then expand automation by risk tier.</w:t>
      </w:r>
    </w:p>
    <w:p>
      <w:pPr>
        <w:numPr>
          <w:ilvl w:val="0"/>
          <w:numId w:val="10"/>
        </w:numPr>
        <w:spacing w:after="160" w:line="280" w:lineRule="auto"/>
      </w:pPr>
      <w:r>
        <w:rPr>
          <w:rFonts w:ascii="Arial" w:hAnsi="Arial"/>
          <w:b/>
          <w:i w:val="0"/>
          <w:color w:val="0B2545"/>
          <w:sz w:val="22"/>
        </w:rPr>
        <w:t xml:space="preserve">Treat AWS readiness as an end-to-end property. </w:t>
      </w:r>
      <w:r>
        <w:rPr>
          <w:rFonts w:ascii="Arial" w:hAnsi="Arial"/>
          <w:b w:val="0"/>
          <w:i w:val="0"/>
          <w:color w:val="000000"/>
          <w:sz w:val="22"/>
        </w:rPr>
        <w:t>Component deployment is complete only when the representative business workflow is secure, observable, recoverable, and repeatable.</w:t>
      </w:r>
    </w:p>
    <w:p>
      <w:pPr>
        <w:pStyle w:val="Heading1"/>
      </w:pPr>
      <w:r>
        <w:t>10. Proposed action register</w:t>
      </w:r>
    </w:p>
    <w:p>
      <w:pPr>
        <w:keepLines w:val="0"/>
        <w:spacing w:before="0" w:after="120" w:line="264" w:lineRule="auto"/>
      </w:pPr>
      <w:r>
        <w:rPr>
          <w:rFonts w:ascii="Arial" w:hAnsi="Arial"/>
          <w:b w:val="0"/>
          <w:i w:val="0"/>
          <w:color w:val="000000"/>
          <w:sz w:val="22"/>
        </w:rPr>
        <w:t>The accountable roles below are proposed roles, not named assignments. The program should confirm one accountable owner and a target date for every action during the alignment phase.</w:t>
      </w:r>
    </w:p>
    <w:tbl>
      <w:tblPr>
        <w:tblW w:type="dxa" w:w="9360"/>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620"/>
        <w:gridCol w:w="2920"/>
        <w:gridCol w:w="3000"/>
        <w:gridCol w:w="1840"/>
        <w:gridCol w:w="980"/>
      </w:tblGrid>
      <w:tr>
        <w:trPr>
          <w:tblHeader w:val="true"/>
          <w:cantSplit w:val="true"/>
        </w:trPr>
        <w:tc>
          <w:tcPr>
            <w:tcW w:type="dxa" w:w="620"/>
            <w:tcMar>
              <w:top w:w="80" w:type="dxa"/>
              <w:start w:w="120" w:type="dxa"/>
              <w:bottom w:w="80" w:type="dxa"/>
              <w:end w:w="120" w:type="dxa"/>
            </w:tcMar>
            <w:vAlign w:val="center"/>
            <w:shd w:fill="F2F4F7"/>
          </w:tcPr>
          <w:p>
            <w:pPr>
              <w:pStyle w:val="TableHeader"/>
              <w:jc w:val="left"/>
            </w:pPr>
            <w:r>
              <w:rPr>
                <w:rFonts w:ascii="Arial" w:hAnsi="Arial"/>
                <w:b/>
                <w:i w:val="0"/>
                <w:color w:val="0B2545"/>
                <w:sz w:val="16"/>
              </w:rPr>
              <w:t>ID</w:t>
            </w:r>
          </w:p>
        </w:tc>
        <w:tc>
          <w:tcPr>
            <w:tcW w:type="dxa" w:w="2920"/>
            <w:tcMar>
              <w:top w:w="80" w:type="dxa"/>
              <w:start w:w="120" w:type="dxa"/>
              <w:bottom w:w="80" w:type="dxa"/>
              <w:end w:w="120" w:type="dxa"/>
            </w:tcMar>
            <w:vAlign w:val="center"/>
            <w:shd w:fill="F2F4F7"/>
          </w:tcPr>
          <w:p>
            <w:pPr>
              <w:pStyle w:val="TableHeader"/>
              <w:jc w:val="left"/>
            </w:pPr>
            <w:r>
              <w:rPr>
                <w:rFonts w:ascii="Arial" w:hAnsi="Arial"/>
                <w:b/>
                <w:i w:val="0"/>
                <w:color w:val="0B2545"/>
                <w:sz w:val="16"/>
              </w:rPr>
              <w:t>Action</w:t>
            </w:r>
          </w:p>
        </w:tc>
        <w:tc>
          <w:tcPr>
            <w:tcW w:type="dxa" w:w="3000"/>
            <w:tcMar>
              <w:top w:w="80" w:type="dxa"/>
              <w:start w:w="120" w:type="dxa"/>
              <w:bottom w:w="80" w:type="dxa"/>
              <w:end w:w="120" w:type="dxa"/>
            </w:tcMar>
            <w:vAlign w:val="center"/>
            <w:shd w:fill="F2F4F7"/>
          </w:tcPr>
          <w:p>
            <w:pPr>
              <w:pStyle w:val="TableHeader"/>
              <w:jc w:val="left"/>
            </w:pPr>
            <w:r>
              <w:rPr>
                <w:rFonts w:ascii="Arial" w:hAnsi="Arial"/>
                <w:b/>
                <w:i w:val="0"/>
                <w:color w:val="0B2545"/>
                <w:sz w:val="16"/>
              </w:rPr>
              <w:t>Deliverable / evidence</w:t>
            </w:r>
          </w:p>
        </w:tc>
        <w:tc>
          <w:tcPr>
            <w:tcW w:type="dxa" w:w="1840"/>
            <w:tcMar>
              <w:top w:w="80" w:type="dxa"/>
              <w:start w:w="120" w:type="dxa"/>
              <w:bottom w:w="80" w:type="dxa"/>
              <w:end w:w="120" w:type="dxa"/>
            </w:tcMar>
            <w:vAlign w:val="center"/>
            <w:shd w:fill="F2F4F7"/>
          </w:tcPr>
          <w:p>
            <w:pPr>
              <w:pStyle w:val="TableHeader"/>
              <w:jc w:val="left"/>
            </w:pPr>
            <w:r>
              <w:rPr>
                <w:rFonts w:ascii="Arial" w:hAnsi="Arial"/>
                <w:b/>
                <w:i w:val="0"/>
                <w:color w:val="0B2545"/>
                <w:sz w:val="16"/>
              </w:rPr>
              <w:t>Accountable role</w:t>
            </w:r>
          </w:p>
        </w:tc>
        <w:tc>
          <w:tcPr>
            <w:tcW w:type="dxa" w:w="980"/>
            <w:tcMar>
              <w:top w:w="80" w:type="dxa"/>
              <w:start w:w="120" w:type="dxa"/>
              <w:bottom w:w="80" w:type="dxa"/>
              <w:end w:w="120" w:type="dxa"/>
            </w:tcMar>
            <w:vAlign w:val="center"/>
            <w:shd w:fill="F2F4F7"/>
          </w:tcPr>
          <w:p>
            <w:pPr>
              <w:pStyle w:val="TableHeader"/>
              <w:jc w:val="left"/>
            </w:pPr>
            <w:r>
              <w:rPr>
                <w:rFonts w:ascii="Arial" w:hAnsi="Arial"/>
                <w:b/>
                <w:i w:val="0"/>
                <w:color w:val="0B2545"/>
                <w:sz w:val="16"/>
              </w:rPr>
              <w:t>Priority</w:t>
            </w:r>
          </w:p>
        </w:tc>
      </w:tr>
      <w:tr>
        <w:trPr>
          <w:cantSplit w:val="true"/>
        </w:trPr>
        <w:tc>
          <w:tcPr>
            <w:tcW w:type="dxa" w:w="620"/>
            <w:tcMar>
              <w:top w:w="80" w:type="dxa"/>
              <w:start w:w="120" w:type="dxa"/>
              <w:bottom w:w="80" w:type="dxa"/>
              <w:end w:w="120" w:type="dxa"/>
            </w:tcMar>
            <w:vAlign w:val="center"/>
          </w:tcPr>
          <w:p>
            <w:pPr>
              <w:pStyle w:val="TableText"/>
            </w:pPr>
            <w:r>
              <w:rPr>
                <w:rFonts w:ascii="Arial" w:hAnsi="Arial"/>
                <w:b w:val="0"/>
                <w:i w:val="0"/>
                <w:color w:val="000000"/>
                <w:sz w:val="16"/>
              </w:rPr>
              <w:t>A01</w:t>
            </w:r>
          </w:p>
        </w:tc>
        <w:tc>
          <w:tcPr>
            <w:tcW w:type="dxa" w:w="2920"/>
            <w:tcMar>
              <w:top w:w="80" w:type="dxa"/>
              <w:start w:w="120" w:type="dxa"/>
              <w:bottom w:w="80" w:type="dxa"/>
              <w:end w:w="120" w:type="dxa"/>
            </w:tcMar>
            <w:vAlign w:val="center"/>
          </w:tcPr>
          <w:p>
            <w:pPr>
              <w:pStyle w:val="TableText"/>
            </w:pPr>
            <w:r>
              <w:rPr>
                <w:rFonts w:ascii="Arial" w:hAnsi="Arial"/>
                <w:b w:val="0"/>
                <w:i w:val="0"/>
                <w:color w:val="000000"/>
                <w:sz w:val="16"/>
              </w:rPr>
              <w:t>Confirm priority use cases and action outcomes</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6"/>
              </w:rPr>
              <w:t>Ranked use cases with value, risk, and acceptance measures</w:t>
            </w:r>
          </w:p>
        </w:tc>
        <w:tc>
          <w:tcPr>
            <w:tcW w:type="dxa" w:w="1840"/>
            <w:tcMar>
              <w:top w:w="80" w:type="dxa"/>
              <w:start w:w="120" w:type="dxa"/>
              <w:bottom w:w="80" w:type="dxa"/>
              <w:end w:w="120" w:type="dxa"/>
            </w:tcMar>
            <w:vAlign w:val="center"/>
          </w:tcPr>
          <w:p>
            <w:pPr>
              <w:pStyle w:val="TableText"/>
            </w:pPr>
            <w:r>
              <w:rPr>
                <w:rFonts w:ascii="Arial" w:hAnsi="Arial"/>
                <w:b w:val="0"/>
                <w:i w:val="0"/>
                <w:color w:val="000000"/>
                <w:sz w:val="16"/>
              </w:rPr>
              <w:t>Product / Business</w:t>
            </w:r>
          </w:p>
        </w:tc>
        <w:tc>
          <w:tcPr>
            <w:tcW w:type="dxa" w:w="980"/>
            <w:tcMar>
              <w:top w:w="80" w:type="dxa"/>
              <w:start w:w="120" w:type="dxa"/>
              <w:bottom w:w="80" w:type="dxa"/>
              <w:end w:w="120" w:type="dxa"/>
            </w:tcMar>
            <w:vAlign w:val="center"/>
          </w:tcPr>
          <w:p>
            <w:pPr>
              <w:pStyle w:val="TableText"/>
            </w:pPr>
            <w:r>
              <w:rPr>
                <w:rFonts w:ascii="Arial" w:hAnsi="Arial"/>
                <w:b w:val="0"/>
                <w:i w:val="0"/>
                <w:color w:val="000000"/>
                <w:sz w:val="16"/>
              </w:rPr>
              <w:t>Critical</w:t>
            </w:r>
          </w:p>
        </w:tc>
      </w:tr>
      <w:tr>
        <w:trPr>
          <w:cantSplit w:val="true"/>
        </w:trPr>
        <w:tc>
          <w:tcPr>
            <w:tcW w:type="dxa" w:w="620"/>
            <w:shd w:fill="FAFBFC"/>
            <w:tcMar>
              <w:top w:w="80" w:type="dxa"/>
              <w:start w:w="120" w:type="dxa"/>
              <w:bottom w:w="80" w:type="dxa"/>
              <w:end w:w="120" w:type="dxa"/>
            </w:tcMar>
            <w:vAlign w:val="center"/>
          </w:tcPr>
          <w:p>
            <w:pPr>
              <w:pStyle w:val="TableText"/>
            </w:pPr>
            <w:r>
              <w:rPr>
                <w:rFonts w:ascii="Arial" w:hAnsi="Arial"/>
                <w:b w:val="0"/>
                <w:i w:val="0"/>
                <w:color w:val="000000"/>
                <w:sz w:val="16"/>
              </w:rPr>
              <w:t>A02</w:t>
            </w:r>
          </w:p>
        </w:tc>
        <w:tc>
          <w:tcPr>
            <w:tcW w:type="dxa" w:w="2920"/>
            <w:shd w:fill="FAFBFC"/>
            <w:tcMar>
              <w:top w:w="80" w:type="dxa"/>
              <w:start w:w="120" w:type="dxa"/>
              <w:bottom w:w="80" w:type="dxa"/>
              <w:end w:w="120" w:type="dxa"/>
            </w:tcMar>
            <w:vAlign w:val="center"/>
          </w:tcPr>
          <w:p>
            <w:pPr>
              <w:pStyle w:val="TableText"/>
            </w:pPr>
            <w:r>
              <w:rPr>
                <w:rFonts w:ascii="Arial" w:hAnsi="Arial"/>
                <w:b w:val="0"/>
                <w:i w:val="0"/>
                <w:color w:val="000000"/>
                <w:sz w:val="16"/>
              </w:rPr>
              <w:t>Inventory external and internal sources</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6"/>
              </w:rPr>
              <w:t>Source register with ownership, volume, cadence, sensitivity, and method</w:t>
            </w:r>
          </w:p>
        </w:tc>
        <w:tc>
          <w:tcPr>
            <w:tcW w:type="dxa" w:w="1840"/>
            <w:shd w:fill="FAFBFC"/>
            <w:tcMar>
              <w:top w:w="80" w:type="dxa"/>
              <w:start w:w="120" w:type="dxa"/>
              <w:bottom w:w="80" w:type="dxa"/>
              <w:end w:w="120" w:type="dxa"/>
            </w:tcMar>
            <w:vAlign w:val="center"/>
          </w:tcPr>
          <w:p>
            <w:pPr>
              <w:pStyle w:val="TableText"/>
            </w:pPr>
            <w:r>
              <w:rPr>
                <w:rFonts w:ascii="Arial" w:hAnsi="Arial"/>
                <w:b w:val="0"/>
                <w:i w:val="0"/>
                <w:color w:val="000000"/>
                <w:sz w:val="16"/>
              </w:rPr>
              <w:t>Data Architecture</w:t>
            </w:r>
          </w:p>
        </w:tc>
        <w:tc>
          <w:tcPr>
            <w:tcW w:type="dxa" w:w="980"/>
            <w:shd w:fill="FAFBFC"/>
            <w:tcMar>
              <w:top w:w="80" w:type="dxa"/>
              <w:start w:w="120" w:type="dxa"/>
              <w:bottom w:w="80" w:type="dxa"/>
              <w:end w:w="120" w:type="dxa"/>
            </w:tcMar>
            <w:vAlign w:val="center"/>
          </w:tcPr>
          <w:p>
            <w:pPr>
              <w:pStyle w:val="TableText"/>
            </w:pPr>
            <w:r>
              <w:rPr>
                <w:rFonts w:ascii="Arial" w:hAnsi="Arial"/>
                <w:b w:val="0"/>
                <w:i w:val="0"/>
                <w:color w:val="000000"/>
                <w:sz w:val="16"/>
              </w:rPr>
              <w:t>Critical</w:t>
            </w:r>
          </w:p>
        </w:tc>
      </w:tr>
      <w:tr>
        <w:trPr>
          <w:cantSplit w:val="true"/>
        </w:trPr>
        <w:tc>
          <w:tcPr>
            <w:tcW w:type="dxa" w:w="620"/>
            <w:tcMar>
              <w:top w:w="80" w:type="dxa"/>
              <w:start w:w="120" w:type="dxa"/>
              <w:bottom w:w="80" w:type="dxa"/>
              <w:end w:w="120" w:type="dxa"/>
            </w:tcMar>
            <w:vAlign w:val="center"/>
          </w:tcPr>
          <w:p>
            <w:pPr>
              <w:pStyle w:val="TableText"/>
            </w:pPr>
            <w:r>
              <w:rPr>
                <w:rFonts w:ascii="Arial" w:hAnsi="Arial"/>
                <w:b w:val="0"/>
                <w:i w:val="0"/>
                <w:color w:val="000000"/>
                <w:sz w:val="16"/>
              </w:rPr>
              <w:t>A03</w:t>
            </w:r>
          </w:p>
        </w:tc>
        <w:tc>
          <w:tcPr>
            <w:tcW w:type="dxa" w:w="2920"/>
            <w:tcMar>
              <w:top w:w="80" w:type="dxa"/>
              <w:start w:w="120" w:type="dxa"/>
              <w:bottom w:w="80" w:type="dxa"/>
              <w:end w:w="120" w:type="dxa"/>
            </w:tcMar>
            <w:vAlign w:val="center"/>
          </w:tcPr>
          <w:p>
            <w:pPr>
              <w:pStyle w:val="TableText"/>
            </w:pPr>
            <w:r>
              <w:rPr>
                <w:rFonts w:ascii="Arial" w:hAnsi="Arial"/>
                <w:b w:val="0"/>
                <w:i w:val="0"/>
                <w:color w:val="000000"/>
                <w:sz w:val="16"/>
              </w:rPr>
              <w:t>Approve target data lake architecture</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6"/>
              </w:rPr>
              <w:t>Architecture decision record covering zones, governance, lineage, security, and cost</w:t>
            </w:r>
          </w:p>
        </w:tc>
        <w:tc>
          <w:tcPr>
            <w:tcW w:type="dxa" w:w="1840"/>
            <w:tcMar>
              <w:top w:w="80" w:type="dxa"/>
              <w:start w:w="120" w:type="dxa"/>
              <w:bottom w:w="80" w:type="dxa"/>
              <w:end w:w="120" w:type="dxa"/>
            </w:tcMar>
            <w:vAlign w:val="center"/>
          </w:tcPr>
          <w:p>
            <w:pPr>
              <w:pStyle w:val="TableText"/>
            </w:pPr>
            <w:r>
              <w:rPr>
                <w:rFonts w:ascii="Arial" w:hAnsi="Arial"/>
                <w:b w:val="0"/>
                <w:i w:val="0"/>
                <w:color w:val="000000"/>
                <w:sz w:val="16"/>
              </w:rPr>
              <w:t>Data Architecture</w:t>
            </w:r>
          </w:p>
        </w:tc>
        <w:tc>
          <w:tcPr>
            <w:tcW w:type="dxa" w:w="980"/>
            <w:tcMar>
              <w:top w:w="80" w:type="dxa"/>
              <w:start w:w="120" w:type="dxa"/>
              <w:bottom w:w="80" w:type="dxa"/>
              <w:end w:w="120" w:type="dxa"/>
            </w:tcMar>
            <w:vAlign w:val="center"/>
          </w:tcPr>
          <w:p>
            <w:pPr>
              <w:pStyle w:val="TableText"/>
            </w:pPr>
            <w:r>
              <w:rPr>
                <w:rFonts w:ascii="Arial" w:hAnsi="Arial"/>
                <w:b w:val="0"/>
                <w:i w:val="0"/>
                <w:color w:val="000000"/>
                <w:sz w:val="16"/>
              </w:rPr>
              <w:t>Critical</w:t>
            </w:r>
          </w:p>
        </w:tc>
      </w:tr>
      <w:tr>
        <w:trPr>
          <w:cantSplit w:val="true"/>
        </w:trPr>
        <w:tc>
          <w:tcPr>
            <w:tcW w:type="dxa" w:w="620"/>
            <w:shd w:fill="FAFBFC"/>
            <w:tcMar>
              <w:top w:w="80" w:type="dxa"/>
              <w:start w:w="120" w:type="dxa"/>
              <w:bottom w:w="80" w:type="dxa"/>
              <w:end w:w="120" w:type="dxa"/>
            </w:tcMar>
            <w:vAlign w:val="center"/>
          </w:tcPr>
          <w:p>
            <w:pPr>
              <w:pStyle w:val="TableText"/>
            </w:pPr>
            <w:r>
              <w:rPr>
                <w:rFonts w:ascii="Arial" w:hAnsi="Arial"/>
                <w:b w:val="0"/>
                <w:i w:val="0"/>
                <w:color w:val="000000"/>
                <w:sz w:val="16"/>
              </w:rPr>
              <w:t>A04</w:t>
            </w:r>
          </w:p>
        </w:tc>
        <w:tc>
          <w:tcPr>
            <w:tcW w:type="dxa" w:w="2920"/>
            <w:shd w:fill="FAFBFC"/>
            <w:tcMar>
              <w:top w:w="80" w:type="dxa"/>
              <w:start w:w="120" w:type="dxa"/>
              <w:bottom w:w="80" w:type="dxa"/>
              <w:end w:w="120" w:type="dxa"/>
            </w:tcMar>
            <w:vAlign w:val="center"/>
          </w:tcPr>
          <w:p>
            <w:pPr>
              <w:pStyle w:val="TableText"/>
            </w:pPr>
            <w:r>
              <w:rPr>
                <w:rFonts w:ascii="Arial" w:hAnsi="Arial"/>
                <w:b w:val="0"/>
                <w:i w:val="0"/>
                <w:color w:val="000000"/>
                <w:sz w:val="16"/>
              </w:rPr>
              <w:t>Approve data contract and onboarding standard</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6"/>
              </w:rPr>
              <w:t>Reusable contract, checklist, and sign-off workflow</w:t>
            </w:r>
          </w:p>
        </w:tc>
        <w:tc>
          <w:tcPr>
            <w:tcW w:type="dxa" w:w="1840"/>
            <w:shd w:fill="FAFBFC"/>
            <w:tcMar>
              <w:top w:w="80" w:type="dxa"/>
              <w:start w:w="120" w:type="dxa"/>
              <w:bottom w:w="80" w:type="dxa"/>
              <w:end w:w="120" w:type="dxa"/>
            </w:tcMar>
            <w:vAlign w:val="center"/>
          </w:tcPr>
          <w:p>
            <w:pPr>
              <w:pStyle w:val="TableText"/>
            </w:pPr>
            <w:r>
              <w:rPr>
                <w:rFonts w:ascii="Arial" w:hAnsi="Arial"/>
                <w:b w:val="0"/>
                <w:i w:val="0"/>
                <w:color w:val="000000"/>
                <w:sz w:val="16"/>
              </w:rPr>
              <w:t>Business Data Owner</w:t>
            </w:r>
          </w:p>
        </w:tc>
        <w:tc>
          <w:tcPr>
            <w:tcW w:type="dxa" w:w="980"/>
            <w:shd w:fill="FAFBFC"/>
            <w:tcMar>
              <w:top w:w="80" w:type="dxa"/>
              <w:start w:w="120" w:type="dxa"/>
              <w:bottom w:w="80" w:type="dxa"/>
              <w:end w:w="120" w:type="dxa"/>
            </w:tcMar>
            <w:vAlign w:val="center"/>
          </w:tcPr>
          <w:p>
            <w:pPr>
              <w:pStyle w:val="TableText"/>
            </w:pPr>
            <w:r>
              <w:rPr>
                <w:rFonts w:ascii="Arial" w:hAnsi="Arial"/>
                <w:b w:val="0"/>
                <w:i w:val="0"/>
                <w:color w:val="000000"/>
                <w:sz w:val="16"/>
              </w:rPr>
              <w:t>Critical</w:t>
            </w:r>
          </w:p>
        </w:tc>
      </w:tr>
      <w:tr>
        <w:trPr>
          <w:cantSplit w:val="true"/>
        </w:trPr>
        <w:tc>
          <w:tcPr>
            <w:tcW w:type="dxa" w:w="620"/>
            <w:tcMar>
              <w:top w:w="80" w:type="dxa"/>
              <w:start w:w="120" w:type="dxa"/>
              <w:bottom w:w="80" w:type="dxa"/>
              <w:end w:w="120" w:type="dxa"/>
            </w:tcMar>
            <w:vAlign w:val="center"/>
          </w:tcPr>
          <w:p>
            <w:pPr>
              <w:pStyle w:val="TableText"/>
            </w:pPr>
            <w:r>
              <w:rPr>
                <w:rFonts w:ascii="Arial" w:hAnsi="Arial"/>
                <w:b w:val="0"/>
                <w:i w:val="0"/>
                <w:color w:val="000000"/>
                <w:sz w:val="16"/>
              </w:rPr>
              <w:t>A05</w:t>
            </w:r>
          </w:p>
        </w:tc>
        <w:tc>
          <w:tcPr>
            <w:tcW w:type="dxa" w:w="2920"/>
            <w:tcMar>
              <w:top w:w="80" w:type="dxa"/>
              <w:start w:w="120" w:type="dxa"/>
              <w:bottom w:w="80" w:type="dxa"/>
              <w:end w:w="120" w:type="dxa"/>
            </w:tcMar>
            <w:vAlign w:val="center"/>
          </w:tcPr>
          <w:p>
            <w:pPr>
              <w:pStyle w:val="TableText"/>
            </w:pPr>
            <w:r>
              <w:rPr>
                <w:rFonts w:ascii="Arial" w:hAnsi="Arial"/>
                <w:b w:val="0"/>
                <w:i w:val="0"/>
                <w:color w:val="000000"/>
                <w:sz w:val="16"/>
              </w:rPr>
              <w:t>Build pilot external pipelines</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6"/>
              </w:rPr>
              <w:t>Initial load, incremental update, quarantine, replay, and curated publication</w:t>
            </w:r>
          </w:p>
        </w:tc>
        <w:tc>
          <w:tcPr>
            <w:tcW w:type="dxa" w:w="1840"/>
            <w:tcMar>
              <w:top w:w="80" w:type="dxa"/>
              <w:start w:w="120" w:type="dxa"/>
              <w:bottom w:w="80" w:type="dxa"/>
              <w:end w:w="120" w:type="dxa"/>
            </w:tcMar>
            <w:vAlign w:val="center"/>
          </w:tcPr>
          <w:p>
            <w:pPr>
              <w:pStyle w:val="TableText"/>
            </w:pPr>
            <w:r>
              <w:rPr>
                <w:rFonts w:ascii="Arial" w:hAnsi="Arial"/>
                <w:b w:val="0"/>
                <w:i w:val="0"/>
                <w:color w:val="000000"/>
                <w:sz w:val="16"/>
              </w:rPr>
              <w:t>Data Engineering</w:t>
            </w:r>
          </w:p>
        </w:tc>
        <w:tc>
          <w:tcPr>
            <w:tcW w:type="dxa" w:w="980"/>
            <w:tcMar>
              <w:top w:w="80" w:type="dxa"/>
              <w:start w:w="120" w:type="dxa"/>
              <w:bottom w:w="80" w:type="dxa"/>
              <w:end w:w="120" w:type="dxa"/>
            </w:tcMar>
            <w:vAlign w:val="center"/>
          </w:tcPr>
          <w:p>
            <w:pPr>
              <w:pStyle w:val="TableText"/>
            </w:pPr>
            <w:r>
              <w:rPr>
                <w:rFonts w:ascii="Arial" w:hAnsi="Arial"/>
                <w:b w:val="0"/>
                <w:i w:val="0"/>
                <w:color w:val="000000"/>
                <w:sz w:val="16"/>
              </w:rPr>
              <w:t>High</w:t>
            </w:r>
          </w:p>
        </w:tc>
      </w:tr>
      <w:tr>
        <w:trPr>
          <w:cantSplit w:val="true"/>
        </w:trPr>
        <w:tc>
          <w:tcPr>
            <w:tcW w:type="dxa" w:w="620"/>
            <w:shd w:fill="FAFBFC"/>
            <w:tcMar>
              <w:top w:w="80" w:type="dxa"/>
              <w:start w:w="120" w:type="dxa"/>
              <w:bottom w:w="80" w:type="dxa"/>
              <w:end w:w="120" w:type="dxa"/>
            </w:tcMar>
            <w:vAlign w:val="center"/>
          </w:tcPr>
          <w:p>
            <w:pPr>
              <w:pStyle w:val="TableText"/>
            </w:pPr>
            <w:r>
              <w:rPr>
                <w:rFonts w:ascii="Arial" w:hAnsi="Arial"/>
                <w:b w:val="0"/>
                <w:i w:val="0"/>
                <w:color w:val="000000"/>
                <w:sz w:val="16"/>
              </w:rPr>
              <w:t>A06</w:t>
            </w:r>
          </w:p>
        </w:tc>
        <w:tc>
          <w:tcPr>
            <w:tcW w:type="dxa" w:w="2920"/>
            <w:shd w:fill="FAFBFC"/>
            <w:tcMar>
              <w:top w:w="80" w:type="dxa"/>
              <w:start w:w="120" w:type="dxa"/>
              <w:bottom w:w="80" w:type="dxa"/>
              <w:end w:w="120" w:type="dxa"/>
            </w:tcMar>
            <w:vAlign w:val="center"/>
          </w:tcPr>
          <w:p>
            <w:pPr>
              <w:pStyle w:val="TableText"/>
            </w:pPr>
            <w:r>
              <w:rPr>
                <w:rFonts w:ascii="Arial" w:hAnsi="Arial"/>
                <w:b w:val="0"/>
                <w:i w:val="0"/>
                <w:color w:val="000000"/>
                <w:sz w:val="16"/>
              </w:rPr>
              <w:t>Align and prove one internal ingestion flow</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6"/>
              </w:rPr>
              <w:t>Process map, reconciliation, exception path, and acceptance evidence</w:t>
            </w:r>
          </w:p>
        </w:tc>
        <w:tc>
          <w:tcPr>
            <w:tcW w:type="dxa" w:w="1840"/>
            <w:shd w:fill="FAFBFC"/>
            <w:tcMar>
              <w:top w:w="80" w:type="dxa"/>
              <w:start w:w="120" w:type="dxa"/>
              <w:bottom w:w="80" w:type="dxa"/>
              <w:end w:w="120" w:type="dxa"/>
            </w:tcMar>
            <w:vAlign w:val="center"/>
          </w:tcPr>
          <w:p>
            <w:pPr>
              <w:pStyle w:val="TableText"/>
            </w:pPr>
            <w:r>
              <w:rPr>
                <w:rFonts w:ascii="Arial" w:hAnsi="Arial"/>
                <w:b w:val="0"/>
                <w:i w:val="0"/>
                <w:color w:val="000000"/>
                <w:sz w:val="16"/>
              </w:rPr>
              <w:t>Business + Data Eng.</w:t>
            </w:r>
          </w:p>
        </w:tc>
        <w:tc>
          <w:tcPr>
            <w:tcW w:type="dxa" w:w="980"/>
            <w:shd w:fill="FAFBFC"/>
            <w:tcMar>
              <w:top w:w="80" w:type="dxa"/>
              <w:start w:w="120" w:type="dxa"/>
              <w:bottom w:w="80" w:type="dxa"/>
              <w:end w:w="120" w:type="dxa"/>
            </w:tcMar>
            <w:vAlign w:val="center"/>
          </w:tcPr>
          <w:p>
            <w:pPr>
              <w:pStyle w:val="TableText"/>
            </w:pPr>
            <w:r>
              <w:rPr>
                <w:rFonts w:ascii="Arial" w:hAnsi="Arial"/>
                <w:b w:val="0"/>
                <w:i w:val="0"/>
                <w:color w:val="000000"/>
                <w:sz w:val="16"/>
              </w:rPr>
              <w:t>High</w:t>
            </w:r>
          </w:p>
        </w:tc>
      </w:tr>
      <w:tr>
        <w:trPr>
          <w:cantSplit w:val="true"/>
        </w:trPr>
        <w:tc>
          <w:tcPr>
            <w:tcW w:type="dxa" w:w="620"/>
            <w:tcMar>
              <w:top w:w="80" w:type="dxa"/>
              <w:start w:w="120" w:type="dxa"/>
              <w:bottom w:w="80" w:type="dxa"/>
              <w:end w:w="120" w:type="dxa"/>
            </w:tcMar>
            <w:vAlign w:val="center"/>
          </w:tcPr>
          <w:p>
            <w:pPr>
              <w:pStyle w:val="TableText"/>
            </w:pPr>
            <w:r>
              <w:rPr>
                <w:rFonts w:ascii="Arial" w:hAnsi="Arial"/>
                <w:b w:val="0"/>
                <w:i w:val="0"/>
                <w:color w:val="000000"/>
                <w:sz w:val="16"/>
              </w:rPr>
              <w:t>A07</w:t>
            </w:r>
          </w:p>
        </w:tc>
        <w:tc>
          <w:tcPr>
            <w:tcW w:type="dxa" w:w="2920"/>
            <w:tcMar>
              <w:top w:w="80" w:type="dxa"/>
              <w:start w:w="120" w:type="dxa"/>
              <w:bottom w:w="80" w:type="dxa"/>
              <w:end w:w="120" w:type="dxa"/>
            </w:tcMar>
            <w:vAlign w:val="center"/>
          </w:tcPr>
          <w:p>
            <w:pPr>
              <w:pStyle w:val="TableText"/>
            </w:pPr>
            <w:r>
              <w:rPr>
                <w:rFonts w:ascii="Arial" w:hAnsi="Arial"/>
                <w:b w:val="0"/>
                <w:i w:val="0"/>
                <w:color w:val="000000"/>
                <w:sz w:val="16"/>
              </w:rPr>
              <w:t>Create governed categorization gold dataset</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6"/>
              </w:rPr>
              <w:t>Representative labels, guidance, review agreement, and versioned test split</w:t>
            </w:r>
          </w:p>
        </w:tc>
        <w:tc>
          <w:tcPr>
            <w:tcW w:type="dxa" w:w="1840"/>
            <w:tcMar>
              <w:top w:w="80" w:type="dxa"/>
              <w:start w:w="120" w:type="dxa"/>
              <w:bottom w:w="80" w:type="dxa"/>
              <w:end w:w="120" w:type="dxa"/>
            </w:tcMar>
            <w:vAlign w:val="center"/>
          </w:tcPr>
          <w:p>
            <w:pPr>
              <w:pStyle w:val="TableText"/>
            </w:pPr>
            <w:r>
              <w:rPr>
                <w:rFonts w:ascii="Arial" w:hAnsi="Arial"/>
                <w:b w:val="0"/>
                <w:i w:val="0"/>
                <w:color w:val="000000"/>
                <w:sz w:val="16"/>
              </w:rPr>
              <w:t>ML / Data Science</w:t>
            </w:r>
          </w:p>
        </w:tc>
        <w:tc>
          <w:tcPr>
            <w:tcW w:type="dxa" w:w="980"/>
            <w:tcMar>
              <w:top w:w="80" w:type="dxa"/>
              <w:start w:w="120" w:type="dxa"/>
              <w:bottom w:w="80" w:type="dxa"/>
              <w:end w:w="120" w:type="dxa"/>
            </w:tcMar>
            <w:vAlign w:val="center"/>
          </w:tcPr>
          <w:p>
            <w:pPr>
              <w:pStyle w:val="TableText"/>
            </w:pPr>
            <w:r>
              <w:rPr>
                <w:rFonts w:ascii="Arial" w:hAnsi="Arial"/>
                <w:b w:val="0"/>
                <w:i w:val="0"/>
                <w:color w:val="000000"/>
                <w:sz w:val="16"/>
              </w:rPr>
              <w:t>Critical</w:t>
            </w:r>
          </w:p>
        </w:tc>
      </w:tr>
      <w:tr>
        <w:trPr>
          <w:cantSplit w:val="true"/>
        </w:trPr>
        <w:tc>
          <w:tcPr>
            <w:tcW w:type="dxa" w:w="620"/>
            <w:shd w:fill="FAFBFC"/>
            <w:tcMar>
              <w:top w:w="80" w:type="dxa"/>
              <w:start w:w="120" w:type="dxa"/>
              <w:bottom w:w="80" w:type="dxa"/>
              <w:end w:w="120" w:type="dxa"/>
            </w:tcMar>
            <w:vAlign w:val="center"/>
          </w:tcPr>
          <w:p>
            <w:pPr>
              <w:pStyle w:val="TableText"/>
            </w:pPr>
            <w:r>
              <w:rPr>
                <w:rFonts w:ascii="Arial" w:hAnsi="Arial"/>
                <w:b w:val="0"/>
                <w:i w:val="0"/>
                <w:color w:val="000000"/>
                <w:sz w:val="16"/>
              </w:rPr>
              <w:t>A08</w:t>
            </w:r>
          </w:p>
        </w:tc>
        <w:tc>
          <w:tcPr>
            <w:tcW w:type="dxa" w:w="2920"/>
            <w:shd w:fill="FAFBFC"/>
            <w:tcMar>
              <w:top w:w="80" w:type="dxa"/>
              <w:start w:w="120" w:type="dxa"/>
              <w:bottom w:w="80" w:type="dxa"/>
              <w:end w:w="120" w:type="dxa"/>
            </w:tcMar>
            <w:vAlign w:val="center"/>
          </w:tcPr>
          <w:p>
            <w:pPr>
              <w:pStyle w:val="TableText"/>
            </w:pPr>
            <w:r>
              <w:rPr>
                <w:rFonts w:ascii="Arial" w:hAnsi="Arial"/>
                <w:b w:val="0"/>
                <w:i w:val="0"/>
                <w:color w:val="000000"/>
                <w:sz w:val="16"/>
              </w:rPr>
              <w:t>Assess UNSPSC fit and mapping strategy</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6"/>
              </w:rPr>
              <w:t>Coverage gaps, supplemental mappings, hierarchy rules, and approval</w:t>
            </w:r>
          </w:p>
        </w:tc>
        <w:tc>
          <w:tcPr>
            <w:tcW w:type="dxa" w:w="1840"/>
            <w:shd w:fill="FAFBFC"/>
            <w:tcMar>
              <w:top w:w="80" w:type="dxa"/>
              <w:start w:w="120" w:type="dxa"/>
              <w:bottom w:w="80" w:type="dxa"/>
              <w:end w:w="120" w:type="dxa"/>
            </w:tcMar>
            <w:vAlign w:val="center"/>
          </w:tcPr>
          <w:p>
            <w:pPr>
              <w:pStyle w:val="TableText"/>
            </w:pPr>
            <w:r>
              <w:rPr>
                <w:rFonts w:ascii="Arial" w:hAnsi="Arial"/>
                <w:b w:val="0"/>
                <w:i w:val="0"/>
                <w:color w:val="000000"/>
                <w:sz w:val="16"/>
              </w:rPr>
              <w:t>Category / Business</w:t>
            </w:r>
          </w:p>
        </w:tc>
        <w:tc>
          <w:tcPr>
            <w:tcW w:type="dxa" w:w="980"/>
            <w:shd w:fill="FAFBFC"/>
            <w:tcMar>
              <w:top w:w="80" w:type="dxa"/>
              <w:start w:w="120" w:type="dxa"/>
              <w:bottom w:w="80" w:type="dxa"/>
              <w:end w:w="120" w:type="dxa"/>
            </w:tcMar>
            <w:vAlign w:val="center"/>
          </w:tcPr>
          <w:p>
            <w:pPr>
              <w:pStyle w:val="TableText"/>
            </w:pPr>
            <w:r>
              <w:rPr>
                <w:rFonts w:ascii="Arial" w:hAnsi="Arial"/>
                <w:b w:val="0"/>
                <w:i w:val="0"/>
                <w:color w:val="000000"/>
                <w:sz w:val="16"/>
              </w:rPr>
              <w:t>High</w:t>
            </w:r>
          </w:p>
        </w:tc>
      </w:tr>
      <w:tr>
        <w:trPr>
          <w:cantSplit w:val="true"/>
        </w:trPr>
        <w:tc>
          <w:tcPr>
            <w:tcW w:type="dxa" w:w="620"/>
            <w:tcMar>
              <w:top w:w="80" w:type="dxa"/>
              <w:start w:w="120" w:type="dxa"/>
              <w:bottom w:w="80" w:type="dxa"/>
              <w:end w:w="120" w:type="dxa"/>
            </w:tcMar>
            <w:vAlign w:val="center"/>
          </w:tcPr>
          <w:p>
            <w:pPr>
              <w:pStyle w:val="TableText"/>
            </w:pPr>
            <w:r>
              <w:rPr>
                <w:rFonts w:ascii="Arial" w:hAnsi="Arial"/>
                <w:b w:val="0"/>
                <w:i w:val="0"/>
                <w:color w:val="000000"/>
                <w:sz w:val="16"/>
              </w:rPr>
              <w:t>A09</w:t>
            </w:r>
          </w:p>
        </w:tc>
        <w:tc>
          <w:tcPr>
            <w:tcW w:type="dxa" w:w="2920"/>
            <w:tcMar>
              <w:top w:w="80" w:type="dxa"/>
              <w:start w:w="120" w:type="dxa"/>
              <w:bottom w:w="80" w:type="dxa"/>
              <w:end w:w="120" w:type="dxa"/>
            </w:tcMar>
            <w:vAlign w:val="center"/>
          </w:tcPr>
          <w:p>
            <w:pPr>
              <w:pStyle w:val="TableText"/>
            </w:pPr>
            <w:r>
              <w:rPr>
                <w:rFonts w:ascii="Arial" w:hAnsi="Arial"/>
                <w:b w:val="0"/>
                <w:i w:val="0"/>
                <w:color w:val="000000"/>
                <w:sz w:val="16"/>
              </w:rPr>
              <w:t>Implement confidence and human-review loop</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6"/>
              </w:rPr>
              <w:t>Threshold routing, review queue, correction capture, and metrics</w:t>
            </w:r>
          </w:p>
        </w:tc>
        <w:tc>
          <w:tcPr>
            <w:tcW w:type="dxa" w:w="1840"/>
            <w:tcMar>
              <w:top w:w="80" w:type="dxa"/>
              <w:start w:w="120" w:type="dxa"/>
              <w:bottom w:w="80" w:type="dxa"/>
              <w:end w:w="120" w:type="dxa"/>
            </w:tcMar>
            <w:vAlign w:val="center"/>
          </w:tcPr>
          <w:p>
            <w:pPr>
              <w:pStyle w:val="TableText"/>
            </w:pPr>
            <w:r>
              <w:rPr>
                <w:rFonts w:ascii="Arial" w:hAnsi="Arial"/>
                <w:b w:val="0"/>
                <w:i w:val="0"/>
                <w:color w:val="000000"/>
                <w:sz w:val="16"/>
              </w:rPr>
              <w:t>ML + Product</w:t>
            </w:r>
          </w:p>
        </w:tc>
        <w:tc>
          <w:tcPr>
            <w:tcW w:type="dxa" w:w="980"/>
            <w:tcMar>
              <w:top w:w="80" w:type="dxa"/>
              <w:start w:w="120" w:type="dxa"/>
              <w:bottom w:w="80" w:type="dxa"/>
              <w:end w:w="120" w:type="dxa"/>
            </w:tcMar>
            <w:vAlign w:val="center"/>
          </w:tcPr>
          <w:p>
            <w:pPr>
              <w:pStyle w:val="TableText"/>
            </w:pPr>
            <w:r>
              <w:rPr>
                <w:rFonts w:ascii="Arial" w:hAnsi="Arial"/>
                <w:b w:val="0"/>
                <w:i w:val="0"/>
                <w:color w:val="000000"/>
                <w:sz w:val="16"/>
              </w:rPr>
              <w:t>High</w:t>
            </w:r>
          </w:p>
        </w:tc>
      </w:tr>
      <w:tr>
        <w:trPr>
          <w:cantSplit w:val="true"/>
        </w:trPr>
        <w:tc>
          <w:tcPr>
            <w:tcW w:type="dxa" w:w="620"/>
            <w:shd w:fill="FAFBFC"/>
            <w:tcMar>
              <w:top w:w="80" w:type="dxa"/>
              <w:start w:w="120" w:type="dxa"/>
              <w:bottom w:w="80" w:type="dxa"/>
              <w:end w:w="120" w:type="dxa"/>
            </w:tcMar>
            <w:vAlign w:val="center"/>
          </w:tcPr>
          <w:p>
            <w:pPr>
              <w:pStyle w:val="TableText"/>
            </w:pPr>
            <w:r>
              <w:rPr>
                <w:rFonts w:ascii="Arial" w:hAnsi="Arial"/>
                <w:b w:val="0"/>
                <w:i w:val="0"/>
                <w:color w:val="000000"/>
                <w:sz w:val="16"/>
              </w:rPr>
              <w:t>A10</w:t>
            </w:r>
          </w:p>
        </w:tc>
        <w:tc>
          <w:tcPr>
            <w:tcW w:type="dxa" w:w="2920"/>
            <w:shd w:fill="FAFBFC"/>
            <w:tcMar>
              <w:top w:w="80" w:type="dxa"/>
              <w:start w:w="120" w:type="dxa"/>
              <w:bottom w:w="80" w:type="dxa"/>
              <w:end w:w="120" w:type="dxa"/>
            </w:tcMar>
            <w:vAlign w:val="center"/>
          </w:tcPr>
          <w:p>
            <w:pPr>
              <w:pStyle w:val="TableText"/>
            </w:pPr>
            <w:r>
              <w:rPr>
                <w:rFonts w:ascii="Arial" w:hAnsi="Arial"/>
                <w:b w:val="0"/>
                <w:i w:val="0"/>
                <w:color w:val="000000"/>
                <w:sz w:val="16"/>
              </w:rPr>
              <w:t>Define and version enrichment configurations</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6"/>
              </w:rPr>
              <w:t>Configuration schema, precedence, provenance, tests, and rollback</w:t>
            </w:r>
          </w:p>
        </w:tc>
        <w:tc>
          <w:tcPr>
            <w:tcW w:type="dxa" w:w="1840"/>
            <w:shd w:fill="FAFBFC"/>
            <w:tcMar>
              <w:top w:w="80" w:type="dxa"/>
              <w:start w:w="120" w:type="dxa"/>
              <w:bottom w:w="80" w:type="dxa"/>
              <w:end w:w="120" w:type="dxa"/>
            </w:tcMar>
            <w:vAlign w:val="center"/>
          </w:tcPr>
          <w:p>
            <w:pPr>
              <w:pStyle w:val="TableText"/>
            </w:pPr>
            <w:r>
              <w:rPr>
                <w:rFonts w:ascii="Arial" w:hAnsi="Arial"/>
                <w:b w:val="0"/>
                <w:i w:val="0"/>
                <w:color w:val="000000"/>
                <w:sz w:val="16"/>
              </w:rPr>
              <w:t>Data Product</w:t>
            </w:r>
          </w:p>
        </w:tc>
        <w:tc>
          <w:tcPr>
            <w:tcW w:type="dxa" w:w="980"/>
            <w:shd w:fill="FAFBFC"/>
            <w:tcMar>
              <w:top w:w="80" w:type="dxa"/>
              <w:start w:w="120" w:type="dxa"/>
              <w:bottom w:w="80" w:type="dxa"/>
              <w:end w:w="120" w:type="dxa"/>
            </w:tcMar>
            <w:vAlign w:val="center"/>
          </w:tcPr>
          <w:p>
            <w:pPr>
              <w:pStyle w:val="TableText"/>
            </w:pPr>
            <w:r>
              <w:rPr>
                <w:rFonts w:ascii="Arial" w:hAnsi="Arial"/>
                <w:b w:val="0"/>
                <w:i w:val="0"/>
                <w:color w:val="000000"/>
                <w:sz w:val="16"/>
              </w:rPr>
              <w:t>High</w:t>
            </w:r>
          </w:p>
        </w:tc>
      </w:tr>
      <w:tr>
        <w:trPr>
          <w:cantSplit w:val="true"/>
        </w:trPr>
        <w:tc>
          <w:tcPr>
            <w:tcW w:type="dxa" w:w="620"/>
            <w:tcMar>
              <w:top w:w="80" w:type="dxa"/>
              <w:start w:w="120" w:type="dxa"/>
              <w:bottom w:w="80" w:type="dxa"/>
              <w:end w:w="120" w:type="dxa"/>
            </w:tcMar>
            <w:vAlign w:val="center"/>
          </w:tcPr>
          <w:p>
            <w:pPr>
              <w:pStyle w:val="TableText"/>
            </w:pPr>
            <w:r>
              <w:rPr>
                <w:rFonts w:ascii="Arial" w:hAnsi="Arial"/>
                <w:b w:val="0"/>
                <w:i w:val="0"/>
                <w:color w:val="000000"/>
                <w:sz w:val="16"/>
              </w:rPr>
              <w:t>A11</w:t>
            </w:r>
          </w:p>
        </w:tc>
        <w:tc>
          <w:tcPr>
            <w:tcW w:type="dxa" w:w="2920"/>
            <w:tcMar>
              <w:top w:w="80" w:type="dxa"/>
              <w:start w:w="120" w:type="dxa"/>
              <w:bottom w:w="80" w:type="dxa"/>
              <w:end w:w="120" w:type="dxa"/>
            </w:tcMar>
            <w:vAlign w:val="center"/>
          </w:tcPr>
          <w:p>
            <w:pPr>
              <w:pStyle w:val="TableText"/>
            </w:pPr>
            <w:r>
              <w:rPr>
                <w:rFonts w:ascii="Arial" w:hAnsi="Arial"/>
                <w:b w:val="0"/>
                <w:i w:val="0"/>
                <w:color w:val="000000"/>
                <w:sz w:val="16"/>
              </w:rPr>
              <w:t>Benchmark extra-large contract ingestion</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6"/>
              </w:rPr>
              <w:t>Measured cost and quality baseline for representative PDFs longer than 100 pages</w:t>
            </w:r>
          </w:p>
        </w:tc>
        <w:tc>
          <w:tcPr>
            <w:tcW w:type="dxa" w:w="1840"/>
            <w:tcMar>
              <w:top w:w="80" w:type="dxa"/>
              <w:start w:w="120" w:type="dxa"/>
              <w:bottom w:w="80" w:type="dxa"/>
              <w:end w:w="120" w:type="dxa"/>
            </w:tcMar>
            <w:vAlign w:val="center"/>
          </w:tcPr>
          <w:p>
            <w:pPr>
              <w:pStyle w:val="TableText"/>
            </w:pPr>
            <w:r>
              <w:rPr>
                <w:rFonts w:ascii="Arial" w:hAnsi="Arial"/>
                <w:b w:val="0"/>
                <w:i w:val="0"/>
                <w:color w:val="000000"/>
                <w:sz w:val="16"/>
              </w:rPr>
              <w:t>Data / FinOps</w:t>
            </w:r>
          </w:p>
        </w:tc>
        <w:tc>
          <w:tcPr>
            <w:tcW w:type="dxa" w:w="980"/>
            <w:tcMar>
              <w:top w:w="80" w:type="dxa"/>
              <w:start w:w="120" w:type="dxa"/>
              <w:bottom w:w="80" w:type="dxa"/>
              <w:end w:w="120" w:type="dxa"/>
            </w:tcMar>
            <w:vAlign w:val="center"/>
          </w:tcPr>
          <w:p>
            <w:pPr>
              <w:pStyle w:val="TableText"/>
            </w:pPr>
            <w:r>
              <w:rPr>
                <w:rFonts w:ascii="Arial" w:hAnsi="Arial"/>
                <w:b w:val="0"/>
                <w:i w:val="0"/>
                <w:color w:val="000000"/>
                <w:sz w:val="16"/>
              </w:rPr>
              <w:t>Critical</w:t>
            </w:r>
          </w:p>
        </w:tc>
      </w:tr>
      <w:tr>
        <w:trPr>
          <w:cantSplit w:val="true"/>
        </w:trPr>
        <w:tc>
          <w:tcPr>
            <w:tcW w:type="dxa" w:w="620"/>
            <w:shd w:fill="FAFBFC"/>
            <w:tcMar>
              <w:top w:w="80" w:type="dxa"/>
              <w:start w:w="120" w:type="dxa"/>
              <w:bottom w:w="80" w:type="dxa"/>
              <w:end w:w="120" w:type="dxa"/>
            </w:tcMar>
            <w:vAlign w:val="center"/>
          </w:tcPr>
          <w:p>
            <w:pPr>
              <w:pStyle w:val="TableText"/>
            </w:pPr>
            <w:r>
              <w:rPr>
                <w:rFonts w:ascii="Arial" w:hAnsi="Arial"/>
                <w:b w:val="0"/>
                <w:i w:val="0"/>
                <w:color w:val="000000"/>
                <w:sz w:val="16"/>
              </w:rPr>
              <w:t>A12</w:t>
            </w:r>
          </w:p>
        </w:tc>
        <w:tc>
          <w:tcPr>
            <w:tcW w:type="dxa" w:w="2920"/>
            <w:shd w:fill="FAFBFC"/>
            <w:tcMar>
              <w:top w:w="80" w:type="dxa"/>
              <w:start w:w="120" w:type="dxa"/>
              <w:bottom w:w="80" w:type="dxa"/>
              <w:end w:w="120" w:type="dxa"/>
            </w:tcMar>
            <w:vAlign w:val="center"/>
          </w:tcPr>
          <w:p>
            <w:pPr>
              <w:pStyle w:val="TableText"/>
            </w:pPr>
            <w:r>
              <w:rPr>
                <w:rFonts w:ascii="Arial" w:hAnsi="Arial"/>
                <w:b w:val="0"/>
                <w:i w:val="0"/>
                <w:color w:val="000000"/>
                <w:sz w:val="16"/>
              </w:rPr>
              <w:t>Implement cost-aware PDF ingestion</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6"/>
              </w:rPr>
              <w:t>Preflight, selective OCR, section-aware extraction, cached stages, and cost policy</w:t>
            </w:r>
          </w:p>
        </w:tc>
        <w:tc>
          <w:tcPr>
            <w:tcW w:type="dxa" w:w="1840"/>
            <w:shd w:fill="FAFBFC"/>
            <w:tcMar>
              <w:top w:w="80" w:type="dxa"/>
              <w:start w:w="120" w:type="dxa"/>
              <w:bottom w:w="80" w:type="dxa"/>
              <w:end w:w="120" w:type="dxa"/>
            </w:tcMar>
            <w:vAlign w:val="center"/>
          </w:tcPr>
          <w:p>
            <w:pPr>
              <w:pStyle w:val="TableText"/>
            </w:pPr>
            <w:r>
              <w:rPr>
                <w:rFonts w:ascii="Arial" w:hAnsi="Arial"/>
                <w:b w:val="0"/>
                <w:i w:val="0"/>
                <w:color w:val="000000"/>
                <w:sz w:val="16"/>
              </w:rPr>
              <w:t>Data Engineering</w:t>
            </w:r>
          </w:p>
        </w:tc>
        <w:tc>
          <w:tcPr>
            <w:tcW w:type="dxa" w:w="980"/>
            <w:shd w:fill="FAFBFC"/>
            <w:tcMar>
              <w:top w:w="80" w:type="dxa"/>
              <w:start w:w="120" w:type="dxa"/>
              <w:bottom w:w="80" w:type="dxa"/>
              <w:end w:w="120" w:type="dxa"/>
            </w:tcMar>
            <w:vAlign w:val="center"/>
          </w:tcPr>
          <w:p>
            <w:pPr>
              <w:pStyle w:val="TableText"/>
            </w:pPr>
            <w:r>
              <w:rPr>
                <w:rFonts w:ascii="Arial" w:hAnsi="Arial"/>
                <w:b w:val="0"/>
                <w:i w:val="0"/>
                <w:color w:val="000000"/>
                <w:sz w:val="16"/>
              </w:rPr>
              <w:t>Critical</w:t>
            </w:r>
          </w:p>
        </w:tc>
      </w:tr>
      <w:tr>
        <w:trPr>
          <w:cantSplit w:val="true"/>
        </w:trPr>
        <w:tc>
          <w:tcPr>
            <w:tcW w:type="dxa" w:w="620"/>
            <w:tcMar>
              <w:top w:w="80" w:type="dxa"/>
              <w:start w:w="120" w:type="dxa"/>
              <w:bottom w:w="80" w:type="dxa"/>
              <w:end w:w="120" w:type="dxa"/>
            </w:tcMar>
            <w:vAlign w:val="center"/>
          </w:tcPr>
          <w:p>
            <w:pPr>
              <w:pStyle w:val="TableText"/>
            </w:pPr>
            <w:r>
              <w:rPr>
                <w:rFonts w:ascii="Arial" w:hAnsi="Arial"/>
                <w:b w:val="0"/>
                <w:i w:val="0"/>
                <w:color w:val="000000"/>
                <w:sz w:val="16"/>
              </w:rPr>
              <w:t>A13</w:t>
            </w:r>
          </w:p>
        </w:tc>
        <w:tc>
          <w:tcPr>
            <w:tcW w:type="dxa" w:w="2920"/>
            <w:tcMar>
              <w:top w:w="80" w:type="dxa"/>
              <w:start w:w="120" w:type="dxa"/>
              <w:bottom w:w="80" w:type="dxa"/>
              <w:end w:w="120" w:type="dxa"/>
            </w:tcMar>
            <w:vAlign w:val="center"/>
          </w:tcPr>
          <w:p>
            <w:pPr>
              <w:pStyle w:val="TableText"/>
            </w:pPr>
            <w:r>
              <w:rPr>
                <w:rFonts w:ascii="Arial" w:hAnsi="Arial"/>
                <w:b w:val="0"/>
                <w:i w:val="0"/>
                <w:color w:val="000000"/>
                <w:sz w:val="16"/>
              </w:rPr>
              <w:t>Complete AWS workflow integration</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6"/>
              </w:rPr>
              <w:t>Repeatable deployment and representative end-to-end execution</w:t>
            </w:r>
          </w:p>
        </w:tc>
        <w:tc>
          <w:tcPr>
            <w:tcW w:type="dxa" w:w="1840"/>
            <w:tcMar>
              <w:top w:w="80" w:type="dxa"/>
              <w:start w:w="120" w:type="dxa"/>
              <w:bottom w:w="80" w:type="dxa"/>
              <w:end w:w="120" w:type="dxa"/>
            </w:tcMar>
            <w:vAlign w:val="center"/>
          </w:tcPr>
          <w:p>
            <w:pPr>
              <w:pStyle w:val="TableText"/>
            </w:pPr>
            <w:r>
              <w:rPr>
                <w:rFonts w:ascii="Arial" w:hAnsi="Arial"/>
                <w:b w:val="0"/>
                <w:i w:val="0"/>
                <w:color w:val="000000"/>
                <w:sz w:val="16"/>
              </w:rPr>
              <w:t>Cloud Platform</w:t>
            </w:r>
          </w:p>
        </w:tc>
        <w:tc>
          <w:tcPr>
            <w:tcW w:type="dxa" w:w="980"/>
            <w:tcMar>
              <w:top w:w="80" w:type="dxa"/>
              <w:start w:w="120" w:type="dxa"/>
              <w:bottom w:w="80" w:type="dxa"/>
              <w:end w:w="120" w:type="dxa"/>
            </w:tcMar>
            <w:vAlign w:val="center"/>
          </w:tcPr>
          <w:p>
            <w:pPr>
              <w:pStyle w:val="TableText"/>
            </w:pPr>
            <w:r>
              <w:rPr>
                <w:rFonts w:ascii="Arial" w:hAnsi="Arial"/>
                <w:b w:val="0"/>
                <w:i w:val="0"/>
                <w:color w:val="000000"/>
                <w:sz w:val="16"/>
              </w:rPr>
              <w:t>Critical</w:t>
            </w:r>
          </w:p>
        </w:tc>
      </w:tr>
      <w:tr>
        <w:trPr>
          <w:cantSplit w:val="true"/>
        </w:trPr>
        <w:tc>
          <w:tcPr>
            <w:tcW w:type="dxa" w:w="620"/>
            <w:shd w:fill="FAFBFC"/>
            <w:tcMar>
              <w:top w:w="80" w:type="dxa"/>
              <w:start w:w="120" w:type="dxa"/>
              <w:bottom w:w="80" w:type="dxa"/>
              <w:end w:w="120" w:type="dxa"/>
            </w:tcMar>
            <w:vAlign w:val="center"/>
          </w:tcPr>
          <w:p>
            <w:pPr>
              <w:pStyle w:val="TableText"/>
            </w:pPr>
            <w:r>
              <w:rPr>
                <w:rFonts w:ascii="Arial" w:hAnsi="Arial"/>
                <w:b w:val="0"/>
                <w:i w:val="0"/>
                <w:color w:val="000000"/>
                <w:sz w:val="16"/>
              </w:rPr>
              <w:t>A14</w:t>
            </w:r>
          </w:p>
        </w:tc>
        <w:tc>
          <w:tcPr>
            <w:tcW w:type="dxa" w:w="2920"/>
            <w:shd w:fill="FAFBFC"/>
            <w:tcMar>
              <w:top w:w="80" w:type="dxa"/>
              <w:start w:w="120" w:type="dxa"/>
              <w:bottom w:w="80" w:type="dxa"/>
              <w:end w:w="120" w:type="dxa"/>
            </w:tcMar>
            <w:vAlign w:val="center"/>
          </w:tcPr>
          <w:p>
            <w:pPr>
              <w:pStyle w:val="TableText"/>
            </w:pPr>
            <w:r>
              <w:rPr>
                <w:rFonts w:ascii="Arial" w:hAnsi="Arial"/>
                <w:b w:val="0"/>
                <w:i w:val="0"/>
                <w:color w:val="000000"/>
                <w:sz w:val="16"/>
              </w:rPr>
              <w:t>Complete production readiness review</w:t>
            </w:r>
          </w:p>
        </w:tc>
        <w:tc>
          <w:tcPr>
            <w:tcW w:type="dxa" w:w="3000"/>
            <w:shd w:fill="FAFBFC"/>
            <w:tcMar>
              <w:top w:w="80" w:type="dxa"/>
              <w:start w:w="120" w:type="dxa"/>
              <w:bottom w:w="80" w:type="dxa"/>
              <w:end w:w="120" w:type="dxa"/>
            </w:tcMar>
            <w:vAlign w:val="center"/>
          </w:tcPr>
          <w:p>
            <w:pPr>
              <w:pStyle w:val="TableText"/>
            </w:pPr>
            <w:r>
              <w:rPr>
                <w:rFonts w:ascii="Arial" w:hAnsi="Arial"/>
                <w:b w:val="0"/>
                <w:i w:val="0"/>
                <w:color w:val="000000"/>
                <w:sz w:val="16"/>
              </w:rPr>
              <w:t>Security, observability, recovery, runbooks, ownership, and go-live decision</w:t>
            </w:r>
          </w:p>
        </w:tc>
        <w:tc>
          <w:tcPr>
            <w:tcW w:type="dxa" w:w="1840"/>
            <w:shd w:fill="FAFBFC"/>
            <w:tcMar>
              <w:top w:w="80" w:type="dxa"/>
              <w:start w:w="120" w:type="dxa"/>
              <w:bottom w:w="80" w:type="dxa"/>
              <w:end w:w="120" w:type="dxa"/>
            </w:tcMar>
            <w:vAlign w:val="center"/>
          </w:tcPr>
          <w:p>
            <w:pPr>
              <w:pStyle w:val="TableText"/>
            </w:pPr>
            <w:r>
              <w:rPr>
                <w:rFonts w:ascii="Arial" w:hAnsi="Arial"/>
                <w:b w:val="0"/>
                <w:i w:val="0"/>
                <w:color w:val="000000"/>
                <w:sz w:val="16"/>
              </w:rPr>
              <w:t>Platform / Security</w:t>
            </w:r>
          </w:p>
        </w:tc>
        <w:tc>
          <w:tcPr>
            <w:tcW w:type="dxa" w:w="980"/>
            <w:shd w:fill="FAFBFC"/>
            <w:tcMar>
              <w:top w:w="80" w:type="dxa"/>
              <w:start w:w="120" w:type="dxa"/>
              <w:bottom w:w="80" w:type="dxa"/>
              <w:end w:w="120" w:type="dxa"/>
            </w:tcMar>
            <w:vAlign w:val="center"/>
          </w:tcPr>
          <w:p>
            <w:pPr>
              <w:pStyle w:val="TableText"/>
            </w:pPr>
            <w:r>
              <w:rPr>
                <w:rFonts w:ascii="Arial" w:hAnsi="Arial"/>
                <w:b w:val="0"/>
                <w:i w:val="0"/>
                <w:color w:val="000000"/>
                <w:sz w:val="16"/>
              </w:rPr>
              <w:t>Critical</w:t>
            </w:r>
          </w:p>
        </w:tc>
      </w:tr>
      <w:tr>
        <w:trPr>
          <w:cantSplit w:val="true"/>
        </w:trPr>
        <w:tc>
          <w:tcPr>
            <w:tcW w:type="dxa" w:w="620"/>
            <w:tcMar>
              <w:top w:w="80" w:type="dxa"/>
              <w:start w:w="120" w:type="dxa"/>
              <w:bottom w:w="80" w:type="dxa"/>
              <w:end w:w="120" w:type="dxa"/>
            </w:tcMar>
            <w:vAlign w:val="center"/>
          </w:tcPr>
          <w:p>
            <w:pPr>
              <w:pStyle w:val="TableText"/>
            </w:pPr>
            <w:r>
              <w:rPr>
                <w:rFonts w:ascii="Arial" w:hAnsi="Arial"/>
                <w:b w:val="0"/>
                <w:i w:val="0"/>
                <w:color w:val="000000"/>
                <w:sz w:val="16"/>
              </w:rPr>
              <w:t>A15</w:t>
            </w:r>
          </w:p>
        </w:tc>
        <w:tc>
          <w:tcPr>
            <w:tcW w:type="dxa" w:w="2920"/>
            <w:tcMar>
              <w:top w:w="80" w:type="dxa"/>
              <w:start w:w="120" w:type="dxa"/>
              <w:bottom w:w="80" w:type="dxa"/>
              <w:end w:w="120" w:type="dxa"/>
            </w:tcMar>
            <w:vAlign w:val="center"/>
          </w:tcPr>
          <w:p>
            <w:pPr>
              <w:pStyle w:val="TableText"/>
            </w:pPr>
            <w:r>
              <w:rPr>
                <w:rFonts w:ascii="Arial" w:hAnsi="Arial"/>
                <w:b w:val="0"/>
                <w:i w:val="0"/>
                <w:color w:val="000000"/>
                <w:sz w:val="16"/>
              </w:rPr>
              <w:t>Launch first governed action</w:t>
            </w:r>
          </w:p>
        </w:tc>
        <w:tc>
          <w:tcPr>
            <w:tcW w:type="dxa" w:w="3000"/>
            <w:tcMar>
              <w:top w:w="80" w:type="dxa"/>
              <w:start w:w="120" w:type="dxa"/>
              <w:bottom w:w="80" w:type="dxa"/>
              <w:end w:w="120" w:type="dxa"/>
            </w:tcMar>
            <w:vAlign w:val="center"/>
          </w:tcPr>
          <w:p>
            <w:pPr>
              <w:pStyle w:val="TableText"/>
            </w:pPr>
            <w:r>
              <w:rPr>
                <w:rFonts w:ascii="Arial" w:hAnsi="Arial"/>
                <w:b w:val="0"/>
                <w:i w:val="0"/>
                <w:color w:val="000000"/>
                <w:sz w:val="16"/>
              </w:rPr>
              <w:t>Approved action policy, integration, audit trail, and outcome measurement</w:t>
            </w:r>
          </w:p>
        </w:tc>
        <w:tc>
          <w:tcPr>
            <w:tcW w:type="dxa" w:w="1840"/>
            <w:tcMar>
              <w:top w:w="80" w:type="dxa"/>
              <w:start w:w="120" w:type="dxa"/>
              <w:bottom w:w="80" w:type="dxa"/>
              <w:end w:w="120" w:type="dxa"/>
            </w:tcMar>
            <w:vAlign w:val="center"/>
          </w:tcPr>
          <w:p>
            <w:pPr>
              <w:pStyle w:val="TableText"/>
            </w:pPr>
            <w:r>
              <w:rPr>
                <w:rFonts w:ascii="Arial" w:hAnsi="Arial"/>
                <w:b w:val="0"/>
                <w:i w:val="0"/>
                <w:color w:val="000000"/>
                <w:sz w:val="16"/>
              </w:rPr>
              <w:t>Product / Business</w:t>
            </w:r>
          </w:p>
        </w:tc>
        <w:tc>
          <w:tcPr>
            <w:tcW w:type="dxa" w:w="980"/>
            <w:tcMar>
              <w:top w:w="80" w:type="dxa"/>
              <w:start w:w="120" w:type="dxa"/>
              <w:bottom w:w="80" w:type="dxa"/>
              <w:end w:w="120" w:type="dxa"/>
            </w:tcMar>
            <w:vAlign w:val="center"/>
          </w:tcPr>
          <w:p>
            <w:pPr>
              <w:pStyle w:val="TableText"/>
            </w:pPr>
            <w:r>
              <w:rPr>
                <w:rFonts w:ascii="Arial" w:hAnsi="Arial"/>
                <w:b w:val="0"/>
                <w:i w:val="0"/>
                <w:color w:val="000000"/>
                <w:sz w:val="16"/>
              </w:rPr>
              <w:t>High</w:t>
            </w:r>
          </w:p>
        </w:tc>
      </w:tr>
    </w:tbl>
    <w:p>
      <w:pPr>
        <w:spacing w:before="80" w:after="80"/>
      </w:pPr>
    </w:p>
    <w:p>
      <w:pPr>
        <w:pStyle w:val="Heading1"/>
      </w:pPr>
      <w:r>
        <w:t>11. Success measures</w:t>
      </w:r>
    </w:p>
    <w:p>
      <w:pPr>
        <w:numPr>
          <w:ilvl w:val="0"/>
          <w:numId w:val="10"/>
        </w:numPr>
        <w:spacing w:after="160" w:line="280" w:lineRule="auto"/>
      </w:pPr>
      <w:r>
        <w:rPr>
          <w:rFonts w:ascii="Arial" w:hAnsi="Arial"/>
          <w:b/>
          <w:i w:val="0"/>
          <w:color w:val="0B2545"/>
          <w:sz w:val="22"/>
        </w:rPr>
        <w:t xml:space="preserve">Data foundation: </w:t>
      </w:r>
      <w:r>
        <w:rPr>
          <w:rFonts w:ascii="Arial" w:hAnsi="Arial"/>
          <w:b w:val="0"/>
          <w:i w:val="0"/>
          <w:color w:val="000000"/>
          <w:sz w:val="22"/>
        </w:rPr>
        <w:t>Source freshness compliance; pipeline success and recovery rate; quarantined record rate; time to onboard a source; lineage completeness.</w:t>
      </w:r>
    </w:p>
    <w:p>
      <w:pPr>
        <w:numPr>
          <w:ilvl w:val="0"/>
          <w:numId w:val="10"/>
        </w:numPr>
        <w:spacing w:after="160" w:line="280" w:lineRule="auto"/>
      </w:pPr>
      <w:r>
        <w:rPr>
          <w:rFonts w:ascii="Arial" w:hAnsi="Arial"/>
          <w:b/>
          <w:i w:val="0"/>
          <w:color w:val="0B2545"/>
          <w:sz w:val="22"/>
        </w:rPr>
        <w:t xml:space="preserve">Categorization: </w:t>
      </w:r>
      <w:r>
        <w:rPr>
          <w:rFonts w:ascii="Arial" w:hAnsi="Arial"/>
          <w:b w:val="0"/>
          <w:i w:val="0"/>
          <w:color w:val="000000"/>
          <w:sz w:val="22"/>
        </w:rPr>
        <w:t>Precision and recall by hierarchy level and business slice; auto-classification coverage; abstention; review volume; correction rate; stability across versions.</w:t>
      </w:r>
    </w:p>
    <w:p>
      <w:pPr>
        <w:numPr>
          <w:ilvl w:val="0"/>
          <w:numId w:val="10"/>
        </w:numPr>
        <w:spacing w:after="160" w:line="280" w:lineRule="auto"/>
      </w:pPr>
      <w:r>
        <w:rPr>
          <w:rFonts w:ascii="Arial" w:hAnsi="Arial"/>
          <w:b/>
          <w:i w:val="0"/>
          <w:color w:val="0B2545"/>
          <w:sz w:val="22"/>
        </w:rPr>
        <w:t xml:space="preserve">Contract PDF ingestion: </w:t>
      </w:r>
      <w:r>
        <w:rPr>
          <w:rFonts w:ascii="Arial" w:hAnsi="Arial"/>
          <w:b w:val="0"/>
          <w:i w:val="0"/>
          <w:color w:val="000000"/>
          <w:sz w:val="22"/>
        </w:rPr>
        <w:t>Estimated versus actual cost; total cost and cost per page; processing time; OCR page share; retry waste; field and clause coverage; exception rate for contracts longer than 100 pages.</w:t>
      </w:r>
    </w:p>
    <w:p>
      <w:pPr>
        <w:numPr>
          <w:ilvl w:val="0"/>
          <w:numId w:val="10"/>
        </w:numPr>
        <w:spacing w:after="160" w:line="280" w:lineRule="auto"/>
      </w:pPr>
      <w:r>
        <w:rPr>
          <w:rFonts w:ascii="Arial" w:hAnsi="Arial"/>
          <w:b/>
          <w:i w:val="0"/>
          <w:color w:val="0B2545"/>
          <w:sz w:val="22"/>
        </w:rPr>
        <w:t xml:space="preserve">Enrichment: </w:t>
      </w:r>
      <w:r>
        <w:rPr>
          <w:rFonts w:ascii="Arial" w:hAnsi="Arial"/>
          <w:b w:val="0"/>
          <w:i w:val="0"/>
          <w:color w:val="000000"/>
          <w:sz w:val="22"/>
        </w:rPr>
        <w:t>Field coverage; accepted enrichment rate; conflict rate; provenance completeness; regression pass rate; downstream action contribution.</w:t>
      </w:r>
    </w:p>
    <w:p>
      <w:pPr>
        <w:numPr>
          <w:ilvl w:val="0"/>
          <w:numId w:val="10"/>
        </w:numPr>
        <w:spacing w:after="160" w:line="280" w:lineRule="auto"/>
      </w:pPr>
      <w:r>
        <w:rPr>
          <w:rFonts w:ascii="Arial" w:hAnsi="Arial"/>
          <w:b/>
          <w:i w:val="0"/>
          <w:color w:val="0B2545"/>
          <w:sz w:val="22"/>
        </w:rPr>
        <w:t xml:space="preserve">AWS operations: </w:t>
      </w:r>
      <w:r>
        <w:rPr>
          <w:rFonts w:ascii="Arial" w:hAnsi="Arial"/>
          <w:b w:val="0"/>
          <w:i w:val="0"/>
          <w:color w:val="000000"/>
          <w:sz w:val="22"/>
        </w:rPr>
        <w:t>Deployment success; end-to-end run success; time to detect and recover; replay success; availability against agreed objectives; cost per processed unit or workflow.</w:t>
      </w:r>
    </w:p>
    <w:p>
      <w:pPr>
        <w:numPr>
          <w:ilvl w:val="0"/>
          <w:numId w:val="10"/>
        </w:numPr>
        <w:spacing w:after="160" w:line="280" w:lineRule="auto"/>
      </w:pPr>
      <w:r>
        <w:rPr>
          <w:rFonts w:ascii="Arial" w:hAnsi="Arial"/>
          <w:b/>
          <w:i w:val="0"/>
          <w:color w:val="0B2545"/>
          <w:sz w:val="22"/>
        </w:rPr>
        <w:t xml:space="preserve">Business action: </w:t>
      </w:r>
      <w:r>
        <w:rPr>
          <w:rFonts w:ascii="Arial" w:hAnsi="Arial"/>
          <w:b w:val="0"/>
          <w:i w:val="0"/>
          <w:color w:val="000000"/>
          <w:sz w:val="22"/>
        </w:rPr>
        <w:t>Recommendations accepted; actions completed; cycle-time reduction; quantified opportunity or risk addressed; user override and reversal rate.</w:t>
      </w:r>
    </w:p>
    <w:p>
      <w:pPr>
        <w:pStyle w:val="Heading1"/>
      </w:pPr>
      <w:r>
        <w:t>12. Decisions required to start</w:t>
      </w:r>
    </w:p>
    <w:p>
      <w:pPr>
        <w:numPr>
          <w:ilvl w:val="0"/>
          <w:numId w:val="13"/>
        </w:numPr>
        <w:spacing w:after="160" w:line="280" w:lineRule="auto"/>
      </w:pPr>
      <w:r>
        <w:rPr>
          <w:rFonts w:ascii="Arial" w:hAnsi="Arial"/>
          <w:b w:val="0"/>
          <w:i w:val="0"/>
          <w:color w:val="000000"/>
          <w:sz w:val="22"/>
        </w:rPr>
        <w:t>Which two or three business use cases define the first measurable value and action outcomes?</w:t>
      </w:r>
    </w:p>
    <w:p>
      <w:pPr>
        <w:numPr>
          <w:ilvl w:val="0"/>
          <w:numId w:val="13"/>
        </w:numPr>
        <w:spacing w:after="160" w:line="280" w:lineRule="auto"/>
      </w:pPr>
      <w:r>
        <w:rPr>
          <w:rFonts w:ascii="Arial" w:hAnsi="Arial"/>
          <w:b w:val="0"/>
          <w:i w:val="0"/>
          <w:color w:val="000000"/>
          <w:sz w:val="22"/>
        </w:rPr>
        <w:t>Which external source and internal source form the representative pilot?</w:t>
      </w:r>
    </w:p>
    <w:p>
      <w:pPr>
        <w:numPr>
          <w:ilvl w:val="0"/>
          <w:numId w:val="13"/>
        </w:numPr>
        <w:spacing w:after="160" w:line="280" w:lineRule="auto"/>
      </w:pPr>
      <w:r>
        <w:rPr>
          <w:rFonts w:ascii="Arial" w:hAnsi="Arial"/>
          <w:b w:val="0"/>
          <w:i w:val="0"/>
          <w:color w:val="000000"/>
          <w:sz w:val="22"/>
        </w:rPr>
        <w:t>Who are the accountable business data owner, category owner, data engineering lead, ML lead, and cloud platform lead?</w:t>
      </w:r>
    </w:p>
    <w:p>
      <w:pPr>
        <w:numPr>
          <w:ilvl w:val="0"/>
          <w:numId w:val="13"/>
        </w:numPr>
        <w:spacing w:after="160" w:line="280" w:lineRule="auto"/>
      </w:pPr>
      <w:r>
        <w:rPr>
          <w:rFonts w:ascii="Arial" w:hAnsi="Arial"/>
          <w:b w:val="0"/>
          <w:i w:val="0"/>
          <w:color w:val="000000"/>
          <w:sz w:val="22"/>
        </w:rPr>
        <w:t>What quality, freshness, categorization, and recovery thresholds are required for pilot acceptance?</w:t>
      </w:r>
    </w:p>
    <w:p>
      <w:pPr>
        <w:numPr>
          <w:ilvl w:val="0"/>
          <w:numId w:val="13"/>
        </w:numPr>
        <w:spacing w:after="160" w:line="280" w:lineRule="auto"/>
      </w:pPr>
      <w:r>
        <w:rPr>
          <w:rFonts w:ascii="Arial" w:hAnsi="Arial"/>
          <w:b w:val="0"/>
          <w:i w:val="0"/>
          <w:color w:val="000000"/>
          <w:sz w:val="22"/>
        </w:rPr>
        <w:t>What cost ceiling, price tier, approval rule, and quality threshold apply to contracts longer than 100 pages?</w:t>
      </w:r>
    </w:p>
    <w:p>
      <w:pPr>
        <w:numPr>
          <w:ilvl w:val="0"/>
          <w:numId w:val="13"/>
        </w:numPr>
        <w:spacing w:after="160" w:line="280" w:lineRule="auto"/>
      </w:pPr>
      <w:r>
        <w:rPr>
          <w:rFonts w:ascii="Arial" w:hAnsi="Arial"/>
          <w:b w:val="0"/>
          <w:i w:val="0"/>
          <w:color w:val="000000"/>
          <w:sz w:val="22"/>
        </w:rPr>
        <w:t>Where is human approval mandatory, and which low-risk actions may eventually be automated?</w:t>
      </w:r>
    </w:p>
    <w:p>
      <w:pPr>
        <w:numPr>
          <w:ilvl w:val="0"/>
          <w:numId w:val="13"/>
        </w:numPr>
        <w:spacing w:after="160" w:line="280" w:lineRule="auto"/>
      </w:pPr>
      <w:r>
        <w:rPr>
          <w:rFonts w:ascii="Arial" w:hAnsi="Arial"/>
          <w:b w:val="0"/>
          <w:i w:val="0"/>
          <w:color w:val="000000"/>
          <w:sz w:val="22"/>
        </w:rPr>
        <w:t>Which AWS environments and production-readiness controls are required for the first release?</w:t>
      </w:r>
    </w:p>
    <w:tbl>
      <w:tblPr>
        <w:tblW w:type="dxa" w:w="9360"/>
        <w:tblLayout w:type="fixed"/>
        <w:tblLook w:firstColumn="1" w:firstRow="1" w:lastColumn="0" w:lastRow="0" w:noHBand="0" w:noVBand="1" w:val="04A0"/>
        <w:tblInd w:w="120" w:type="dxa"/>
        <w:tblBorders>
          <w:top w:val="single" w:sz="4" w:space="0" w:color="E8F3ED"/>
          <w:left w:val="single" w:sz="4" w:space="0" w:color="E8F3ED"/>
          <w:bottom w:val="single" w:sz="4" w:space="0" w:color="E8F3ED"/>
          <w:right w:val="single" w:sz="4" w:space="0" w:color="E8F3ED"/>
          <w:insideH w:val="single" w:sz="4" w:space="0" w:color="E8F3ED"/>
          <w:insideV w:val="single" w:sz="4" w:space="0" w:color="E8F3ED"/>
        </w:tblBorders>
      </w:tblPr>
      <w:tblGrid>
        <w:gridCol w:w="9360"/>
      </w:tblGrid>
      <w:tr>
        <w:trPr>
          <w:cantSplit w:val="true"/>
        </w:trPr>
        <w:tc>
          <w:tcPr>
            <w:tcW w:type="dxa" w:w="9360"/>
            <w:tcMar>
              <w:top w:w="80" w:type="dxa"/>
              <w:start w:w="120" w:type="dxa"/>
              <w:bottom w:w="80" w:type="dxa"/>
              <w:end w:w="120" w:type="dxa"/>
            </w:tcMar>
            <w:vAlign w:val="center"/>
            <w:shd w:fill="E8F3ED"/>
          </w:tcPr>
          <w:p>
            <w:pPr>
              <w:pStyle w:val="CalloutLabel"/>
            </w:pPr>
            <w:r>
              <w:t>Recommended immediate next step</w:t>
            </w:r>
          </w:p>
          <w:p>
            <w:pPr>
              <w:spacing w:after="0"/>
            </w:pPr>
            <w:r>
              <w:t>Run a cross-functional alignment workshop to approve the priority use case, pilot sources, ownership model, target data-lake principles, and acceptance measures. Include a representative contract longer than 100 pages and agree the processing-cost ceiling and quality target. Use those decisions to produce the implementation backlog and detailed architecture.</w:t>
            </w:r>
          </w:p>
        </w:tc>
      </w:tr>
    </w:tbl>
    <w:p>
      <w:pPr>
        <w:spacing w:after="6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tblInd w:w="0" w:type="dxa"/>
      <w:tblBorders>
        <w:top w:val="nil"/>
        <w:left w:val="nil"/>
        <w:bottom w:val="nil"/>
        <w:right w:val="nil"/>
        <w:insideH w:val="nil"/>
        <w:insideV w:val="nil"/>
      </w:tblBorders>
    </w:tblPr>
    <w:tblGrid>
      <w:gridCol w:w="6500"/>
      <w:gridCol w:w="2860"/>
    </w:tblGrid>
    <w:tr>
      <w:tc>
        <w:tcPr>
          <w:tcW w:type="dxa" w:w="6500"/>
          <w:tcMar>
            <w:top w:w="80" w:type="dxa"/>
            <w:start w:w="120" w:type="dxa"/>
            <w:bottom w:w="80" w:type="dxa"/>
            <w:end w:w="120" w:type="dxa"/>
          </w:tcMar>
          <w:vAlign w:val="center"/>
        </w:tcPr>
        <w:p>
          <w:pPr>
            <w:spacing w:after="0"/>
            <w:jc w:val="left"/>
          </w:pPr>
          <w:r>
            <w:rPr>
              <w:rFonts w:ascii="Arial" w:hAnsi="Arial"/>
              <w:b w:val="0"/>
              <w:i w:val="0"/>
              <w:color w:val="5F6B7A"/>
              <w:sz w:val="17"/>
            </w:rPr>
            <w:t>Optivian Solution Gap Analysis &amp; Action Plan</w:t>
          </w:r>
        </w:p>
      </w:tc>
      <w:tc>
        <w:tcPr>
          <w:tcW w:type="dxa" w:w="2860"/>
          <w:tcMar>
            <w:top w:w="80" w:type="dxa"/>
            <w:start w:w="120" w:type="dxa"/>
            <w:bottom w:w="80" w:type="dxa"/>
            <w:end w:w="120" w:type="dxa"/>
          </w:tcMar>
          <w:vAlign w:val="center"/>
        </w:tcPr>
        <w:p>
          <w:pPr>
            <w:spacing w:after="0"/>
            <w:jc w:val="right"/>
          </w:pPr>
          <w:r>
            <w:rPr>
              <w:rFonts w:ascii="Arial" w:hAnsi="Arial"/>
              <w:b w:val="0"/>
              <w:i w:val="0"/>
              <w:color w:val="5F6B7A"/>
              <w:sz w:val="17"/>
            </w:rPr>
            <w:t xml:space="preserve">Page </w:t>
          </w:r>
          <w:r>
            <w:rPr>
              <w:rFonts w:ascii="Arial" w:hAnsi="Arial"/>
              <w:b w:val="0"/>
              <w:i w:val="0"/>
              <w:color w:val="5F6B7A"/>
              <w:sz w:val="18"/>
            </w:rPr>
            <w:fldChar w:fldCharType="begin"/>
            <w:instrText xml:space="preserve">PAGE</w:instrText>
            <w:fldChar w:fldCharType="separate"/>
            <w:t>1</w:t>
            <w:fldChar w:fldCharType="end"/>
          </w:r>
          <w:r>
            <w:rPr>
              <w:rFonts w:ascii="Arial" w:hAnsi="Arial"/>
              <w:b w:val="0"/>
              <w:i w:val="0"/>
              <w:color w:val="5F6B7A"/>
              <w:sz w:val="17"/>
            </w:rPr>
            <w:t xml:space="preserve"> of </w:t>
          </w:r>
          <w:r>
            <w:rPr>
              <w:rFonts w:ascii="Arial" w:hAnsi="Arial"/>
              <w:b w:val="0"/>
              <w:i w:val="0"/>
              <w:color w:val="5F6B7A"/>
              <w:sz w:val="18"/>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Arial" w:hAnsi="Arial"/>
        <w:b/>
        <w:i w:val="0"/>
        <w:color w:val="5F6B7A"/>
        <w:sz w:val="17"/>
      </w:rPr>
      <w:t>OPTIVIAN  |  SOLUTION READINESS</w:t>
    </w:r>
    <w:r>
      <w:rPr>
        <w:rFonts w:ascii="Arial" w:hAnsi="Arial"/>
        <w:b w:val="0"/>
        <w:i w:val="0"/>
        <w:color w:val="5F6B7A"/>
        <w:sz w:val="17"/>
      </w:rPr>
      <w:tab/>
      <w:t>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Arial" w:hAnsi="Aria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rPr>
        <w:rFonts w:ascii="Arial" w:hAnsi="Arial"/>
      </w:rPr>
    </w:lvl>
  </w:abstractNum>
  <w:num w:numId="11">
    <w:abstractNumId w:val="10"/>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20" w:line="259" w:lineRule="auto"/>
    </w:pPr>
    <w:rPr>
      <w:rFonts w:ascii="Arial" w:hAnsi="Arial"/>
      <w:sz w:val="18"/>
    </w:rPr>
  </w:style>
  <w:style w:type="paragraph" w:customStyle="1" w:styleId="TableHeader">
    <w:name w:val="Table Header"/>
    <w:pPr>
      <w:spacing w:before="0" w:after="0" w:line="252" w:lineRule="auto"/>
    </w:pPr>
    <w:rPr>
      <w:rFonts w:ascii="Arial" w:hAnsi="Arial"/>
      <w:b/>
      <w:color w:val="0B2545"/>
      <w:sz w:val="18"/>
    </w:rPr>
  </w:style>
  <w:style w:type="paragraph" w:customStyle="1" w:styleId="CalloutLabel">
    <w:name w:val="Callout Label"/>
    <w:pPr>
      <w:spacing w:before="0" w:after="60"/>
    </w:pPr>
    <w:rPr>
      <w:rFonts w:ascii="Arial" w:hAnsi="Arial"/>
      <w:b/>
      <w:color w:val="0B254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Optivian Solution Gap Analysis and Action Plan</dc:title>
  <dc:subject>Current gaps, target capabilities, and prioritized actions</dc:subject>
  <dc:creator>Optivian Program Team</dc:creator>
  <cp:keywords>Optivian, data lake, UNSPSC, categorization, enrichment, AWS, data ingestion</cp:keywords>
  <dc:description>generated by python-docx</dc:description>
  <cp:lastModifiedBy/>
  <cp:revision>1</cp:revision>
  <dcterms:created xsi:type="dcterms:W3CDTF">2013-12-23T23:15:00Z</dcterms:created>
  <dcterms:modified xsi:type="dcterms:W3CDTF">2013-12-23T23:15:00Z</dcterms:modified>
  <cp:category/>
</cp:coreProperties>
</file>