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ניהול תוכן שיווקי מקצה-לקצה למחלקות שיווק. Hebrew-first.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 שיווק (`/attribution`)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2 טאבים: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(ROI per-קמפיין: ביקורים→המרות→הכנסה, ערים מובילות)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רצפי-מייל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components/MarketingManager.tsx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🅰️🅱️ A/B Variants (עד 36 per-ערוץ)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פרסום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 סגנונות-שכנוע × 6 וריאציות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generateChannelVariants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📣 Campaign Builder חוצה-ערוצים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בריף אחד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אפיון-לקוח + תקציב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app/[locale]/campaigns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🤖 נגישות בוט מלאה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מאוחד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router: הודעה טבעית בטלגרם/וואטסאפ/מייל → חילוץ persona+תקציב+ערוצים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אותו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builder של ה-UI.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lib/bot/{router,campaign-bot}.ts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📦 Marketing Skills Pack (64 skills)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ספריית skills agent-native (פורמט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Claude,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reads/writes/depends-on/triggers/env_vars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skills-marketing/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(64 חבילות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skills-manifest.json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NOTICE.md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 דואלי:</w:t>
      </w:r>
      <w:r>
        <w:rPr>
          <w:rFonts w:ascii="Arial" w:hAnsi="Arial"/>
          <w:b w:val="0"/>
          <w:sz w:val="22"/>
          <w:rtl w:val="1"/>
          <w:rFonts w:cs="Arial"/>
        </w:rPr>
        <w:t xml:space="preserve"> (1) </w:t>
      </w:r>
      <w:r>
        <w:rPr>
          <w:rFonts w:ascii="Arial" w:hAnsi="Arial"/>
          <w:b/>
          <w:sz w:val="22"/>
          <w:rtl w:val="1"/>
          <w:rFonts w:cs="Arial"/>
        </w:rPr>
        <w:t>ישיר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מכירה ללקוח תחת מותג HELIX (~₪250-450/workspace), הערוץ הראשי; (2) </w:t>
      </w:r>
      <w:r>
        <w:rPr>
          <w:rFonts w:ascii="Arial" w:hAnsi="Arial"/>
          <w:b/>
          <w:sz w:val="22"/>
          <w:rtl w:val="1"/>
          <w:rFonts w:cs="Arial"/>
        </w:rPr>
        <w:t>הפצה/שת"פ (אופציונלי)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