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spanning SOC operations, incident response, and threat intelligence, with growing focus on security architecture and governance. Experienced in translating operational risk, threat intelligence, and incident learnings into structured security decisions aligned with enterprise frameworks. Adept at communicating security context to both technical teams and leadership to support informed architectural outcomes.</w:t>
      </w:r>
    </w:p>
    <w:bookmarkEnd w:id="20"/>
    <w:bookmarkStart w:id="21" w:name="skills"/>
    <w:p>
      <w:pPr>
        <w:pStyle w:val="Heading2"/>
      </w:pPr>
      <w:r>
        <w:t xml:space="preserve">Skills</w:t>
      </w:r>
    </w:p>
    <w:p>
      <w:pPr>
        <w:numPr>
          <w:ilvl w:val="0"/>
          <w:numId w:val="1001"/>
        </w:numPr>
        <w:pStyle w:val="Compact"/>
      </w:pPr>
      <w:r>
        <w:t xml:space="preserve">Security Architecture Review &amp; Governance</w:t>
      </w:r>
      <w:r>
        <w:br/>
      </w:r>
    </w:p>
    <w:p>
      <w:pPr>
        <w:numPr>
          <w:ilvl w:val="0"/>
          <w:numId w:val="1001"/>
        </w:numPr>
        <w:pStyle w:val="Compact"/>
      </w:pPr>
      <w:r>
        <w:t xml:space="preserve">Architecture Decision Records (ADR) Support</w:t>
      </w:r>
      <w:r>
        <w:br/>
      </w:r>
    </w:p>
    <w:p>
      <w:pPr>
        <w:numPr>
          <w:ilvl w:val="0"/>
          <w:numId w:val="1001"/>
        </w:numPr>
        <w:pStyle w:val="Compact"/>
      </w:pPr>
      <w:r>
        <w:t xml:space="preserve">Security Control Design &amp; Assessment</w:t>
      </w:r>
      <w:r>
        <w:br/>
      </w:r>
    </w:p>
    <w:p>
      <w:pPr>
        <w:numPr>
          <w:ilvl w:val="0"/>
          <w:numId w:val="1001"/>
        </w:numPr>
        <w:pStyle w:val="Compact"/>
      </w:pPr>
      <w:r>
        <w:t xml:space="preserve">Threat Modeling &amp; MITRE ATT&amp;CK Alignment</w:t>
      </w:r>
      <w:r>
        <w:br/>
      </w:r>
    </w:p>
    <w:p>
      <w:pPr>
        <w:numPr>
          <w:ilvl w:val="0"/>
          <w:numId w:val="1001"/>
        </w:numPr>
        <w:pStyle w:val="Compact"/>
      </w:pPr>
      <w:r>
        <w:t xml:space="preserve">Incident Response &amp; Detection Strategy</w:t>
      </w:r>
      <w:r>
        <w:br/>
      </w:r>
    </w:p>
    <w:p>
      <w:pPr>
        <w:numPr>
          <w:ilvl w:val="0"/>
          <w:numId w:val="1001"/>
        </w:numPr>
        <w:pStyle w:val="Compact"/>
      </w:pPr>
      <w:r>
        <w:t xml:space="preserve">Vulnerability &amp; Risk Management</w:t>
      </w:r>
      <w:r>
        <w:br/>
      </w:r>
    </w:p>
    <w:p>
      <w:pPr>
        <w:numPr>
          <w:ilvl w:val="0"/>
          <w:numId w:val="1001"/>
        </w:numPr>
        <w:pStyle w:val="Compact"/>
      </w:pPr>
      <w:r>
        <w:t xml:space="preserve">SOC &amp; XDR Operations</w:t>
      </w:r>
      <w:r>
        <w:br/>
      </w:r>
    </w:p>
    <w:p>
      <w:pPr>
        <w:numPr>
          <w:ilvl w:val="0"/>
          <w:numId w:val="1001"/>
        </w:numPr>
        <w:pStyle w:val="Compact"/>
      </w:pPr>
      <w:r>
        <w:t xml:space="preserve">Executive &amp; Technical Security Reporting</w:t>
      </w:r>
      <w:r>
        <w:br/>
      </w:r>
    </w:p>
    <w:p>
      <w:pPr>
        <w:numPr>
          <w:ilvl w:val="0"/>
          <w:numId w:val="1001"/>
        </w:numPr>
        <w:pStyle w:val="Compact"/>
      </w:pPr>
      <w:r>
        <w:t xml:space="preserve">Endpoint &amp; Network Security Monitoring</w:t>
      </w:r>
      <w:r>
        <w:br/>
      </w:r>
    </w:p>
    <w:p>
      <w:pPr>
        <w:numPr>
          <w:ilvl w:val="0"/>
          <w:numId w:val="1001"/>
        </w:numPr>
        <w:pStyle w:val="Compact"/>
      </w:pPr>
      <w:r>
        <w:t xml:space="preserve">Security Standards Alignment (NIST, ISO 27001)</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w:t>
      </w:r>
      <w:r>
        <w:br/>
      </w:r>
      <w:r>
        <w:rPr>
          <w:iCs/>
          <w:i/>
        </w:rPr>
        <w:t xml:space="preserve">May 2025 – Present</w:t>
      </w:r>
      <w:r>
        <w:br/>
      </w:r>
      <w:r>
        <w:t xml:space="preserve">- Provide threat intelligence insights to inform defensive architecture and security strategy decisions.</w:t>
      </w:r>
      <w:r>
        <w:br/>
      </w:r>
      <w:r>
        <w:t xml:space="preserve">- Translate adversary behavior, TTPs, and campaign trends into actionable guidance usable by SOC, IR, and security leadership.</w:t>
      </w:r>
      <w:r>
        <w:br/>
      </w:r>
      <w:r>
        <w:t xml:space="preserve">- Support security stakeholders with intelligence artifacts suitable for inclusion in architecture reviews and decision records.</w:t>
      </w:r>
      <w:r>
        <w:br/>
      </w:r>
      <w:r>
        <w:t xml:space="preserve">- Produce clear written assessments for both technical and executive audiences to enable risk-aware security design.</w:t>
      </w:r>
    </w:p>
    <w:p>
      <w:pPr>
        <w:pStyle w:val="BodyText"/>
      </w:pPr>
      <w:r>
        <w:rPr>
          <w:bCs/>
          <w:b/>
        </w:rPr>
        <w:t xml:space="preserve">City of St. John’s | Security Analyst | St. John’s, NL</w:t>
      </w:r>
      <w:r>
        <w:br/>
      </w:r>
      <w:r>
        <w:rPr>
          <w:iCs/>
          <w:i/>
        </w:rPr>
        <w:t xml:space="preserve">Jan 2024 – Jul 2025</w:t>
      </w:r>
      <w:r>
        <w:br/>
      </w:r>
      <w:r>
        <w:t xml:space="preserve">- Supported enterprise security operations with a focus on endpoint, network, and configuration security controls.</w:t>
      </w:r>
      <w:r>
        <w:br/>
      </w:r>
      <w:r>
        <w:t xml:space="preserve">- Contributed to vulnerability management activities used to prioritize remediation and influence control improvements.</w:t>
      </w:r>
      <w:r>
        <w:br/>
      </w:r>
      <w:r>
        <w:t xml:space="preserve">- Assisted in incident-driven reviews that informed adjustments to security policies and technical safeguards.</w:t>
      </w:r>
      <w:r>
        <w:br/>
      </w:r>
      <w:r>
        <w:t xml:space="preserve">- Worked within government-aligned security requirements, supporting compliance-oriented security decisions.</w:t>
      </w:r>
    </w:p>
    <w:p>
      <w:pPr>
        <w:pStyle w:val="BodyText"/>
      </w:pPr>
      <w:r>
        <w:rPr>
          <w:bCs/>
          <w:b/>
        </w:rPr>
        <w:t xml:space="preserve">Cisco Security (via E-Solutions) | Incident Responder | Remote</w:t>
      </w:r>
      <w:r>
        <w:br/>
      </w:r>
      <w:r>
        <w:rPr>
          <w:iCs/>
          <w:i/>
        </w:rPr>
        <w:t xml:space="preserve">Jan 2020 – Feb 2023</w:t>
      </w:r>
      <w:r>
        <w:br/>
      </w:r>
      <w:r>
        <w:t xml:space="preserve">- Led analysis of security incidents to understand root cause, control gaps, and systemic risk.</w:t>
      </w:r>
      <w:r>
        <w:br/>
      </w:r>
      <w:r>
        <w:t xml:space="preserve">- Applied incident findings to improve response playbooks and recommend defensive control enhancements.</w:t>
      </w:r>
      <w:r>
        <w:br/>
      </w:r>
      <w:r>
        <w:t xml:space="preserve">- Provided structured remediation guidance that informed long-term security posture improvements.</w:t>
      </w:r>
      <w:r>
        <w:br/>
      </w:r>
      <w:r>
        <w:t xml:space="preserve">- Collaborated across teams to align response activities with broader security objectives.</w:t>
      </w:r>
    </w:p>
    <w:p>
      <w:pPr>
        <w:pStyle w:val="BodyText"/>
      </w:pPr>
      <w:r>
        <w:rPr>
          <w:bCs/>
          <w:b/>
        </w:rPr>
        <w:t xml:space="preserve">Symantec Corporation | SOC Analyst (Tier 1–2) | Toronto, ON</w:t>
      </w:r>
      <w:r>
        <w:br/>
      </w:r>
      <w:r>
        <w:rPr>
          <w:iCs/>
          <w:i/>
        </w:rPr>
        <w:t xml:space="preserve">Sep 2016 – Dec 2019</w:t>
      </w:r>
      <w:r>
        <w:br/>
      </w:r>
      <w:r>
        <w:t xml:space="preserve">- Progressed to Tier 2 role handling escalations and contributing to operational security decision-making.</w:t>
      </w:r>
      <w:r>
        <w:br/>
      </w:r>
      <w:r>
        <w:t xml:space="preserve">- Evaluated alerts and system behaviors to identify patterns relevant to threat and risk assessment.</w:t>
      </w:r>
      <w:r>
        <w:br/>
      </w:r>
      <w:r>
        <w:t xml:space="preserve">- Supported cross-functional collaboration between SOC, threat intelligence, and engineering teams.</w:t>
      </w:r>
      <w:r>
        <w:br/>
      </w:r>
      <w:r>
        <w:t xml:space="preserve">- Gained foundational experience in large-scale enterprise security operations and tooling.</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Architect role at Cognizant. With over eight years of experience across security operations, incident response, and threat intelligence, I bring a strong operational foundation that naturally supports enterprise security architecture, governance, and decision-making.</w:t>
      </w:r>
    </w:p>
    <w:p>
      <w:pPr>
        <w:pStyle w:val="BodyText"/>
      </w:pPr>
      <w:r>
        <w:t xml:space="preserve">Throughout my career, I’ve worked closely with detection engineers, incident responders, and leadership teams to translate real-world threats, vulnerabilities, and incidents into actionable security improvements. As a Threat Intelligence Analyst, my current role emphasizes clear documentation, structured analysis, and executive-level communication—skills that closely align with the authorship and review of Architecture Decision Records and Security Architecture Review Board submissions.</w:t>
      </w:r>
    </w:p>
    <w:p>
      <w:pPr>
        <w:pStyle w:val="BodyText"/>
      </w:pPr>
      <w:r>
        <w:t xml:space="preserve">My background in incident response and SOC operations has provided firsthand insight into how architectural decisions directly impact security outcomes. I am particularly interested in applying these lessons to support secure-by-design principles, informed risk tradeoffs, and responsible adoption of emerging technologies, including GenAI systems. My recent training related to LLMs and agentic systems further supports this interest from a security-focused perspective.</w:t>
      </w:r>
    </w:p>
    <w:p>
      <w:pPr>
        <w:pStyle w:val="BodyText"/>
      </w:pPr>
      <w:r>
        <w:t xml:space="preserve">Cognizant’s emphasis on governance, architecture, and forward-looking security aligns strongly with my professional direction. I am motivated to contribute practical, threat-informed guidance that helps organizations design resilient, well-governed security architectures.</w:t>
      </w:r>
    </w:p>
    <w:p>
      <w:pPr>
        <w:pStyle w:val="BodyText"/>
      </w:pPr>
      <w:r>
        <w:t xml:space="preserve">Thank you for your time and consideration. I would welcome the opportunity to discuss how my background can support Cognizant’s security architecture team.</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2025-12-15T15:47:28Z</dcterms:created>
  <dcterms:modified xsi:type="dcterms:W3CDTF">2025-12-15T15:47:28Z</dcterms:modified>
</cp:coreProperties>
</file>

<file path=docProps/custom.xml><?xml version="1.0" encoding="utf-8"?>
<Properties xmlns="http://schemas.openxmlformats.org/officeDocument/2006/custom-properties" xmlns:vt="http://schemas.openxmlformats.org/officeDocument/2006/docPropsVTypes"/>
</file>