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progressive experience across Security Operations, Incident Response, and Threat Intelligence. Background supporting enterprise and public-sector environments with a focus on risk-informed security operations and incident management. Experienced translating technical security findings into clear guidance for stakeholders and aligning defensive capabilities with organizational priorities.</w:t>
      </w:r>
    </w:p>
    <w:bookmarkEnd w:id="20"/>
    <w:bookmarkStart w:id="21" w:name="skills"/>
    <w:p>
      <w:pPr>
        <w:pStyle w:val="Heading2"/>
      </w:pPr>
      <w:r>
        <w:t xml:space="preserve">Skills</w:t>
      </w:r>
    </w:p>
    <w:p>
      <w:pPr>
        <w:numPr>
          <w:ilvl w:val="0"/>
          <w:numId w:val="1001"/>
        </w:numPr>
        <w:pStyle w:val="Compact"/>
      </w:pPr>
      <w:r>
        <w:t xml:space="preserve">Cybersecurity Operations &amp; Risk Management</w:t>
      </w:r>
      <w:r>
        <w:br/>
      </w:r>
    </w:p>
    <w:p>
      <w:pPr>
        <w:numPr>
          <w:ilvl w:val="0"/>
          <w:numId w:val="1001"/>
        </w:numPr>
        <w:pStyle w:val="Compact"/>
      </w:pPr>
      <w:r>
        <w:t xml:space="preserve">Security Incident Response &amp; Coordination</w:t>
      </w:r>
      <w:r>
        <w:br/>
      </w:r>
    </w:p>
    <w:p>
      <w:pPr>
        <w:numPr>
          <w:ilvl w:val="0"/>
          <w:numId w:val="1001"/>
        </w:numPr>
        <w:pStyle w:val="Compact"/>
      </w:pPr>
      <w:r>
        <w:t xml:space="preserve">Threat Intelligence &amp; Threat Actor Analysis</w:t>
      </w:r>
      <w:r>
        <w:br/>
      </w:r>
    </w:p>
    <w:p>
      <w:pPr>
        <w:numPr>
          <w:ilvl w:val="0"/>
          <w:numId w:val="1001"/>
        </w:numPr>
        <w:pStyle w:val="Compact"/>
      </w:pPr>
      <w:r>
        <w:t xml:space="preserve">MITRE ATT&amp;CK–Aligned Security Frameworks</w:t>
      </w:r>
      <w:r>
        <w:br/>
      </w:r>
    </w:p>
    <w:p>
      <w:pPr>
        <w:numPr>
          <w:ilvl w:val="0"/>
          <w:numId w:val="1001"/>
        </w:numPr>
        <w:pStyle w:val="Compact"/>
      </w:pPr>
      <w:r>
        <w:t xml:space="preserve">Vulnerability Management &amp; Remediation Oversight</w:t>
      </w:r>
      <w:r>
        <w:br/>
      </w:r>
    </w:p>
    <w:p>
      <w:pPr>
        <w:numPr>
          <w:ilvl w:val="0"/>
          <w:numId w:val="1001"/>
        </w:numPr>
        <w:pStyle w:val="Compact"/>
      </w:pPr>
      <w:r>
        <w:t xml:space="preserve">Security Monitoring &amp; Detection Programs</w:t>
      </w:r>
      <w:r>
        <w:br/>
      </w:r>
    </w:p>
    <w:p>
      <w:pPr>
        <w:numPr>
          <w:ilvl w:val="0"/>
          <w:numId w:val="1001"/>
        </w:numPr>
        <w:pStyle w:val="Compact"/>
      </w:pPr>
      <w:r>
        <w:t xml:space="preserve">Security Policy, Standards &amp; Compliance (ISO 27001, NIST)</w:t>
      </w:r>
      <w:r>
        <w:br/>
      </w:r>
    </w:p>
    <w:p>
      <w:pPr>
        <w:numPr>
          <w:ilvl w:val="0"/>
          <w:numId w:val="1001"/>
        </w:numPr>
        <w:pStyle w:val="Compact"/>
      </w:pPr>
      <w:r>
        <w:t xml:space="preserve">Executive &amp; Technical Security Reporting</w:t>
      </w:r>
      <w:r>
        <w:br/>
      </w:r>
    </w:p>
    <w:p>
      <w:pPr>
        <w:numPr>
          <w:ilvl w:val="0"/>
          <w:numId w:val="1001"/>
        </w:numPr>
        <w:pStyle w:val="Compact"/>
      </w:pPr>
      <w:r>
        <w:t xml:space="preserve">Cross-Team &amp; Stakeholder Collaboration</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Lead threat intelligence research supporting organizational security decision‑making and defensive strategy.</w:t>
      </w:r>
      <w:r>
        <w:br/>
      </w:r>
      <w:r>
        <w:t xml:space="preserve">- Analyze adversary behavior and trends to assess potential business and operational risk.</w:t>
      </w:r>
      <w:r>
        <w:br/>
      </w:r>
      <w:r>
        <w:t xml:space="preserve">- Produce structured intelligence reports tailored to both technical teams and leadership audiences.</w:t>
      </w:r>
      <w:r>
        <w:br/>
      </w:r>
      <w:r>
        <w:t xml:space="preserve">- Support security operations and incident response through contextualized threat insights.</w:t>
      </w:r>
    </w:p>
    <w:p>
      <w:pPr>
        <w:pStyle w:val="BodyText"/>
      </w:pPr>
      <w:r>
        <w:rPr>
          <w:bCs/>
          <w:b/>
        </w:rPr>
        <w:t xml:space="preserve">City of St. John’s | Security Analyst | St. John’s, NL | Jan 2024 – Jul 2025</w:t>
      </w:r>
      <w:r>
        <w:br/>
      </w:r>
      <w:r>
        <w:t xml:space="preserve">- Supported municipal cybersecurity operations within a regulated public‑sector environment.</w:t>
      </w:r>
      <w:r>
        <w:br/>
      </w:r>
      <w:r>
        <w:t xml:space="preserve">- Monitored and assessed security events to identify risks impacting enterprise systems and services.</w:t>
      </w:r>
      <w:r>
        <w:br/>
      </w:r>
      <w:r>
        <w:t xml:space="preserve">- Coordinated vulnerability management activities, prioritizing remediation based on risk.</w:t>
      </w:r>
      <w:r>
        <w:br/>
      </w:r>
      <w:r>
        <w:t xml:space="preserve">- Contributed to incident handling activities and post‑incident documentation to improve controls.</w:t>
      </w:r>
    </w:p>
    <w:p>
      <w:pPr>
        <w:pStyle w:val="BodyText"/>
      </w:pPr>
      <w:r>
        <w:rPr>
          <w:bCs/>
          <w:b/>
        </w:rPr>
        <w:t xml:space="preserve">Cisco Security (via E‑Solutions) | Incident Responder | Remote | Jan 2020 – Feb 2023</w:t>
      </w:r>
      <w:r>
        <w:br/>
      </w:r>
      <w:r>
        <w:t xml:space="preserve">- Delivered incident response services for diverse organizational environments and stakeholders.</w:t>
      </w:r>
      <w:r>
        <w:br/>
      </w:r>
      <w:r>
        <w:t xml:space="preserve">- Led investigations into security incidents, assessing impact and recommending containment strategies.</w:t>
      </w:r>
      <w:r>
        <w:br/>
      </w:r>
      <w:r>
        <w:t xml:space="preserve">- Developed and refined response processes to improve consistency and effectiveness.</w:t>
      </w:r>
      <w:r>
        <w:br/>
      </w:r>
      <w:r>
        <w:t xml:space="preserve">- Provided clear remediation guidance aligned with organizational security objectives.</w:t>
      </w:r>
    </w:p>
    <w:p>
      <w:pPr>
        <w:pStyle w:val="BodyText"/>
      </w:pPr>
      <w:r>
        <w:rPr>
          <w:bCs/>
          <w:b/>
        </w:rPr>
        <w:t xml:space="preserve">Symantec Corporation | SOC Analyst (Tier 1–2) | Toronto, ON | Sep 2016 – Dec 2019</w:t>
      </w:r>
      <w:r>
        <w:br/>
      </w:r>
      <w:r>
        <w:t xml:space="preserve">- Progressed into senior SOC responsibilities, supporting escalations and complex investigations.</w:t>
      </w:r>
      <w:r>
        <w:br/>
      </w:r>
      <w:r>
        <w:t xml:space="preserve">- Assessed security alerts and anomalies to determine operational and business risk.</w:t>
      </w:r>
      <w:r>
        <w:br/>
      </w:r>
      <w:r>
        <w:t xml:space="preserve">- Collaborated with internal teams to support threat assessments and response activities.</w:t>
      </w:r>
      <w:r>
        <w:br/>
      </w:r>
      <w:r>
        <w:t xml:space="preserve">- Contributed to continuous improvement of security monitoring and response workflows.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Committee,</w:t>
      </w:r>
    </w:p>
    <w:p>
      <w:pPr>
        <w:pStyle w:val="BodyText"/>
      </w:pPr>
      <w:r>
        <w:t xml:space="preserve">I am writing to express my interest in the Senior Manager, Cyber Security position at George Brown College. With over eight years of progressive experience in cybersecurity operations, incident response, and threat intelligence, I bring a broad perspective on protecting complex organizations while aligning security efforts with institutional priorities.</w:t>
      </w:r>
    </w:p>
    <w:p>
      <w:pPr>
        <w:pStyle w:val="BodyText"/>
      </w:pPr>
      <w:r>
        <w:t xml:space="preserve">Throughout my career, I have supported enterprise and public‑sector environments, contributing to the detection, assessment, and response to cybersecurity risks. My experience spans operational security monitoring, incident coordination, vulnerability management, and intelligence‑driven risk analysis. This background has strengthened my ability to evaluate threats in context, prioritize mitigations, and communicate security issues clearly to diverse stakeholders.</w:t>
      </w:r>
    </w:p>
    <w:p>
      <w:pPr>
        <w:pStyle w:val="BodyText"/>
      </w:pPr>
      <w:r>
        <w:t xml:space="preserve">In my recent roles, I have focused on producing actionable security insights that support decision‑making at both technical and leadership levels. I am particularly motivated by the opportunity to help an academic institution balance strong security controls with the needs of students, faculty, and staff. I value collaboration, clear governance, and building security programs that enable organizational objectives rather than hinder them.</w:t>
      </w:r>
    </w:p>
    <w:p>
      <w:pPr>
        <w:pStyle w:val="BodyText"/>
      </w:pPr>
      <w:r>
        <w:t xml:space="preserve">George Brown College’s commitment to education, community, and responsible stewardship aligns strongly with my professional values. I would welcome the opportunity to contribute my experience to advancing the college’s cybersecurity posture and supporting a resilient, secure learning environment.</w:t>
      </w:r>
    </w:p>
    <w:p>
      <w:pPr>
        <w:pStyle w:val="BodyText"/>
      </w:pPr>
      <w:r>
        <w:t xml:space="preserve">Thank you for your time and consideration. I look forward to the opportunity to discuss how my background can support George Brown College’s cybersecurity goals.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2025-12-15T15:51:08Z</dcterms:created>
  <dcterms:modified xsi:type="dcterms:W3CDTF">2025-12-15T15:51:08Z</dcterms:modified>
</cp:coreProperties>
</file>

<file path=docProps/custom.xml><?xml version="1.0" encoding="utf-8"?>
<Properties xmlns="http://schemas.openxmlformats.org/officeDocument/2006/custom-properties" xmlns:vt="http://schemas.openxmlformats.org/officeDocument/2006/docPropsVTypes"/>
</file>