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Analyst with 8+ years of experience supporting Security Operations, Incident Response, and Threat Intelligence functions across enterprise environments. Progressed through SOC and IR roles, supporting monitoring, investigation, and remediation activities aligned to organizational risk. Experienced working with security tooling, frameworks, and reporting to support operational and compliance-driven security programs.</w:t>
      </w:r>
    </w:p>
    <w:bookmarkEnd w:id="20"/>
    <w:bookmarkStart w:id="21" w:name="skills"/>
    <w:p>
      <w:pPr>
        <w:pStyle w:val="Heading2"/>
      </w:pPr>
      <w:r>
        <w:t xml:space="preserve">Skills</w:t>
      </w:r>
    </w:p>
    <w:p>
      <w:pPr>
        <w:numPr>
          <w:ilvl w:val="0"/>
          <w:numId w:val="1001"/>
        </w:numPr>
        <w:pStyle w:val="Compact"/>
      </w:pPr>
      <w:r>
        <w:t xml:space="preserve">Security Operations (SOC) Monitoring &amp; Escalation</w:t>
      </w:r>
      <w:r>
        <w:br/>
      </w:r>
    </w:p>
    <w:p>
      <w:pPr>
        <w:numPr>
          <w:ilvl w:val="0"/>
          <w:numId w:val="1001"/>
        </w:numPr>
        <w:pStyle w:val="Compact"/>
      </w:pPr>
      <w:r>
        <w:t xml:space="preserve">Incident Response &amp; Investigation Support</w:t>
      </w:r>
      <w:r>
        <w:br/>
      </w:r>
    </w:p>
    <w:p>
      <w:pPr>
        <w:numPr>
          <w:ilvl w:val="0"/>
          <w:numId w:val="1001"/>
        </w:numPr>
        <w:pStyle w:val="Compact"/>
      </w:pPr>
      <w:r>
        <w:t xml:space="preserve">Threat Intelligence Analysis &amp; Reporting</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Network and Endpoint Security Monitoring</w:t>
      </w:r>
      <w:r>
        <w:br/>
      </w:r>
    </w:p>
    <w:p>
      <w:pPr>
        <w:numPr>
          <w:ilvl w:val="0"/>
          <w:numId w:val="1001"/>
        </w:numPr>
        <w:pStyle w:val="Compact"/>
      </w:pPr>
      <w:r>
        <w:t xml:space="preserve">SIEM-Based Detection &amp; Alert Triage</w:t>
      </w:r>
      <w:r>
        <w:br/>
      </w:r>
    </w:p>
    <w:p>
      <w:pPr>
        <w:numPr>
          <w:ilvl w:val="0"/>
          <w:numId w:val="1001"/>
        </w:numPr>
        <w:pStyle w:val="Compact"/>
      </w:pPr>
      <w:r>
        <w:t xml:space="preserve">MITRE ATT&amp;CK Mapping &amp; Threat Contextualization</w:t>
      </w:r>
      <w:r>
        <w:br/>
      </w:r>
    </w:p>
    <w:p>
      <w:pPr>
        <w:numPr>
          <w:ilvl w:val="0"/>
          <w:numId w:val="1001"/>
        </w:numPr>
        <w:pStyle w:val="Compact"/>
      </w:pPr>
      <w:r>
        <w:t xml:space="preserve">Security Documentation &amp; Executive Reporting</w:t>
      </w:r>
      <w:r>
        <w:br/>
      </w:r>
    </w:p>
    <w:p>
      <w:pPr>
        <w:numPr>
          <w:ilvl w:val="0"/>
          <w:numId w:val="1001"/>
        </w:numPr>
        <w:pStyle w:val="Compact"/>
      </w:pPr>
      <w:r>
        <w:t xml:space="preserve">Policy Enforcement &amp; Security Controls</w:t>
      </w:r>
      <w:r>
        <w:br/>
      </w:r>
    </w:p>
    <w:p>
      <w:pPr>
        <w:numPr>
          <w:ilvl w:val="0"/>
          <w:numId w:val="1001"/>
        </w:numPr>
        <w:pStyle w:val="Compact"/>
      </w:pPr>
      <w:r>
        <w:t xml:space="preserve">Alignment with NIST / ISO 27001 Frameworks</w:t>
      </w:r>
    </w:p>
    <w:bookmarkEnd w:id="21"/>
    <w:bookmarkStart w:id="26" w:name="professional-experience"/>
    <w:p>
      <w:pPr>
        <w:pStyle w:val="Heading2"/>
      </w:pPr>
      <w:r>
        <w:t xml:space="preserve">Professional Experience</w:t>
      </w:r>
    </w:p>
    <w:bookmarkStart w:id="22" w:name="Xab039341b0e462326c1a4317ec687ab771f3846"/>
    <w:p>
      <w:pPr>
        <w:pStyle w:val="Heading3"/>
      </w:pPr>
      <w:r>
        <w:t xml:space="preserve">One Arrow Consulting | Threat Intelligence Analyst | Toronto, ON | May 2025 – Present</w:t>
      </w:r>
    </w:p>
    <w:p>
      <w:pPr>
        <w:numPr>
          <w:ilvl w:val="0"/>
          <w:numId w:val="1002"/>
        </w:numPr>
        <w:pStyle w:val="Compact"/>
      </w:pPr>
      <w:r>
        <w:t xml:space="preserve">Conduct threat intelligence research to identify and assess active cyber threat groups impacting organizations.</w:t>
      </w:r>
    </w:p>
    <w:p>
      <w:pPr>
        <w:numPr>
          <w:ilvl w:val="0"/>
          <w:numId w:val="1002"/>
        </w:numPr>
        <w:pStyle w:val="Compact"/>
      </w:pPr>
      <w:r>
        <w:t xml:space="preserve">Analyze adversary behaviors and techniques to support defensive security operations and detection strategies.</w:t>
      </w:r>
    </w:p>
    <w:p>
      <w:pPr>
        <w:numPr>
          <w:ilvl w:val="0"/>
          <w:numId w:val="1002"/>
        </w:numPr>
        <w:pStyle w:val="Compact"/>
      </w:pPr>
      <w:r>
        <w:t xml:space="preserve">Produce actionable intelligence reports to assist SOC and incident response teams in prioritizing risks.</w:t>
      </w:r>
    </w:p>
    <w:p>
      <w:pPr>
        <w:numPr>
          <w:ilvl w:val="0"/>
          <w:numId w:val="1002"/>
        </w:numPr>
        <w:pStyle w:val="Compact"/>
      </w:pPr>
      <w:r>
        <w:t xml:space="preserve">Support both technical and leadership audiences with concise intelligence briefings tied to operational impact.</w:t>
      </w:r>
    </w:p>
    <w:p>
      <w:pPr>
        <w:numPr>
          <w:ilvl w:val="0"/>
          <w:numId w:val="1002"/>
        </w:numPr>
        <w:pStyle w:val="Compact"/>
      </w:pPr>
      <w:r>
        <w:t xml:space="preserve">Align intelligence findings to recognized frameworks to support consistent threat analysis.</w:t>
      </w:r>
    </w:p>
    <w:bookmarkEnd w:id="22"/>
    <w:bookmarkStart w:id="23" w:name="X87089437a15275f91a277cdefd6fbef8e70bb06"/>
    <w:p>
      <w:pPr>
        <w:pStyle w:val="Heading3"/>
      </w:pPr>
      <w:r>
        <w:t xml:space="preserve">City of St. John’s | Security Analyst | St. John’s, NL | Jan 2024 – Jul 2025</w:t>
      </w:r>
    </w:p>
    <w:p>
      <w:pPr>
        <w:numPr>
          <w:ilvl w:val="0"/>
          <w:numId w:val="1003"/>
        </w:numPr>
        <w:pStyle w:val="Compact"/>
      </w:pPr>
      <w:r>
        <w:t xml:space="preserve">Supported day-to-day security monitoring of enterprise networks and endpoints in a municipal environment.</w:t>
      </w:r>
    </w:p>
    <w:p>
      <w:pPr>
        <w:numPr>
          <w:ilvl w:val="0"/>
          <w:numId w:val="1003"/>
        </w:numPr>
        <w:pStyle w:val="Compact"/>
      </w:pPr>
      <w:r>
        <w:t xml:space="preserve">Assisted with vulnerability management efforts, including tracking remediation activities and enforcing security policies.</w:t>
      </w:r>
    </w:p>
    <w:p>
      <w:pPr>
        <w:numPr>
          <w:ilvl w:val="0"/>
          <w:numId w:val="1003"/>
        </w:numPr>
        <w:pStyle w:val="Compact"/>
      </w:pPr>
      <w:r>
        <w:t xml:space="preserve">Participated in incident triage, investigation support, and documentation activities.</w:t>
      </w:r>
    </w:p>
    <w:p>
      <w:pPr>
        <w:numPr>
          <w:ilvl w:val="0"/>
          <w:numId w:val="1003"/>
        </w:numPr>
        <w:pStyle w:val="Compact"/>
      </w:pPr>
      <w:r>
        <w:t xml:space="preserve">Helped maintain baseline security controls across user devices and infrastructure.</w:t>
      </w:r>
    </w:p>
    <w:p>
      <w:pPr>
        <w:numPr>
          <w:ilvl w:val="0"/>
          <w:numId w:val="1003"/>
        </w:numPr>
        <w:pStyle w:val="Compact"/>
      </w:pPr>
      <w:r>
        <w:t xml:space="preserve">Collaborated with IT stakeholders to improve security posture and operational readiness.</w:t>
      </w:r>
    </w:p>
    <w:bookmarkEnd w:id="23"/>
    <w:bookmarkStart w:id="24" w:name="X588dece9a811414985c12e37a1df4d1885335de"/>
    <w:p>
      <w:pPr>
        <w:pStyle w:val="Heading3"/>
      </w:pPr>
      <w:r>
        <w:t xml:space="preserve">Cisco Security (via E-Solutions) | Incident Responder | Remote | Jan 2020 – Feb 2023</w:t>
      </w:r>
    </w:p>
    <w:p>
      <w:pPr>
        <w:numPr>
          <w:ilvl w:val="0"/>
          <w:numId w:val="1004"/>
        </w:numPr>
        <w:pStyle w:val="Compact"/>
      </w:pPr>
      <w:r>
        <w:t xml:space="preserve">Supported incident response investigations involving malware, phishing, and account compromise scenarios.</w:t>
      </w:r>
    </w:p>
    <w:p>
      <w:pPr>
        <w:numPr>
          <w:ilvl w:val="0"/>
          <w:numId w:val="1004"/>
        </w:numPr>
        <w:pStyle w:val="Compact"/>
      </w:pPr>
      <w:r>
        <w:t xml:space="preserve">Assisted in containment, remediation, and recovery activities across diverse client environments.</w:t>
      </w:r>
    </w:p>
    <w:p>
      <w:pPr>
        <w:numPr>
          <w:ilvl w:val="0"/>
          <w:numId w:val="1004"/>
        </w:numPr>
        <w:pStyle w:val="Compact"/>
      </w:pPr>
      <w:r>
        <w:t xml:space="preserve">Contributed to the development and refinement of incident response playbooks and documentation.</w:t>
      </w:r>
    </w:p>
    <w:p>
      <w:pPr>
        <w:numPr>
          <w:ilvl w:val="0"/>
          <w:numId w:val="1004"/>
        </w:numPr>
        <w:pStyle w:val="Compact"/>
      </w:pPr>
      <w:r>
        <w:t xml:space="preserve">Provided structured guidance to improve detection and response workflows post-incident.</w:t>
      </w:r>
    </w:p>
    <w:p>
      <w:pPr>
        <w:numPr>
          <w:ilvl w:val="0"/>
          <w:numId w:val="1004"/>
        </w:numPr>
        <w:pStyle w:val="Compact"/>
      </w:pPr>
      <w:r>
        <w:t xml:space="preserve">Participated in post-incident reviews to strengthen defensive practices.</w:t>
      </w:r>
    </w:p>
    <w:bookmarkEnd w:id="24"/>
    <w:bookmarkStart w:id="25" w:name="X730c56f0df61bedfd145ac33b54e841a7f00702"/>
    <w:p>
      <w:pPr>
        <w:pStyle w:val="Heading3"/>
      </w:pPr>
      <w:r>
        <w:t xml:space="preserve">Symantec Corporation | SOC Analyst (Tier 1–2) | Toronto, ON | Sep 2016 – Dec 2019</w:t>
      </w:r>
    </w:p>
    <w:p>
      <w:pPr>
        <w:numPr>
          <w:ilvl w:val="0"/>
          <w:numId w:val="1005"/>
        </w:numPr>
        <w:pStyle w:val="Compact"/>
      </w:pPr>
      <w:r>
        <w:t xml:space="preserve">Performed security alert monitoring and analysis in a 24x7 SOC environment.</w:t>
      </w:r>
    </w:p>
    <w:p>
      <w:pPr>
        <w:numPr>
          <w:ilvl w:val="0"/>
          <w:numId w:val="1005"/>
        </w:numPr>
        <w:pStyle w:val="Compact"/>
      </w:pPr>
      <w:r>
        <w:t xml:space="preserve">Triaged and escalated security events according to established response procedures.</w:t>
      </w:r>
    </w:p>
    <w:p>
      <w:pPr>
        <w:numPr>
          <w:ilvl w:val="0"/>
          <w:numId w:val="1005"/>
        </w:numPr>
        <w:pStyle w:val="Compact"/>
      </w:pPr>
      <w:r>
        <w:t xml:space="preserve">Supported containment actions and investigation workflows alongside senior analysts.</w:t>
      </w:r>
    </w:p>
    <w:p>
      <w:pPr>
        <w:numPr>
          <w:ilvl w:val="0"/>
          <w:numId w:val="1005"/>
        </w:numPr>
        <w:pStyle w:val="Compact"/>
      </w:pPr>
      <w:r>
        <w:t xml:space="preserve">Increased responsibility over time, progressing from Tier 1 monitoring to Tier 2 analysis.</w:t>
      </w:r>
    </w:p>
    <w:p>
      <w:pPr>
        <w:numPr>
          <w:ilvl w:val="0"/>
          <w:numId w:val="1005"/>
        </w:numPr>
        <w:pStyle w:val="Compact"/>
      </w:pPr>
      <w:r>
        <w:t xml:space="preserve">Collaborated with internal teams to assess emerging threats and operational risks.</w:t>
      </w:r>
    </w:p>
    <w:bookmarkEnd w:id="25"/>
    <w:bookmarkEnd w:id="26"/>
    <w:bookmarkStart w:id="27" w:name="certifications"/>
    <w:p>
      <w:pPr>
        <w:pStyle w:val="Heading2"/>
      </w:pPr>
      <w:r>
        <w:t xml:space="preserve">Certifications</w:t>
      </w:r>
    </w:p>
    <w:p>
      <w:pPr>
        <w:numPr>
          <w:ilvl w:val="0"/>
          <w:numId w:val="1006"/>
        </w:numPr>
        <w:pStyle w:val="Compact"/>
      </w:pPr>
      <w:r>
        <w:t xml:space="preserve">GFACT – GIAC Foundational Cybersecurity Technologies</w:t>
      </w:r>
      <w:r>
        <w:br/>
      </w:r>
    </w:p>
    <w:p>
      <w:pPr>
        <w:numPr>
          <w:ilvl w:val="0"/>
          <w:numId w:val="1006"/>
        </w:numPr>
        <w:pStyle w:val="Compact"/>
      </w:pPr>
      <w:r>
        <w:t xml:space="preserve">GSEC – GIAC Security Essentials</w:t>
      </w:r>
      <w:r>
        <w:br/>
      </w:r>
    </w:p>
    <w:p>
      <w:pPr>
        <w:numPr>
          <w:ilvl w:val="0"/>
          <w:numId w:val="1006"/>
        </w:numPr>
        <w:pStyle w:val="Compact"/>
      </w:pPr>
      <w:r>
        <w:t xml:space="preserve">GCIH – GIAC Incident Handler</w:t>
      </w:r>
      <w:r>
        <w:br/>
      </w:r>
    </w:p>
    <w:p>
      <w:pPr>
        <w:numPr>
          <w:ilvl w:val="0"/>
          <w:numId w:val="1006"/>
        </w:numPr>
        <w:pStyle w:val="Compact"/>
      </w:pPr>
      <w:r>
        <w:t xml:space="preserve">Wazuh Certified Trainer</w:t>
      </w:r>
      <w:r>
        <w:br/>
      </w:r>
    </w:p>
    <w:p>
      <w:pPr>
        <w:numPr>
          <w:ilvl w:val="0"/>
          <w:numId w:val="1006"/>
        </w:numPr>
        <w:pStyle w:val="Compact"/>
      </w:pPr>
      <w:r>
        <w:t xml:space="preserve">AWS Secure Builder – SEC480</w:t>
      </w:r>
      <w:r>
        <w:br/>
      </w:r>
    </w:p>
    <w:p>
      <w:pPr>
        <w:numPr>
          <w:ilvl w:val="0"/>
          <w:numId w:val="1006"/>
        </w:numPr>
        <w:pStyle w:val="Compact"/>
      </w:pPr>
      <w:r>
        <w:t xml:space="preserve">SEC402 &amp; SEC403 Cyber Security Writing and Speaking</w:t>
      </w:r>
      <w:r>
        <w:br/>
      </w:r>
    </w:p>
    <w:p>
      <w:pPr>
        <w:numPr>
          <w:ilvl w:val="0"/>
          <w:numId w:val="1006"/>
        </w:numPr>
        <w:pStyle w:val="Compact"/>
      </w:pPr>
      <w:r>
        <w:t xml:space="preserve">SEC495 Leveraging LLMs: Building &amp; Securing RAG and Agentic RAG</w:t>
      </w:r>
    </w:p>
    <w:bookmarkEnd w:id="27"/>
    <w:bookmarkStart w:id="28"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8"/>
    <w:bookmarkStart w:id="29"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Analyst II position at Hostway. With over eight years of experience supporting security operations, incident response, and threat intelligence functions, I have developed a strong foundation in monitoring, investigation, and security analysis within enterprise environments.</w:t>
      </w:r>
    </w:p>
    <w:p>
      <w:pPr>
        <w:pStyle w:val="BodyText"/>
      </w:pPr>
      <w:r>
        <w:t xml:space="preserve">Throughout my career, I have progressed through SOC, incident response, and intelligence-focused roles, supporting day-to-day security operations and assisting organizations in identifying, assessing, and responding to cyber threats. My experience includes working within structured security programs, contributing to incident investigations, supporting vulnerability management efforts, and delivering clear, actionable security reporting aligned to organizational risk.</w:t>
      </w:r>
    </w:p>
    <w:p>
      <w:pPr>
        <w:pStyle w:val="BodyText"/>
      </w:pPr>
      <w:r>
        <w:t xml:space="preserve">I am particularly interested in Hostway’s focus on managed and compliant security services. My background supporting operational security teams and aligning technical findings to recognized frameworks positions me well to contribute to a hybrid security environment that prioritizes reliability, visibility, and customer trust.</w:t>
      </w:r>
    </w:p>
    <w:p>
      <w:pPr>
        <w:pStyle w:val="BodyText"/>
      </w:pPr>
      <w:r>
        <w:t xml:space="preserve">I would welcome the opportunity to bring my experience, analytical mindset, and collaborative approach to Hostway’s security team. Thank you for your time and consideration.</w:t>
      </w:r>
    </w:p>
    <w:p>
      <w:pPr>
        <w:pStyle w:val="BodyText"/>
      </w:pPr>
      <w:r>
        <w:t xml:space="preserve">Sincerely,</w:t>
      </w:r>
      <w:r>
        <w:br/>
      </w:r>
      <w:r>
        <w:t xml:space="preserve">Tony Muzo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2025-12-15T15:51:37Z</dcterms:created>
  <dcterms:modified xsi:type="dcterms:W3CDTF">2025-12-15T15:51:37Z</dcterms:modified>
</cp:coreProperties>
</file>

<file path=docProps/custom.xml><?xml version="1.0" encoding="utf-8"?>
<Properties xmlns="http://schemas.openxmlformats.org/officeDocument/2006/custom-properties" xmlns:vt="http://schemas.openxmlformats.org/officeDocument/2006/docPropsVTypes"/>
</file>