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v="urn:schemas-microsoft-com:vml" xmlns:wp="http://schemas.openxmlformats.org/drawingml/2006/wordprocessingDrawing" xmlns:w10="urn:schemas-microsoft-com:office:word" xmlns:w="http://schemas.openxmlformats.org/wordprocessingml/2006/main">
  <w:body>
    <w:p>
      <w:pPr/>
      <w:r>
        <w:rPr>
          <w:rFonts w:ascii="Helvetica Light" w:hAnsi="Helvetica Light" w:cs="Helvetica Light"/>
          <w:sz w:val="24"/>
          <w:sz-cs w:val="24"/>
        </w:rPr>
        <w:t xml:space="preserve">SAMPLE DOCUMENT — Fictional product, for demonstration only.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Product Launch Brief: Tidewater Notes 3.0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Summary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Tidewater Notes 3.0 introduces offline sync, shared notebooks, and a redesigned editor. The public launch is planned for the second week of May, after a four-week private beta with 400 invited users.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Goals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Reach 25,000 weekly active users within 60 days of launch.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Convert 4 percent of free users to the paid plan within the first quarter.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Keep the crash-free session rate above 99.5 percent.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Audience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The primary audience is students and independent researchers who take long-form notes. The secondary audience is small teams of up to ten people who need shared notebooks.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Pricing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The free plan keeps unlimited personal notes. The paid plan costs 6 USD per month or 60 USD per year and adds shared notebooks, version history, and offline sync on unlimited devices.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Risks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The largest risk is sync conflicts when two people edit the same note offline. The engineering team will ship a conflict viewer that shows both versions side by side. A second risk is that the redesigned editor may confuse existing users, so the old editor will remain available for 90 days behind a settings toggle.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Launch checklist owner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The launch checklist is owned by the product marketing lead, who will run a go or no-go review three days before launch.</w:t>
      </w:r>
    </w:p>
    <w:sectPr/>
  </w:body>
</w:document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customXml" Target="../docProps/meta.xml"/><Relationship Id="rId2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Default Theme">
  <a:themeElements>
    <a:clrScheme name="Default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Default">
      <a:majorFont>
        <a:latin typeface="Times New Roman"/>
        <a:ea typeface=""/>
        <a:cs typeface=""/>
      </a:majorFont>
      <a:minorFont>
        <a:latin typeface="Times New Roman"/>
        <a:ea typeface=""/>
        <a:cs typeface=""/>
      </a:minorFont>
    </a:fontScheme>
    <a:fmtScheme name="Default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/>
</file>

<file path=docProps/meta.xml><?xml version="1.0" encoding="utf-8"?>
<meta xmlns="http://schemas.apple.com/cocoa/2006/metadata">
  <generator>CocoaOOXMLWriter/2685.7</generator>
</meta>
</file>