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Corrective Action Record - Uhban-Yafir</w:t>
      </w:r>
    </w:p>
    <w:p>
      <w:r>
        <w:t>Subject: Kamal Tamanna. Presiding officer: Aazim Umaarah.</w:t>
      </w:r>
    </w:p>
    <w:p>
      <w:r>
        <w:t>Repeated late submissions were confirmed by the supervisor.</w:t>
      </w:r>
    </w:p>
    <w:p>
      <w:r>
        <w:t>Conduct is to be reviewed again after ninety days.</w:t>
      </w:r>
    </w:p>
    <w:p>
      <w:r>
        <w:t>Case particulars:</w:t>
      </w:r>
    </w:p>
    <w:p>
      <w:r>
        <w:t>The decision takes effect on the date of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