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Corrective Action Record - Saal Group</w:t>
      </w:r>
    </w:p>
    <w:p>
      <w:r>
        <w:t>Subject: Madyan Fidvi. Presiding officer: Sadan Barr.</w:t>
      </w:r>
    </w:p>
    <w:p>
      <w:r>
        <w:t>The panel recorded a violation of the acceptable use rules.</w:t>
      </w:r>
    </w:p>
    <w:p>
      <w:r>
        <w:t>Mandatory refresher training must be completed within two weeks.</w:t>
      </w:r>
    </w:p>
    <w:p>
      <w:r>
        <w:t>Case particulars:</w:t>
      </w:r>
    </w:p>
    <w:p>
      <w:r>
        <w:t>CNIC on record: 36909-2755719-2</w:t>
      </w:r>
    </w:p>
    <w:p>
      <w:r>
        <w:t>Kamil Zuwayhir: monthly remuneration PKR 302,589</w:t>
      </w:r>
    </w:p>
    <w:p>
      <w:r>
        <w:t>The decision takes effect on the date of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