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Kasam PLC</w:t>
      </w:r>
    </w:p>
    <w:p>
      <w:r>
        <w:t>Prepared by Yashem Aamirah; reviewed by Qays Ghauth.</w:t>
      </w:r>
    </w:p>
    <w:p>
      <w:r>
        <w:t>Two minor incidents were logged and closed during the period.</w:t>
      </w:r>
    </w:p>
    <w:p>
      <w:r>
        <w:t>Backlog age improved against the previous period.</w:t>
      </w:r>
    </w:p>
    <w:p>
      <w:r>
        <w:t>Hiring continues according to the approved plan.</w:t>
      </w:r>
    </w:p>
    <w:p>
      <w:r>
        <w:t>Appendix of particulars:</w:t>
      </w:r>
    </w:p>
    <w:p>
      <w:r>
        <w:t>CNIC on record: 24994-7174648-8</w:t>
      </w:r>
    </w:p>
    <w:p>
      <w:r>
        <w:t>CNIC on record: 47190-6594013-9</w:t>
      </w:r>
    </w:p>
    <w:p>
      <w:r>
        <w:t>CNIC on record: 50490-2787429-6</w:t>
      </w:r>
    </w:p>
    <w:p>
      <w:r>
        <w:t>CNIC on record: 77175-6551256-7</w:t>
      </w:r>
    </w:p>
    <w:p>
      <w:r>
        <w:t>Card token held for billing: 4680715451680872</w:t>
      </w:r>
    </w:p>
    <w:p>
      <w:r>
        <w:t>Card token held for billing: 6038597703482479</w:t>
      </w:r>
    </w:p>
    <w:p>
      <w:r>
        <w:t>Settlement account reference: PKWP1093248086131</w:t>
      </w:r>
    </w:p>
    <w:p>
      <w:r>
        <w:t>Talha Raatib: monthly remuneration PKR 266,931</w:t>
      </w:r>
    </w:p>
    <w:p>
      <w:r>
        <w:t>Huzaifa Aamil: monthly remuneration PKR 86,586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