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Jahdari and Sons</w:t>
      </w:r>
    </w:p>
    <w:p>
      <w:r>
        <w:t>Issued by Raed Waahid; acknowledged by Quddoos Aariz.</w:t>
      </w:r>
    </w:p>
    <w:p>
      <w:r>
        <w:t>The guidance below takes effect on the first day of next quarter.</w:t>
      </w:r>
    </w:p>
    <w:p>
      <w:r>
        <w:t>Access requests route through the line manager first.</w:t>
      </w:r>
    </w:p>
    <w:p>
      <w:r>
        <w:t>Referenced particulars:</w:t>
      </w:r>
    </w:p>
    <w:p>
      <w:r>
        <w:t>Department heads confirm rollout completion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