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Guidance Note - Ghutayf, Umaarah and Talat</w:t>
      </w:r>
    </w:p>
    <w:p>
      <w:r>
        <w:t>Issued by Aaban Kamran; acknowledged by Yaghnam Umar.</w:t>
      </w:r>
    </w:p>
    <w:p>
      <w:r>
        <w:t>The change aligns internal practice with the audit findings.</w:t>
      </w:r>
    </w:p>
    <w:p>
      <w:r>
        <w:t>Access requests route through the line manager first.</w:t>
      </w:r>
    </w:p>
    <w:p>
      <w:r>
        <w:t>Referenced particulars:</w:t>
      </w:r>
    </w:p>
    <w:p>
      <w:r>
        <w:t>CNIC on record: 36584-0449972-7</w:t>
      </w:r>
    </w:p>
    <w:p>
      <w:r>
        <w:t>Compliance checks begin the week after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