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Internal Guidance Note - Ghayoor-Sabeeh</w:t>
      </w:r>
    </w:p>
    <w:p>
      <w:r>
        <w:t>Issued by Luay Gulshan; acknowledged by Tabassum Daniel.</w:t>
      </w:r>
    </w:p>
    <w:p>
      <w:r>
        <w:t>The guidance below takes effect on the first day of next quarter.</w:t>
      </w:r>
    </w:p>
    <w:p>
      <w:r>
        <w:t>Documents are stored only in the approved repository.</w:t>
      </w:r>
    </w:p>
    <w:p>
      <w:r>
        <w:t>Referenced particulars:</w:t>
      </w:r>
    </w:p>
    <w:p>
      <w:r>
        <w:t>CNIC on record: 73963-6057662-7</w:t>
      </w:r>
    </w:p>
    <w:p>
      <w:r>
        <w:t>CNIC on record: 12895-1718702-6</w:t>
      </w:r>
    </w:p>
    <w:p>
      <w:r>
        <w:t>CNIC on record: 82174-5961586-5</w:t>
      </w:r>
    </w:p>
    <w:p>
      <w:r>
        <w:t>CNIC on record: 77809-1343161-1</w:t>
      </w:r>
    </w:p>
    <w:p>
      <w:r>
        <w:t>CNIC on record: 42400-5045562-3</w:t>
      </w:r>
    </w:p>
    <w:p>
      <w:r>
        <w:t>Card token held for billing: 8692221969379237</w:t>
      </w:r>
    </w:p>
    <w:p>
      <w:r>
        <w:t>Card token held for billing: 7474074821759468</w:t>
      </w:r>
    </w:p>
    <w:p>
      <w:r>
        <w:t>Passport reference: WI7436713</w:t>
      </w:r>
    </w:p>
    <w:p>
      <w:r>
        <w:t>Settlement account reference: PKMS5944064090974</w:t>
      </w:r>
    </w:p>
    <w:p>
      <w:r>
        <w:t>Settlement account reference: PKYZ3953394210470</w:t>
      </w:r>
    </w:p>
    <w:p>
      <w:r>
        <w:t>Parvez Aamir: monthly remuneration PKR 328,863</w:t>
      </w:r>
    </w:p>
    <w:p>
      <w:r>
        <w:t>Waail Qahtan: monthly remuneration PKR 216,292</w:t>
      </w:r>
    </w:p>
    <w:p>
      <w:r>
        <w:t>Quddoos Wadi: monthly remuneration PKR 408,967</w:t>
      </w:r>
    </w:p>
    <w:p>
      <w:r>
        <w:t>Compliance checks begin the week after publication.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