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Guidance Note - Saad Group</w:t>
      </w:r>
    </w:p>
    <w:p>
      <w:r>
        <w:t>Issued by Luqmaan Kaamil; acknowledged by Kashan Dawud.</w:t>
      </w:r>
    </w:p>
    <w:p>
      <w:r>
        <w:t>The change aligns internal practice with the audit findings.</w:t>
      </w:r>
    </w:p>
    <w:p>
      <w:r>
        <w:t>Access requests route through the line manager first.</w:t>
      </w:r>
    </w:p>
    <w:p>
      <w:r>
        <w:t>Referenced particulars:</w:t>
      </w:r>
    </w:p>
    <w:p>
      <w:r>
        <w:t>Questions go to the governance mailbox.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