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Guidance Note - Daamin-Tabassum</w:t>
      </w:r>
    </w:p>
    <w:p>
      <w:r>
        <w:t>Issued by Kaleema Ghayoor; acknowledged by Ikhlaas Nadeem.</w:t>
      </w:r>
    </w:p>
    <w:p>
      <w:r>
        <w:t>The guidance below takes effect on the first day of next quarter.</w:t>
      </w:r>
    </w:p>
    <w:p>
      <w:r>
        <w:t>Removable media remain prohibited for classified work.</w:t>
      </w:r>
    </w:p>
    <w:p>
      <w:r>
        <w:t>Referenced particulars:</w:t>
      </w:r>
    </w:p>
    <w:p>
      <w:r>
        <w:t>CNIC on record: 45844-1986652-4</w:t>
      </w:r>
    </w:p>
    <w:p>
      <w:r>
        <w:t>CNIC on record: 14157-4733848-4</w:t>
      </w:r>
    </w:p>
    <w:p>
      <w:r>
        <w:t>Gulfaam Qabeel: monthly remuneration PKR 96,970</w:t>
      </w:r>
    </w:p>
    <w:p>
      <w:r>
        <w:t>Department heads confirm rollout completion in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