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B01E81" w14:textId="3DB16A1A" w:rsidR="00A232C9" w:rsidRPr="00A232C9" w:rsidRDefault="00850B86" w:rsidP="00A232C9">
      <w:pPr>
        <w:pStyle w:val="Title"/>
        <w:spacing w:line="360" w:lineRule="auto"/>
      </w:pPr>
      <w:r w:rsidRPr="00850B86">
        <w:t>Datová Akademie</w:t>
      </w:r>
      <w:r w:rsidRPr="00850B86">
        <w:t xml:space="preserve"> – </w:t>
      </w:r>
      <w:proofErr w:type="spellStart"/>
      <w:r w:rsidRPr="00850B86">
        <w:t>Engeto</w:t>
      </w:r>
      <w:proofErr w:type="spellEnd"/>
      <w:r w:rsidRPr="00850B86">
        <w:t xml:space="preserve"> </w:t>
      </w:r>
      <w:r>
        <w:t>– 10/12/2024</w:t>
      </w:r>
    </w:p>
    <w:p w14:paraId="3ABBC7DA" w14:textId="55FBC48C" w:rsidR="00850B86" w:rsidRPr="00850B86" w:rsidRDefault="00850B86" w:rsidP="00A232C9">
      <w:pPr>
        <w:jc w:val="center"/>
        <w:rPr>
          <w:b/>
          <w:bCs/>
        </w:rPr>
      </w:pPr>
      <w:r>
        <w:rPr>
          <w:b/>
          <w:bCs/>
        </w:rPr>
        <w:t>Úvod</w:t>
      </w:r>
    </w:p>
    <w:p w14:paraId="50EECB2A" w14:textId="77777777" w:rsidR="00850B86" w:rsidRPr="00850B86" w:rsidRDefault="00850B86" w:rsidP="00A232C9">
      <w:pPr>
        <w:jc w:val="both"/>
      </w:pPr>
      <w:r w:rsidRPr="00850B86">
        <w:t>Na vašem analytickém oddělení nezávislé společnosti, která se zabývá životní úrovní občanů, jste se dohodli, že se pokusíte odpovědět na pár definovaných výzkumných otázek, které adresují dostupnost základních potravin široké veřejnosti. Kolegové již vydefinovali základní otázky, na které se pokusí odpovědět a poskytnout tuto informaci tiskovému oddělení. Toto oddělení bude výsledky prezentovat na následující konferenci zaměřené na tuto oblast.</w:t>
      </w:r>
    </w:p>
    <w:p w14:paraId="73F4E358" w14:textId="77777777" w:rsidR="00850B86" w:rsidRPr="00850B86" w:rsidRDefault="00850B86" w:rsidP="00A232C9">
      <w:pPr>
        <w:jc w:val="both"/>
      </w:pPr>
      <w:r w:rsidRPr="00850B86">
        <w:t>Potřebují k tomu od vás připravit robustní datové podklady, ve kterých bude možné vidět porovnání dostupnosti potravin na základě průměrných příjmů za určité časové období.</w:t>
      </w:r>
    </w:p>
    <w:p w14:paraId="05918584" w14:textId="1A691819" w:rsidR="00850B86" w:rsidRDefault="00850B86" w:rsidP="00A232C9">
      <w:pPr>
        <w:jc w:val="both"/>
      </w:pPr>
      <w:r w:rsidRPr="00850B86">
        <w:t>Jako dodatečný materiál připravte i tabulku s HDP, GINI koeficientem a populací dalších evropských států ve stejném období, jako primární přehled pro ČR.</w:t>
      </w:r>
    </w:p>
    <w:p w14:paraId="3ABBD712" w14:textId="77777777" w:rsidR="00850B86" w:rsidRPr="00A232C9" w:rsidRDefault="00850B86" w:rsidP="00A232C9">
      <w:pPr>
        <w:pStyle w:val="Subtitle"/>
        <w:spacing w:before="240"/>
        <w:rPr>
          <w:b/>
          <w:bCs/>
        </w:rPr>
      </w:pPr>
      <w:r w:rsidRPr="00A232C9">
        <w:rPr>
          <w:b/>
          <w:bCs/>
        </w:rPr>
        <w:t>Datové sady, které je možné požít pro získání vhodného datového podkladu</w:t>
      </w:r>
    </w:p>
    <w:p w14:paraId="705601B6" w14:textId="7B138543" w:rsidR="00850B86" w:rsidRPr="00A232C9" w:rsidRDefault="00850B86" w:rsidP="00850B86">
      <w:pPr>
        <w:rPr>
          <w:u w:val="single"/>
        </w:rPr>
      </w:pPr>
      <w:r w:rsidRPr="00A232C9">
        <w:rPr>
          <w:u w:val="single"/>
        </w:rPr>
        <w:t>Primární tabulky:</w:t>
      </w:r>
    </w:p>
    <w:p w14:paraId="2E8CA68B" w14:textId="77777777" w:rsidR="00850B86" w:rsidRDefault="00850B86" w:rsidP="00850B86">
      <w:pPr>
        <w:pStyle w:val="ListParagraph"/>
        <w:numPr>
          <w:ilvl w:val="0"/>
          <w:numId w:val="4"/>
        </w:numPr>
      </w:pPr>
      <w:proofErr w:type="spellStart"/>
      <w:r>
        <w:t>czechia_payroll</w:t>
      </w:r>
      <w:proofErr w:type="spellEnd"/>
      <w:r>
        <w:t xml:space="preserve"> – Informace o mzdách v různých odvětvích za několikaleté období. Datová sada pochází z Portálu otevřených dat ČR.</w:t>
      </w:r>
    </w:p>
    <w:p w14:paraId="64DDED0C" w14:textId="77777777" w:rsidR="00850B86" w:rsidRDefault="00850B86" w:rsidP="00850B86">
      <w:pPr>
        <w:pStyle w:val="ListParagraph"/>
        <w:numPr>
          <w:ilvl w:val="0"/>
          <w:numId w:val="4"/>
        </w:numPr>
      </w:pPr>
      <w:proofErr w:type="spellStart"/>
      <w:r>
        <w:t>czechia_payroll_calculation</w:t>
      </w:r>
      <w:proofErr w:type="spellEnd"/>
      <w:r>
        <w:t xml:space="preserve"> – Číselník kalkulací v tabulce mezd.</w:t>
      </w:r>
    </w:p>
    <w:p w14:paraId="30DBDB4C" w14:textId="77777777" w:rsidR="00850B86" w:rsidRDefault="00850B86" w:rsidP="00850B86">
      <w:pPr>
        <w:pStyle w:val="ListParagraph"/>
        <w:numPr>
          <w:ilvl w:val="0"/>
          <w:numId w:val="4"/>
        </w:numPr>
      </w:pPr>
      <w:proofErr w:type="spellStart"/>
      <w:r>
        <w:t>czechia_payroll_industry_branch</w:t>
      </w:r>
      <w:proofErr w:type="spellEnd"/>
      <w:r>
        <w:t xml:space="preserve"> – Číselník odvětví v tabulce mezd.</w:t>
      </w:r>
    </w:p>
    <w:p w14:paraId="7D78C8B3" w14:textId="77777777" w:rsidR="00850B86" w:rsidRDefault="00850B86" w:rsidP="00850B86">
      <w:pPr>
        <w:pStyle w:val="ListParagraph"/>
        <w:numPr>
          <w:ilvl w:val="0"/>
          <w:numId w:val="4"/>
        </w:numPr>
      </w:pPr>
      <w:proofErr w:type="spellStart"/>
      <w:r>
        <w:t>czechia_payroll_unit</w:t>
      </w:r>
      <w:proofErr w:type="spellEnd"/>
      <w:r>
        <w:t xml:space="preserve"> – Číselník jednotek hodnot v tabulce mezd.</w:t>
      </w:r>
    </w:p>
    <w:p w14:paraId="1DB86FEB" w14:textId="77777777" w:rsidR="00850B86" w:rsidRDefault="00850B86" w:rsidP="00850B86">
      <w:pPr>
        <w:pStyle w:val="ListParagraph"/>
        <w:numPr>
          <w:ilvl w:val="0"/>
          <w:numId w:val="4"/>
        </w:numPr>
      </w:pPr>
      <w:proofErr w:type="spellStart"/>
      <w:r>
        <w:t>czechia_payroll_value_type</w:t>
      </w:r>
      <w:proofErr w:type="spellEnd"/>
      <w:r>
        <w:t xml:space="preserve"> – Číselník typů hodnot v tabulce mezd.</w:t>
      </w:r>
    </w:p>
    <w:p w14:paraId="47AA4BA2" w14:textId="77777777" w:rsidR="00850B86" w:rsidRDefault="00850B86" w:rsidP="00850B86">
      <w:pPr>
        <w:pStyle w:val="ListParagraph"/>
        <w:numPr>
          <w:ilvl w:val="0"/>
          <w:numId w:val="4"/>
        </w:numPr>
      </w:pPr>
      <w:proofErr w:type="spellStart"/>
      <w:r>
        <w:t>czechia_price</w:t>
      </w:r>
      <w:proofErr w:type="spellEnd"/>
      <w:r>
        <w:t xml:space="preserve"> – Informace o cenách vybraných potravin za několikaleté období. Datová sada pochází z Portálu otevřených dat ČR.</w:t>
      </w:r>
    </w:p>
    <w:p w14:paraId="6B2467B5" w14:textId="77777777" w:rsidR="00850B86" w:rsidRDefault="00850B86" w:rsidP="00850B86">
      <w:pPr>
        <w:pStyle w:val="ListParagraph"/>
        <w:numPr>
          <w:ilvl w:val="0"/>
          <w:numId w:val="4"/>
        </w:numPr>
      </w:pPr>
      <w:proofErr w:type="spellStart"/>
      <w:r>
        <w:t>czechia_price_category</w:t>
      </w:r>
      <w:proofErr w:type="spellEnd"/>
      <w:r>
        <w:t xml:space="preserve"> – Číselník kategorií potravin, které se vyskytují v našem přehledu.</w:t>
      </w:r>
    </w:p>
    <w:p w14:paraId="41869E39" w14:textId="37C3A8E2" w:rsidR="00850B86" w:rsidRPr="00A232C9" w:rsidRDefault="00850B86" w:rsidP="00850B86">
      <w:pPr>
        <w:rPr>
          <w:u w:val="single"/>
        </w:rPr>
      </w:pPr>
      <w:r w:rsidRPr="00A232C9">
        <w:rPr>
          <w:u w:val="single"/>
        </w:rPr>
        <w:t>Číselníky sdílených informací o ČR:</w:t>
      </w:r>
    </w:p>
    <w:p w14:paraId="6470C7B2" w14:textId="77777777" w:rsidR="00850B86" w:rsidRDefault="00850B86" w:rsidP="00850B86">
      <w:pPr>
        <w:pStyle w:val="ListParagraph"/>
        <w:numPr>
          <w:ilvl w:val="0"/>
          <w:numId w:val="5"/>
        </w:numPr>
      </w:pPr>
      <w:proofErr w:type="spellStart"/>
      <w:r>
        <w:t>czechia_region</w:t>
      </w:r>
      <w:proofErr w:type="spellEnd"/>
      <w:r>
        <w:t xml:space="preserve"> – Číselník krajů České republiky dle normy CZ-NUTS 2.</w:t>
      </w:r>
    </w:p>
    <w:p w14:paraId="55A9F372" w14:textId="77777777" w:rsidR="00850B86" w:rsidRDefault="00850B86" w:rsidP="00850B86">
      <w:pPr>
        <w:pStyle w:val="ListParagraph"/>
        <w:numPr>
          <w:ilvl w:val="0"/>
          <w:numId w:val="5"/>
        </w:numPr>
      </w:pPr>
      <w:proofErr w:type="spellStart"/>
      <w:r>
        <w:t>czechia_district</w:t>
      </w:r>
      <w:proofErr w:type="spellEnd"/>
      <w:r>
        <w:t xml:space="preserve"> – Číselník okresů České republiky dle normy LAU.</w:t>
      </w:r>
    </w:p>
    <w:p w14:paraId="6EAEA8A0" w14:textId="6832ABC8" w:rsidR="00850B86" w:rsidRPr="00A232C9" w:rsidRDefault="00850B86" w:rsidP="00850B86">
      <w:pPr>
        <w:rPr>
          <w:u w:val="single"/>
        </w:rPr>
      </w:pPr>
      <w:r w:rsidRPr="00A232C9">
        <w:rPr>
          <w:u w:val="single"/>
        </w:rPr>
        <w:t>Dodatečné tabulky:</w:t>
      </w:r>
    </w:p>
    <w:p w14:paraId="3D880720" w14:textId="3AD0FAA6" w:rsidR="00850B86" w:rsidRDefault="00850B86" w:rsidP="00850B86">
      <w:pPr>
        <w:pStyle w:val="ListParagraph"/>
        <w:numPr>
          <w:ilvl w:val="0"/>
          <w:numId w:val="6"/>
        </w:numPr>
      </w:pPr>
      <w:proofErr w:type="spellStart"/>
      <w:r>
        <w:t>countries</w:t>
      </w:r>
      <w:proofErr w:type="spellEnd"/>
      <w:r>
        <w:t xml:space="preserve"> – Všemožné</w:t>
      </w:r>
      <w:r>
        <w:t xml:space="preserve"> informace o zemích na světě, například hlavní město, měna, národní jídlo nebo průměrná výška populace.</w:t>
      </w:r>
    </w:p>
    <w:p w14:paraId="63A346C0" w14:textId="77777777" w:rsidR="00A6383A" w:rsidRDefault="00850B86" w:rsidP="00A6383A">
      <w:pPr>
        <w:pStyle w:val="ListParagraph"/>
        <w:numPr>
          <w:ilvl w:val="0"/>
          <w:numId w:val="6"/>
        </w:numPr>
      </w:pPr>
      <w:proofErr w:type="spellStart"/>
      <w:r>
        <w:t>economies</w:t>
      </w:r>
      <w:proofErr w:type="spellEnd"/>
      <w:r>
        <w:t xml:space="preserve"> – HDP</w:t>
      </w:r>
      <w:r>
        <w:t xml:space="preserve">, GINI, daňová </w:t>
      </w:r>
      <w:proofErr w:type="gramStart"/>
      <w:r>
        <w:t>zátěž,</w:t>
      </w:r>
      <w:proofErr w:type="gramEnd"/>
      <w:r>
        <w:t xml:space="preserve"> atd. pro daný </w:t>
      </w:r>
      <w:proofErr w:type="spellStart"/>
      <w:r>
        <w:t>stat</w:t>
      </w:r>
      <w:proofErr w:type="spellEnd"/>
      <w:r>
        <w:t xml:space="preserve"> a rok.</w:t>
      </w:r>
    </w:p>
    <w:p w14:paraId="43B699C4" w14:textId="398E4FAA" w:rsidR="00A6383A" w:rsidRDefault="00A6383A" w:rsidP="00A6383A">
      <w:r>
        <w:lastRenderedPageBreak/>
        <w:t>Pro zodpovězení výzkumných otázek byly vytvořeny následující tabulky agregující potřebná data:</w:t>
      </w:r>
    </w:p>
    <w:p w14:paraId="4F35B9D0" w14:textId="77777777" w:rsidR="00A6383A" w:rsidRPr="00870393" w:rsidRDefault="00A6383A" w:rsidP="00A6383A">
      <w:pPr>
        <w:pStyle w:val="ListParagraph"/>
        <w:numPr>
          <w:ilvl w:val="0"/>
          <w:numId w:val="6"/>
        </w:numPr>
      </w:pPr>
      <w:proofErr w:type="spellStart"/>
      <w:r w:rsidRPr="00A6383A">
        <w:rPr>
          <w:b/>
          <w:bCs/>
        </w:rPr>
        <w:t>t_roman_miltak_project_sql_primary_final</w:t>
      </w:r>
      <w:proofErr w:type="spellEnd"/>
      <w:r w:rsidRPr="00870393">
        <w:t xml:space="preserve"> </w:t>
      </w:r>
      <w:r>
        <w:t>slučuje</w:t>
      </w:r>
      <w:r w:rsidRPr="002B6336">
        <w:t xml:space="preserve"> údaje o průměrných mzdách a cenách potravin v Česku. Pomocí JOIN propojuj</w:t>
      </w:r>
      <w:r>
        <w:t>i</w:t>
      </w:r>
      <w:r w:rsidRPr="002B6336">
        <w:t xml:space="preserve"> čtyři tabulky: ceny potravin, mzdy, odvětví a kategorie potravin. Výstup obsahuje rok mzdy, odvětví, průměrnou mzdu, název potravinové kategorie, cenu potraviny, množství a jednotku. Data jsou filtrována tak, aby se braly jen konkrétní typy mezd (kód 5958) a výpočtu (kód 100), a rok mzdy odpovídal roku ceny potravin</w:t>
      </w:r>
      <w:r>
        <w:t xml:space="preserve"> (2006-2018)</w:t>
      </w:r>
      <w:r w:rsidRPr="002B6336">
        <w:t xml:space="preserve">. </w:t>
      </w:r>
    </w:p>
    <w:p w14:paraId="5B263096" w14:textId="77777777" w:rsidR="00A6383A" w:rsidRPr="00807CFB" w:rsidRDefault="00A6383A" w:rsidP="00A6383A">
      <w:pPr>
        <w:pStyle w:val="ListParagraph"/>
        <w:numPr>
          <w:ilvl w:val="0"/>
          <w:numId w:val="6"/>
        </w:numPr>
      </w:pPr>
      <w:proofErr w:type="spellStart"/>
      <w:r w:rsidRPr="00A6383A">
        <w:rPr>
          <w:b/>
          <w:bCs/>
        </w:rPr>
        <w:t>t_roman_miltak_project_sql_secondary_final</w:t>
      </w:r>
      <w:proofErr w:type="spellEnd"/>
      <w:r>
        <w:t xml:space="preserve"> </w:t>
      </w:r>
      <w:r w:rsidRPr="00A6383A">
        <w:t xml:space="preserve">obsahuje ekonomické ukazatele jednotlivých zemí. Spojuje tabulky </w:t>
      </w:r>
      <w:proofErr w:type="spellStart"/>
      <w:r w:rsidRPr="00A6383A">
        <w:t>countries</w:t>
      </w:r>
      <w:proofErr w:type="spellEnd"/>
      <w:r w:rsidRPr="00A6383A">
        <w:t xml:space="preserve"> a </w:t>
      </w:r>
      <w:proofErr w:type="spellStart"/>
      <w:r w:rsidRPr="00A6383A">
        <w:t>economies</w:t>
      </w:r>
      <w:proofErr w:type="spellEnd"/>
      <w:r w:rsidRPr="00A6383A">
        <w:t xml:space="preserve"> podle názvu země a vybírá z nich informace o roce, HDP (zaokrouhlené na dvě desetinná místa), </w:t>
      </w:r>
      <w:proofErr w:type="spellStart"/>
      <w:r w:rsidRPr="00A6383A">
        <w:t>Giniho</w:t>
      </w:r>
      <w:proofErr w:type="spellEnd"/>
      <w:r w:rsidRPr="00A6383A">
        <w:t xml:space="preserve"> koeficientu a populaci.</w:t>
      </w:r>
    </w:p>
    <w:p w14:paraId="48144216" w14:textId="77777777" w:rsidR="00A6383A" w:rsidRDefault="00A6383A">
      <w:pPr>
        <w:rPr>
          <w:rFonts w:eastAsiaTheme="majorEastAsia" w:cstheme="majorBidi"/>
          <w:color w:val="595959" w:themeColor="text1" w:themeTint="A6"/>
          <w:spacing w:val="15"/>
          <w:sz w:val="28"/>
          <w:szCs w:val="28"/>
        </w:rPr>
      </w:pPr>
      <w:r>
        <w:br w:type="page"/>
      </w:r>
    </w:p>
    <w:p w14:paraId="067E216F" w14:textId="037C068F" w:rsidR="00850B86" w:rsidRPr="00C55E01" w:rsidRDefault="00850B86" w:rsidP="00850B86">
      <w:pPr>
        <w:pStyle w:val="Subtitle"/>
        <w:rPr>
          <w:b/>
          <w:bCs/>
        </w:rPr>
      </w:pPr>
      <w:r w:rsidRPr="00C55E01">
        <w:rPr>
          <w:b/>
          <w:bCs/>
        </w:rPr>
        <w:lastRenderedPageBreak/>
        <w:t>Výzkumné otázky</w:t>
      </w:r>
    </w:p>
    <w:p w14:paraId="2FD5586C" w14:textId="77777777" w:rsidR="00850B86" w:rsidRPr="00932696" w:rsidRDefault="00850B86" w:rsidP="004C06A6">
      <w:pPr>
        <w:pStyle w:val="ListParagraph"/>
        <w:numPr>
          <w:ilvl w:val="0"/>
          <w:numId w:val="8"/>
        </w:numPr>
        <w:ind w:left="426" w:hanging="426"/>
        <w:rPr>
          <w:b/>
          <w:bCs/>
        </w:rPr>
      </w:pPr>
      <w:r w:rsidRPr="00932696">
        <w:rPr>
          <w:b/>
          <w:bCs/>
        </w:rPr>
        <w:t>Rostou v průběhu let mzdy ve všech odvětvích, nebo v některých klesají?</w:t>
      </w:r>
    </w:p>
    <w:p w14:paraId="54B4C514" w14:textId="5E860D1E" w:rsidR="00C4119B" w:rsidRDefault="00C4119B" w:rsidP="00C4119B">
      <w:r>
        <w:t>Ano, mzdy v průběhu let rostou ve všech sledovaných odvětvích.</w:t>
      </w:r>
      <w:r>
        <w:t xml:space="preserve"> </w:t>
      </w:r>
      <w:r>
        <w:t>Ve všech 19 odvětvích uvedených v tabulce došlo mezi rokem 2006 a 2018 k nárůstu průměrné mzdy.</w:t>
      </w:r>
      <w:r>
        <w:t xml:space="preserve"> </w:t>
      </w:r>
      <w:r>
        <w:t>Rozdíl se pohybuje od cca 35 % (Peněžnictví a pojišťovnictví) až po téměř 76 % (Zdravotní a sociální péče).</w:t>
      </w:r>
      <w:r>
        <w:t xml:space="preserve"> </w:t>
      </w:r>
      <w:r>
        <w:t xml:space="preserve">Nejvyšší absolutní nárůst byl v odvětví Informační a komunikační činnosti (20 532,- Kč). </w:t>
      </w:r>
    </w:p>
    <w:p w14:paraId="35F962B0" w14:textId="77777777" w:rsidR="00C4119B" w:rsidRDefault="00C4119B" w:rsidP="00C4119B">
      <w:r>
        <w:t>Shrnutí:</w:t>
      </w:r>
    </w:p>
    <w:p w14:paraId="4CE915CD" w14:textId="4960D1F2" w:rsidR="00C4119B" w:rsidRDefault="00C4119B" w:rsidP="002E4C8F">
      <w:r>
        <w:t>Žádné odvětví nevykazuje pokles mzdy mezi roky 2006 a 2018.</w:t>
      </w:r>
      <w:r w:rsidR="002E4C8F">
        <w:t xml:space="preserve"> </w:t>
      </w:r>
      <w:r>
        <w:t>Mzdy rostly napříč všemi odvětvími, i když tempem, které se liší podle oboru.</w:t>
      </w:r>
      <w:r w:rsidR="002E4C8F">
        <w:t xml:space="preserve"> </w:t>
      </w:r>
      <w:r>
        <w:t>Vývoj naznačuje celkový pozitivní trend mezd v české ekonomice v tomto období.</w:t>
      </w:r>
    </w:p>
    <w:p w14:paraId="19D55173" w14:textId="77777777" w:rsidR="00C55E01" w:rsidRDefault="00C55E01" w:rsidP="00C55E01">
      <w:pPr>
        <w:pStyle w:val="ListParagraph"/>
        <w:ind w:left="426"/>
      </w:pPr>
    </w:p>
    <w:p w14:paraId="26ADEA72" w14:textId="2FE44025" w:rsidR="00850B86" w:rsidRPr="00932696" w:rsidRDefault="00850B86" w:rsidP="000E647B">
      <w:pPr>
        <w:pStyle w:val="ListParagraph"/>
        <w:numPr>
          <w:ilvl w:val="0"/>
          <w:numId w:val="8"/>
        </w:numPr>
        <w:ind w:left="426" w:hanging="426"/>
        <w:rPr>
          <w:b/>
          <w:bCs/>
        </w:rPr>
      </w:pPr>
      <w:r w:rsidRPr="00932696">
        <w:rPr>
          <w:b/>
          <w:bCs/>
        </w:rPr>
        <w:t>Kolik je možné si koupit litrů mléka a kilogramů chleba za první a poslední</w:t>
      </w:r>
      <w:r w:rsidR="000E647B" w:rsidRPr="00932696">
        <w:rPr>
          <w:b/>
          <w:bCs/>
        </w:rPr>
        <w:t xml:space="preserve"> </w:t>
      </w:r>
      <w:r w:rsidRPr="00932696">
        <w:rPr>
          <w:b/>
          <w:bCs/>
        </w:rPr>
        <w:t>srovnatelné období v dostupných datech cen a mezd?</w:t>
      </w:r>
    </w:p>
    <w:p w14:paraId="409D408E" w14:textId="77777777" w:rsidR="009570D5" w:rsidRDefault="00D665DA" w:rsidP="000E647B">
      <w:r>
        <w:t xml:space="preserve">Z </w:t>
      </w:r>
      <w:r w:rsidR="000629E1" w:rsidRPr="000629E1">
        <w:t>porovn</w:t>
      </w:r>
      <w:r>
        <w:t>ání</w:t>
      </w:r>
      <w:r w:rsidR="000629E1" w:rsidRPr="000629E1">
        <w:t xml:space="preserve"> kupní síl</w:t>
      </w:r>
      <w:r>
        <w:t>y</w:t>
      </w:r>
      <w:r w:rsidR="000629E1" w:rsidRPr="000629E1">
        <w:t xml:space="preserve"> průměrné mzdy v letech 2006 a 2018, je zřejmé, že si lidé mohli v roce 2018 za svou mzdu dovolit </w:t>
      </w:r>
      <w:r w:rsidR="000629E1" w:rsidRPr="000629E1">
        <w:rPr>
          <w:b/>
          <w:bCs/>
        </w:rPr>
        <w:t>více litrů mléka i kilogramů chleba</w:t>
      </w:r>
      <w:r w:rsidR="000629E1" w:rsidRPr="000629E1">
        <w:t xml:space="preserve"> než v roce 2006. </w:t>
      </w:r>
    </w:p>
    <w:p w14:paraId="18B0A056" w14:textId="77777777" w:rsidR="009570D5" w:rsidRDefault="000629E1" w:rsidP="000E647B">
      <w:r w:rsidRPr="000629E1">
        <w:t xml:space="preserve">U konzumního kmínového chleba vzrostla kupní síla z přibližně </w:t>
      </w:r>
      <w:r w:rsidRPr="000629E1">
        <w:rPr>
          <w:b/>
          <w:bCs/>
        </w:rPr>
        <w:t>1 262 kg</w:t>
      </w:r>
      <w:r w:rsidRPr="000629E1">
        <w:t xml:space="preserve"> na </w:t>
      </w:r>
      <w:r w:rsidRPr="000629E1">
        <w:rPr>
          <w:b/>
          <w:bCs/>
        </w:rPr>
        <w:t>1 319 kg</w:t>
      </w:r>
      <w:r w:rsidRPr="000629E1">
        <w:t xml:space="preserve">, u polotučného pasterovaného mléka z </w:t>
      </w:r>
      <w:r w:rsidRPr="000629E1">
        <w:rPr>
          <w:b/>
          <w:bCs/>
        </w:rPr>
        <w:t>1 409 litrů</w:t>
      </w:r>
      <w:r w:rsidRPr="000629E1">
        <w:t xml:space="preserve"> na </w:t>
      </w:r>
      <w:r w:rsidRPr="000629E1">
        <w:rPr>
          <w:b/>
          <w:bCs/>
        </w:rPr>
        <w:t>1 614 litrů</w:t>
      </w:r>
      <w:r w:rsidRPr="000629E1">
        <w:t xml:space="preserve">. </w:t>
      </w:r>
    </w:p>
    <w:p w14:paraId="7177AF22" w14:textId="77777777" w:rsidR="004C21C5" w:rsidRDefault="000629E1" w:rsidP="000E647B">
      <w:r w:rsidRPr="000629E1">
        <w:t>Ačkoliv došlo ke zdražení obou potravin (například cena chleba stoupla z 16,12</w:t>
      </w:r>
      <w:r w:rsidRPr="000629E1">
        <w:rPr>
          <w:rFonts w:ascii="Arial" w:hAnsi="Arial" w:cs="Arial"/>
        </w:rPr>
        <w:t> </w:t>
      </w:r>
      <w:r w:rsidRPr="000629E1">
        <w:t>K</w:t>
      </w:r>
      <w:r w:rsidRPr="000629E1">
        <w:rPr>
          <w:rFonts w:ascii="Aptos" w:hAnsi="Aptos" w:cs="Aptos"/>
        </w:rPr>
        <w:t>č</w:t>
      </w:r>
      <w:r w:rsidRPr="000629E1">
        <w:t xml:space="preserve"> na 24,24</w:t>
      </w:r>
      <w:r w:rsidRPr="000629E1">
        <w:rPr>
          <w:rFonts w:ascii="Arial" w:hAnsi="Arial" w:cs="Arial"/>
        </w:rPr>
        <w:t> </w:t>
      </w:r>
      <w:r w:rsidRPr="000629E1">
        <w:t>K</w:t>
      </w:r>
      <w:r w:rsidRPr="000629E1">
        <w:rPr>
          <w:rFonts w:ascii="Aptos" w:hAnsi="Aptos" w:cs="Aptos"/>
        </w:rPr>
        <w:t>č</w:t>
      </w:r>
      <w:r w:rsidRPr="000629E1">
        <w:t>), r</w:t>
      </w:r>
      <w:r w:rsidRPr="000629E1">
        <w:rPr>
          <w:rFonts w:ascii="Aptos" w:hAnsi="Aptos" w:cs="Aptos"/>
        </w:rPr>
        <w:t>ů</w:t>
      </w:r>
      <w:r w:rsidRPr="000629E1">
        <w:t>st pr</w:t>
      </w:r>
      <w:r w:rsidRPr="000629E1">
        <w:rPr>
          <w:rFonts w:ascii="Aptos" w:hAnsi="Aptos" w:cs="Aptos"/>
        </w:rPr>
        <w:t>ů</w:t>
      </w:r>
      <w:r w:rsidRPr="000629E1">
        <w:t>m</w:t>
      </w:r>
      <w:r w:rsidRPr="000629E1">
        <w:rPr>
          <w:rFonts w:ascii="Aptos" w:hAnsi="Aptos" w:cs="Aptos"/>
        </w:rPr>
        <w:t>ě</w:t>
      </w:r>
      <w:r w:rsidRPr="000629E1">
        <w:t>rn</w:t>
      </w:r>
      <w:r w:rsidRPr="000629E1">
        <w:rPr>
          <w:rFonts w:ascii="Aptos" w:hAnsi="Aptos" w:cs="Aptos"/>
        </w:rPr>
        <w:t>é</w:t>
      </w:r>
      <w:r w:rsidRPr="000629E1">
        <w:t xml:space="preserve"> mzdy byl natolik v</w:t>
      </w:r>
      <w:r w:rsidRPr="000629E1">
        <w:rPr>
          <w:rFonts w:ascii="Aptos" w:hAnsi="Aptos" w:cs="Aptos"/>
        </w:rPr>
        <w:t>ý</w:t>
      </w:r>
      <w:r w:rsidRPr="000629E1">
        <w:t>razn</w:t>
      </w:r>
      <w:r w:rsidRPr="000629E1">
        <w:rPr>
          <w:rFonts w:ascii="Aptos" w:hAnsi="Aptos" w:cs="Aptos"/>
        </w:rPr>
        <w:t>ý</w:t>
      </w:r>
      <w:r w:rsidRPr="000629E1">
        <w:t xml:space="preserve">, </w:t>
      </w:r>
      <w:r w:rsidRPr="000629E1">
        <w:rPr>
          <w:rFonts w:ascii="Aptos" w:hAnsi="Aptos" w:cs="Aptos"/>
        </w:rPr>
        <w:t>ž</w:t>
      </w:r>
      <w:r w:rsidRPr="000629E1">
        <w:t>e p</w:t>
      </w:r>
      <w:r w:rsidRPr="000629E1">
        <w:rPr>
          <w:rFonts w:ascii="Aptos" w:hAnsi="Aptos" w:cs="Aptos"/>
        </w:rPr>
        <w:t>ř</w:t>
      </w:r>
      <w:r w:rsidRPr="000629E1">
        <w:t>ev</w:t>
      </w:r>
      <w:r w:rsidRPr="000629E1">
        <w:rPr>
          <w:rFonts w:ascii="Aptos" w:hAnsi="Aptos" w:cs="Aptos"/>
        </w:rPr>
        <w:t>áž</w:t>
      </w:r>
      <w:r w:rsidRPr="000629E1">
        <w:t>il i rostouc</w:t>
      </w:r>
      <w:r w:rsidRPr="000629E1">
        <w:rPr>
          <w:rFonts w:ascii="Aptos" w:hAnsi="Aptos" w:cs="Aptos"/>
        </w:rPr>
        <w:t>í</w:t>
      </w:r>
      <w:r w:rsidRPr="000629E1">
        <w:t xml:space="preserve"> ceny. </w:t>
      </w:r>
    </w:p>
    <w:p w14:paraId="1311A1A5" w14:textId="498AEB74" w:rsidR="00A232C9" w:rsidRDefault="000629E1" w:rsidP="000E647B">
      <w:r w:rsidRPr="000629E1">
        <w:rPr>
          <w:b/>
          <w:bCs/>
        </w:rPr>
        <w:t>Výsledkem je reálné zlepšení kupní síly</w:t>
      </w:r>
      <w:r w:rsidRPr="000629E1">
        <w:t xml:space="preserve"> v těchto dvou základních položkách spotřebního koše.</w:t>
      </w:r>
    </w:p>
    <w:p w14:paraId="63F382A1" w14:textId="6C485D6C" w:rsidR="00A232C9" w:rsidRPr="00773FF6" w:rsidRDefault="00850B86" w:rsidP="00A232C9">
      <w:pPr>
        <w:pStyle w:val="ListParagraph"/>
        <w:numPr>
          <w:ilvl w:val="0"/>
          <w:numId w:val="8"/>
        </w:numPr>
        <w:ind w:left="426" w:hanging="426"/>
        <w:rPr>
          <w:b/>
          <w:bCs/>
        </w:rPr>
      </w:pPr>
      <w:r w:rsidRPr="00773FF6">
        <w:rPr>
          <w:b/>
          <w:bCs/>
        </w:rPr>
        <w:t xml:space="preserve">Která kategorie potravin zdražuje nejpomaleji (je u ní nejnižší </w:t>
      </w:r>
      <w:proofErr w:type="spellStart"/>
      <w:r w:rsidRPr="00773FF6">
        <w:rPr>
          <w:b/>
          <w:bCs/>
        </w:rPr>
        <w:t>percentuální</w:t>
      </w:r>
      <w:proofErr w:type="spellEnd"/>
      <w:r w:rsidRPr="00773FF6">
        <w:rPr>
          <w:b/>
          <w:bCs/>
        </w:rPr>
        <w:t xml:space="preserve"> meziroční nárůst)?</w:t>
      </w:r>
    </w:p>
    <w:p w14:paraId="57AC07A8" w14:textId="0B1BC3EA" w:rsidR="0096317D" w:rsidRDefault="000C6146" w:rsidP="0096317D">
      <w:r>
        <w:t>Na základě porovnání výchozího (</w:t>
      </w:r>
      <w:r w:rsidR="0096317D">
        <w:t>2006</w:t>
      </w:r>
      <w:r>
        <w:t>)</w:t>
      </w:r>
      <w:r w:rsidR="0096317D">
        <w:t xml:space="preserve"> a </w:t>
      </w:r>
      <w:r w:rsidR="000566EF">
        <w:t>posledního (</w:t>
      </w:r>
      <w:r w:rsidR="0096317D">
        <w:t>2018</w:t>
      </w:r>
      <w:r w:rsidR="000566EF">
        <w:t>) roku</w:t>
      </w:r>
      <w:r w:rsidR="0096317D">
        <w:t xml:space="preserve"> zlevňovaly následující kategorie:</w:t>
      </w:r>
    </w:p>
    <w:p w14:paraId="2D7224FA" w14:textId="77777777" w:rsidR="000566EF" w:rsidRDefault="0096317D" w:rsidP="000566EF">
      <w:pPr>
        <w:pStyle w:val="ListParagraph"/>
        <w:numPr>
          <w:ilvl w:val="0"/>
          <w:numId w:val="13"/>
        </w:numPr>
      </w:pPr>
      <w:r>
        <w:t>Cukr krystalový</w:t>
      </w:r>
      <w:r w:rsidR="003F612C">
        <w:t xml:space="preserve">: </w:t>
      </w:r>
      <w:r>
        <w:t>Cena klesla z 21,73 Kč na 15,75 Kč (Změna: −5,98 Kč, Procentuální rozdíl: −27,52 %)</w:t>
      </w:r>
    </w:p>
    <w:p w14:paraId="3F7D6419" w14:textId="56704E21" w:rsidR="0096317D" w:rsidRDefault="0096317D" w:rsidP="000566EF">
      <w:pPr>
        <w:pStyle w:val="ListParagraph"/>
        <w:numPr>
          <w:ilvl w:val="0"/>
          <w:numId w:val="13"/>
        </w:numPr>
      </w:pPr>
      <w:r>
        <w:t>Rajská jablka červená kulatá</w:t>
      </w:r>
      <w:r w:rsidR="003F612C">
        <w:t xml:space="preserve">: </w:t>
      </w:r>
      <w:r>
        <w:t>Cena klesla z 57,83 Kč na 44,49 Kč (Změna: −13,34 Kč, Procentuální rozdíl: −23,07 %</w:t>
      </w:r>
    </w:p>
    <w:p w14:paraId="4875F743" w14:textId="77777777" w:rsidR="0096317D" w:rsidRDefault="0096317D" w:rsidP="0096317D">
      <w:r>
        <w:t>Obě tyto kategorie vykázaly pokles cen, což je výjimečné v kontextu ostatních potravin, které většinou zdražovaly. Cukr krystalový je tedy potravinou, která nejen že nezdražila, ale výrazně zlevnila – a to o více než čtvrtinu.</w:t>
      </w:r>
    </w:p>
    <w:p w14:paraId="04311152" w14:textId="77777777" w:rsidR="002940BE" w:rsidRDefault="002940BE" w:rsidP="0096317D"/>
    <w:p w14:paraId="1C5EE316" w14:textId="71CA97DE" w:rsidR="0096317D" w:rsidRDefault="0096317D" w:rsidP="0096317D">
      <w:r>
        <w:lastRenderedPageBreak/>
        <w:t>Nejpomaleji zdražovala kategorie:</w:t>
      </w:r>
    </w:p>
    <w:p w14:paraId="7ED43A18" w14:textId="7F3A7843" w:rsidR="0096317D" w:rsidRDefault="0096317D" w:rsidP="0096317D">
      <w:r>
        <w:t>Banány žluté, kdy cena proti výchozímu roku (2006) vzrostla z 27,30 Kč na 29,32 Kč (Změna: 2,02 Kč, Procentuální rozdíl: 7,4 %).</w:t>
      </w:r>
    </w:p>
    <w:p w14:paraId="405A80D0" w14:textId="77777777" w:rsidR="00850B86" w:rsidRPr="00932696" w:rsidRDefault="00850B86" w:rsidP="004C06A6">
      <w:pPr>
        <w:pStyle w:val="ListParagraph"/>
        <w:numPr>
          <w:ilvl w:val="0"/>
          <w:numId w:val="8"/>
        </w:numPr>
        <w:ind w:left="426" w:hanging="426"/>
        <w:rPr>
          <w:b/>
          <w:bCs/>
        </w:rPr>
      </w:pPr>
      <w:r w:rsidRPr="00932696">
        <w:rPr>
          <w:b/>
          <w:bCs/>
        </w:rPr>
        <w:t>Existuje rok, ve kterém byl meziroční nárůst cen potravin výrazně vyšší než růst mezd (větší než 10 %)?</w:t>
      </w:r>
    </w:p>
    <w:p w14:paraId="19352B99" w14:textId="00321DB0" w:rsidR="00A232C9" w:rsidRDefault="00CC09A6" w:rsidP="00CC09A6">
      <w:r>
        <w:t xml:space="preserve">Ve sledovaném období 2006–2018 </w:t>
      </w:r>
      <w:r w:rsidRPr="00932696">
        <w:rPr>
          <w:b/>
          <w:bCs/>
        </w:rPr>
        <w:t>nebyl zaznamenán žádný rok</w:t>
      </w:r>
      <w:r>
        <w:t>, kdy by meziroční růst</w:t>
      </w:r>
      <w:r>
        <w:t xml:space="preserve"> </w:t>
      </w:r>
      <w:r>
        <w:t xml:space="preserve">cen potravin převýšil růst mezd o více než </w:t>
      </w:r>
      <w:proofErr w:type="gramStart"/>
      <w:r>
        <w:t>10 procentních</w:t>
      </w:r>
      <w:proofErr w:type="gramEnd"/>
      <w:r>
        <w:t xml:space="preserve"> bodů.</w:t>
      </w:r>
      <w:r>
        <w:t xml:space="preserve"> </w:t>
      </w:r>
      <w:r>
        <w:t>Největší zaznamenaný rozdíl byl naopak v roce 2009, kdy ceny potravin klesly, zatímco mzdy stále rostly.</w:t>
      </w:r>
    </w:p>
    <w:p w14:paraId="086F97DE" w14:textId="6B0C7BCF" w:rsidR="00850B86" w:rsidRPr="00213623" w:rsidRDefault="00850B86" w:rsidP="004C06A6">
      <w:pPr>
        <w:pStyle w:val="ListParagraph"/>
        <w:numPr>
          <w:ilvl w:val="0"/>
          <w:numId w:val="8"/>
        </w:numPr>
        <w:ind w:left="426" w:hanging="426"/>
        <w:rPr>
          <w:b/>
          <w:bCs/>
        </w:rPr>
      </w:pPr>
      <w:r w:rsidRPr="00213623">
        <w:rPr>
          <w:b/>
          <w:bCs/>
        </w:rPr>
        <w:t>Má výška HDP vliv na změny ve mzdách a cenách potravin? Neboli, pokud HDP vzroste výrazněji v jednom roce, projeví se to na cenách potravin či mzdách ve stejném nebo následujícím roce výraznějším růstem?</w:t>
      </w:r>
    </w:p>
    <w:p w14:paraId="7E499949" w14:textId="4A697E5A" w:rsidR="00213623" w:rsidRDefault="00213623" w:rsidP="00213623">
      <w:r>
        <w:t>Na základě dat za roky 2006 až 2018 lze říct, že mezi růstem HDP a změnami mezd či cen potravin existuje určitá souvislost, ale rozhodně nejde o přímou nebo jednoznačně kauzální vazbu.</w:t>
      </w:r>
    </w:p>
    <w:p w14:paraId="22253F64" w14:textId="5E7BDF05" w:rsidR="00213623" w:rsidRDefault="00213623" w:rsidP="00213623">
      <w:r>
        <w:t>V některých letech, kdy HDP rostlo výrazněji — například v letech 2007 (5,57 %), 2015 (5,39 %) nebo 2017 (5,17 %) — došlo současně i k růstu mezd (např. 6,79 %, 2,42 %, resp. 6,40 %) a někdy také cen potravin (zejména v roce 2017, kdy ceny potravin vzrostly téměř o 10 %). To naznačuje, že výrazný růst ekonomiky se může promítnout do vyšších mezd a v některých případech i do zdražování potravin.</w:t>
      </w:r>
    </w:p>
    <w:p w14:paraId="636DF28B" w14:textId="264B0A47" w:rsidR="00213623" w:rsidRDefault="00213623" w:rsidP="00213623">
      <w:r>
        <w:t>Nicméně jsou i případy, kdy tato souvislost neplatí. Například:</w:t>
      </w:r>
    </w:p>
    <w:p w14:paraId="45B8D847" w14:textId="3DCD0426" w:rsidR="00213623" w:rsidRDefault="00213623" w:rsidP="00213623">
      <w:pPr>
        <w:pStyle w:val="ListParagraph"/>
        <w:numPr>
          <w:ilvl w:val="0"/>
          <w:numId w:val="11"/>
        </w:numPr>
      </w:pPr>
      <w:r>
        <w:t>V roce 2010 HDP vzrostl o 2,43 %, ale růst mezd i cen byl jen mírný (2 % a 1,76 %).</w:t>
      </w:r>
    </w:p>
    <w:p w14:paraId="4E5EE7CE" w14:textId="328B3CEB" w:rsidR="00213623" w:rsidRDefault="00213623" w:rsidP="00213623">
      <w:pPr>
        <w:pStyle w:val="ListParagraph"/>
        <w:numPr>
          <w:ilvl w:val="0"/>
          <w:numId w:val="11"/>
        </w:numPr>
      </w:pPr>
      <w:r>
        <w:t>V roce 2012 HDP poklesl o 0,79 %, ale mzdy i ceny přesto vzrostly (3,14 % a 6,94 %).</w:t>
      </w:r>
    </w:p>
    <w:p w14:paraId="6AF6838A" w14:textId="36903CC1" w:rsidR="00213623" w:rsidRDefault="00213623" w:rsidP="00213623">
      <w:pPr>
        <w:pStyle w:val="ListParagraph"/>
        <w:numPr>
          <w:ilvl w:val="0"/>
          <w:numId w:val="11"/>
        </w:numPr>
      </w:pPr>
      <w:r>
        <w:t>V roce 2013 byl HDP téměř stagnující (-0,05 %), mzdy klesly (-1,56 %), ale ceny potravin opět vzrostly (5,55 %)</w:t>
      </w:r>
    </w:p>
    <w:p w14:paraId="2DC1222A" w14:textId="3CA38C63" w:rsidR="00213623" w:rsidRDefault="00213623" w:rsidP="00213623">
      <w:r>
        <w:t>Z toho vyplývá, že:</w:t>
      </w:r>
    </w:p>
    <w:p w14:paraId="2885DC29" w14:textId="0E665C22" w:rsidR="00213623" w:rsidRDefault="00213623" w:rsidP="00213623">
      <w:pPr>
        <w:pStyle w:val="ListParagraph"/>
        <w:numPr>
          <w:ilvl w:val="0"/>
          <w:numId w:val="12"/>
        </w:numPr>
      </w:pPr>
      <w:r>
        <w:t>Mzdy mají tendenci reagovat na růst HDP, často i ve stejném roce, ale vliv není stoprocentní.</w:t>
      </w:r>
    </w:p>
    <w:p w14:paraId="0B1DE1EA" w14:textId="07B08884" w:rsidR="00213623" w:rsidRDefault="00213623" w:rsidP="00213623">
      <w:pPr>
        <w:pStyle w:val="ListParagraph"/>
        <w:numPr>
          <w:ilvl w:val="0"/>
          <w:numId w:val="12"/>
        </w:numPr>
      </w:pPr>
      <w:r>
        <w:t>Ceny potravin se chovají méně předvídatelně – mohou růst i v letech s poklesem HDP, pravděpodobně kvůli jiným vlivům (např. světové ceny potravin, inflace, sezónnost).</w:t>
      </w:r>
    </w:p>
    <w:p w14:paraId="14707220" w14:textId="77777777" w:rsidR="00213623" w:rsidRDefault="00213623" w:rsidP="00213623">
      <w:r>
        <w:t>Závěr:</w:t>
      </w:r>
    </w:p>
    <w:p w14:paraId="05DC7520" w14:textId="38D6FE3B" w:rsidR="00850B86" w:rsidRDefault="00213623" w:rsidP="00213623">
      <w:r>
        <w:t>Vyšší růst HDP může podpořit růst mezd a někdy i cen potravin, ale není zaručeno, že se tento efekt projeví vždy, a už vůbec ne konzistentně ve stejném nebo následujícím roce. Na vývoj mezd i cen má vliv více faktorů, nejen samotný výkon ekonomiky.</w:t>
      </w:r>
    </w:p>
    <w:sectPr w:rsidR="00850B86" w:rsidSect="00440D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91197"/>
    <w:multiLevelType w:val="multilevel"/>
    <w:tmpl w:val="F1503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5004CA"/>
    <w:multiLevelType w:val="hybridMultilevel"/>
    <w:tmpl w:val="9D6237C2"/>
    <w:lvl w:ilvl="0" w:tplc="5EEE4D5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BB5336"/>
    <w:multiLevelType w:val="hybridMultilevel"/>
    <w:tmpl w:val="ED3CA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2A69F5"/>
    <w:multiLevelType w:val="hybridMultilevel"/>
    <w:tmpl w:val="934416B4"/>
    <w:lvl w:ilvl="0" w:tplc="9062A88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31607B"/>
    <w:multiLevelType w:val="hybridMultilevel"/>
    <w:tmpl w:val="4E6A9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0D6386"/>
    <w:multiLevelType w:val="hybridMultilevel"/>
    <w:tmpl w:val="AD2E5876"/>
    <w:lvl w:ilvl="0" w:tplc="9062A88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E72D3B"/>
    <w:multiLevelType w:val="hybridMultilevel"/>
    <w:tmpl w:val="ED546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BA2E7F"/>
    <w:multiLevelType w:val="hybridMultilevel"/>
    <w:tmpl w:val="5FA2651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CFF39F6"/>
    <w:multiLevelType w:val="hybridMultilevel"/>
    <w:tmpl w:val="A7DC4C2C"/>
    <w:lvl w:ilvl="0" w:tplc="9062A88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D37C0A"/>
    <w:multiLevelType w:val="multilevel"/>
    <w:tmpl w:val="E16A2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C76E34"/>
    <w:multiLevelType w:val="multilevel"/>
    <w:tmpl w:val="27FE9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A824CD"/>
    <w:multiLevelType w:val="hybridMultilevel"/>
    <w:tmpl w:val="14488DC2"/>
    <w:lvl w:ilvl="0" w:tplc="9062A88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9619A5"/>
    <w:multiLevelType w:val="hybridMultilevel"/>
    <w:tmpl w:val="21F4D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6579612">
    <w:abstractNumId w:val="9"/>
  </w:num>
  <w:num w:numId="2" w16cid:durableId="1034236619">
    <w:abstractNumId w:val="0"/>
  </w:num>
  <w:num w:numId="3" w16cid:durableId="671416519">
    <w:abstractNumId w:val="10"/>
  </w:num>
  <w:num w:numId="4" w16cid:durableId="616302208">
    <w:abstractNumId w:val="2"/>
  </w:num>
  <w:num w:numId="5" w16cid:durableId="721905732">
    <w:abstractNumId w:val="6"/>
  </w:num>
  <w:num w:numId="6" w16cid:durableId="231742019">
    <w:abstractNumId w:val="4"/>
  </w:num>
  <w:num w:numId="7" w16cid:durableId="1211572522">
    <w:abstractNumId w:val="12"/>
  </w:num>
  <w:num w:numId="8" w16cid:durableId="2061249926">
    <w:abstractNumId w:val="7"/>
  </w:num>
  <w:num w:numId="9" w16cid:durableId="409237683">
    <w:abstractNumId w:val="1"/>
  </w:num>
  <w:num w:numId="10" w16cid:durableId="99380616">
    <w:abstractNumId w:val="3"/>
  </w:num>
  <w:num w:numId="11" w16cid:durableId="799108943">
    <w:abstractNumId w:val="11"/>
  </w:num>
  <w:num w:numId="12" w16cid:durableId="446125149">
    <w:abstractNumId w:val="8"/>
  </w:num>
  <w:num w:numId="13" w16cid:durableId="16568355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B86"/>
    <w:rsid w:val="000566EF"/>
    <w:rsid w:val="000629E1"/>
    <w:rsid w:val="000C6146"/>
    <w:rsid w:val="000E647B"/>
    <w:rsid w:val="00213623"/>
    <w:rsid w:val="002940BE"/>
    <w:rsid w:val="002B6336"/>
    <w:rsid w:val="002D1A97"/>
    <w:rsid w:val="002E4C8F"/>
    <w:rsid w:val="00307C61"/>
    <w:rsid w:val="003F612C"/>
    <w:rsid w:val="00440D07"/>
    <w:rsid w:val="004C06A6"/>
    <w:rsid w:val="004C21C5"/>
    <w:rsid w:val="00513899"/>
    <w:rsid w:val="006D3E46"/>
    <w:rsid w:val="00724A2D"/>
    <w:rsid w:val="00747A8B"/>
    <w:rsid w:val="00756CF2"/>
    <w:rsid w:val="00773FF6"/>
    <w:rsid w:val="00807CFB"/>
    <w:rsid w:val="00850B86"/>
    <w:rsid w:val="00870393"/>
    <w:rsid w:val="00932696"/>
    <w:rsid w:val="009410EA"/>
    <w:rsid w:val="009570D5"/>
    <w:rsid w:val="0096317D"/>
    <w:rsid w:val="00A232C9"/>
    <w:rsid w:val="00A6383A"/>
    <w:rsid w:val="00C4119B"/>
    <w:rsid w:val="00C55E01"/>
    <w:rsid w:val="00CC09A6"/>
    <w:rsid w:val="00D57F6E"/>
    <w:rsid w:val="00D665DA"/>
    <w:rsid w:val="00EA7F28"/>
    <w:rsid w:val="00F559A8"/>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66567"/>
  <w15:chartTrackingRefBased/>
  <w15:docId w15:val="{4CECABF2-E562-481E-8E96-8AFF88ECC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s-CZ"/>
    </w:rPr>
  </w:style>
  <w:style w:type="paragraph" w:styleId="Heading1">
    <w:name w:val="heading 1"/>
    <w:basedOn w:val="Normal"/>
    <w:next w:val="Normal"/>
    <w:link w:val="Heading1Char"/>
    <w:uiPriority w:val="9"/>
    <w:qFormat/>
    <w:rsid w:val="00850B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0B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50B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0B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0B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0B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0B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0B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0B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B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0B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50B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0B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0B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0B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0B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0B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0B86"/>
    <w:rPr>
      <w:rFonts w:eastAsiaTheme="majorEastAsia" w:cstheme="majorBidi"/>
      <w:color w:val="272727" w:themeColor="text1" w:themeTint="D8"/>
    </w:rPr>
  </w:style>
  <w:style w:type="paragraph" w:styleId="Title">
    <w:name w:val="Title"/>
    <w:basedOn w:val="Normal"/>
    <w:next w:val="Normal"/>
    <w:link w:val="TitleChar"/>
    <w:uiPriority w:val="10"/>
    <w:qFormat/>
    <w:rsid w:val="00850B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0B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0B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0B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0B86"/>
    <w:pPr>
      <w:spacing w:before="160"/>
      <w:jc w:val="center"/>
    </w:pPr>
    <w:rPr>
      <w:i/>
      <w:iCs/>
      <w:color w:val="404040" w:themeColor="text1" w:themeTint="BF"/>
    </w:rPr>
  </w:style>
  <w:style w:type="character" w:customStyle="1" w:styleId="QuoteChar">
    <w:name w:val="Quote Char"/>
    <w:basedOn w:val="DefaultParagraphFont"/>
    <w:link w:val="Quote"/>
    <w:uiPriority w:val="29"/>
    <w:rsid w:val="00850B86"/>
    <w:rPr>
      <w:i/>
      <w:iCs/>
      <w:color w:val="404040" w:themeColor="text1" w:themeTint="BF"/>
    </w:rPr>
  </w:style>
  <w:style w:type="paragraph" w:styleId="ListParagraph">
    <w:name w:val="List Paragraph"/>
    <w:basedOn w:val="Normal"/>
    <w:uiPriority w:val="34"/>
    <w:qFormat/>
    <w:rsid w:val="00850B86"/>
    <w:pPr>
      <w:ind w:left="720"/>
      <w:contextualSpacing/>
    </w:pPr>
  </w:style>
  <w:style w:type="character" w:styleId="IntenseEmphasis">
    <w:name w:val="Intense Emphasis"/>
    <w:basedOn w:val="DefaultParagraphFont"/>
    <w:uiPriority w:val="21"/>
    <w:qFormat/>
    <w:rsid w:val="00850B86"/>
    <w:rPr>
      <w:i/>
      <w:iCs/>
      <w:color w:val="0F4761" w:themeColor="accent1" w:themeShade="BF"/>
    </w:rPr>
  </w:style>
  <w:style w:type="paragraph" w:styleId="IntenseQuote">
    <w:name w:val="Intense Quote"/>
    <w:basedOn w:val="Normal"/>
    <w:next w:val="Normal"/>
    <w:link w:val="IntenseQuoteChar"/>
    <w:uiPriority w:val="30"/>
    <w:qFormat/>
    <w:rsid w:val="00850B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0B86"/>
    <w:rPr>
      <w:i/>
      <w:iCs/>
      <w:color w:val="0F4761" w:themeColor="accent1" w:themeShade="BF"/>
    </w:rPr>
  </w:style>
  <w:style w:type="character" w:styleId="IntenseReference">
    <w:name w:val="Intense Reference"/>
    <w:basedOn w:val="DefaultParagraphFont"/>
    <w:uiPriority w:val="32"/>
    <w:qFormat/>
    <w:rsid w:val="00850B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630125">
      <w:bodyDiv w:val="1"/>
      <w:marLeft w:val="0"/>
      <w:marRight w:val="0"/>
      <w:marTop w:val="0"/>
      <w:marBottom w:val="0"/>
      <w:divBdr>
        <w:top w:val="none" w:sz="0" w:space="0" w:color="auto"/>
        <w:left w:val="none" w:sz="0" w:space="0" w:color="auto"/>
        <w:bottom w:val="none" w:sz="0" w:space="0" w:color="auto"/>
        <w:right w:val="none" w:sz="0" w:space="0" w:color="auto"/>
      </w:divBdr>
    </w:div>
    <w:div w:id="116414099">
      <w:bodyDiv w:val="1"/>
      <w:marLeft w:val="0"/>
      <w:marRight w:val="0"/>
      <w:marTop w:val="0"/>
      <w:marBottom w:val="0"/>
      <w:divBdr>
        <w:top w:val="none" w:sz="0" w:space="0" w:color="auto"/>
        <w:left w:val="none" w:sz="0" w:space="0" w:color="auto"/>
        <w:bottom w:val="none" w:sz="0" w:space="0" w:color="auto"/>
        <w:right w:val="none" w:sz="0" w:space="0" w:color="auto"/>
      </w:divBdr>
    </w:div>
    <w:div w:id="138301763">
      <w:bodyDiv w:val="1"/>
      <w:marLeft w:val="0"/>
      <w:marRight w:val="0"/>
      <w:marTop w:val="0"/>
      <w:marBottom w:val="0"/>
      <w:divBdr>
        <w:top w:val="none" w:sz="0" w:space="0" w:color="auto"/>
        <w:left w:val="none" w:sz="0" w:space="0" w:color="auto"/>
        <w:bottom w:val="none" w:sz="0" w:space="0" w:color="auto"/>
        <w:right w:val="none" w:sz="0" w:space="0" w:color="auto"/>
      </w:divBdr>
    </w:div>
    <w:div w:id="151139169">
      <w:bodyDiv w:val="1"/>
      <w:marLeft w:val="0"/>
      <w:marRight w:val="0"/>
      <w:marTop w:val="0"/>
      <w:marBottom w:val="0"/>
      <w:divBdr>
        <w:top w:val="none" w:sz="0" w:space="0" w:color="auto"/>
        <w:left w:val="none" w:sz="0" w:space="0" w:color="auto"/>
        <w:bottom w:val="none" w:sz="0" w:space="0" w:color="auto"/>
        <w:right w:val="none" w:sz="0" w:space="0" w:color="auto"/>
      </w:divBdr>
    </w:div>
    <w:div w:id="369887713">
      <w:bodyDiv w:val="1"/>
      <w:marLeft w:val="0"/>
      <w:marRight w:val="0"/>
      <w:marTop w:val="0"/>
      <w:marBottom w:val="0"/>
      <w:divBdr>
        <w:top w:val="none" w:sz="0" w:space="0" w:color="auto"/>
        <w:left w:val="none" w:sz="0" w:space="0" w:color="auto"/>
        <w:bottom w:val="none" w:sz="0" w:space="0" w:color="auto"/>
        <w:right w:val="none" w:sz="0" w:space="0" w:color="auto"/>
      </w:divBdr>
    </w:div>
    <w:div w:id="373114953">
      <w:bodyDiv w:val="1"/>
      <w:marLeft w:val="0"/>
      <w:marRight w:val="0"/>
      <w:marTop w:val="0"/>
      <w:marBottom w:val="0"/>
      <w:divBdr>
        <w:top w:val="none" w:sz="0" w:space="0" w:color="auto"/>
        <w:left w:val="none" w:sz="0" w:space="0" w:color="auto"/>
        <w:bottom w:val="none" w:sz="0" w:space="0" w:color="auto"/>
        <w:right w:val="none" w:sz="0" w:space="0" w:color="auto"/>
      </w:divBdr>
    </w:div>
    <w:div w:id="390925912">
      <w:bodyDiv w:val="1"/>
      <w:marLeft w:val="0"/>
      <w:marRight w:val="0"/>
      <w:marTop w:val="0"/>
      <w:marBottom w:val="0"/>
      <w:divBdr>
        <w:top w:val="none" w:sz="0" w:space="0" w:color="auto"/>
        <w:left w:val="none" w:sz="0" w:space="0" w:color="auto"/>
        <w:bottom w:val="none" w:sz="0" w:space="0" w:color="auto"/>
        <w:right w:val="none" w:sz="0" w:space="0" w:color="auto"/>
      </w:divBdr>
      <w:divsChild>
        <w:div w:id="1470711143">
          <w:marLeft w:val="0"/>
          <w:marRight w:val="0"/>
          <w:marTop w:val="0"/>
          <w:marBottom w:val="0"/>
          <w:divBdr>
            <w:top w:val="none" w:sz="0" w:space="0" w:color="auto"/>
            <w:left w:val="none" w:sz="0" w:space="0" w:color="auto"/>
            <w:bottom w:val="none" w:sz="0" w:space="0" w:color="auto"/>
            <w:right w:val="none" w:sz="0" w:space="0" w:color="auto"/>
          </w:divBdr>
          <w:divsChild>
            <w:div w:id="26319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145">
      <w:bodyDiv w:val="1"/>
      <w:marLeft w:val="0"/>
      <w:marRight w:val="0"/>
      <w:marTop w:val="0"/>
      <w:marBottom w:val="0"/>
      <w:divBdr>
        <w:top w:val="none" w:sz="0" w:space="0" w:color="auto"/>
        <w:left w:val="none" w:sz="0" w:space="0" w:color="auto"/>
        <w:bottom w:val="none" w:sz="0" w:space="0" w:color="auto"/>
        <w:right w:val="none" w:sz="0" w:space="0" w:color="auto"/>
      </w:divBdr>
    </w:div>
    <w:div w:id="525411302">
      <w:bodyDiv w:val="1"/>
      <w:marLeft w:val="0"/>
      <w:marRight w:val="0"/>
      <w:marTop w:val="0"/>
      <w:marBottom w:val="0"/>
      <w:divBdr>
        <w:top w:val="none" w:sz="0" w:space="0" w:color="auto"/>
        <w:left w:val="none" w:sz="0" w:space="0" w:color="auto"/>
        <w:bottom w:val="none" w:sz="0" w:space="0" w:color="auto"/>
        <w:right w:val="none" w:sz="0" w:space="0" w:color="auto"/>
      </w:divBdr>
    </w:div>
    <w:div w:id="853301556">
      <w:bodyDiv w:val="1"/>
      <w:marLeft w:val="0"/>
      <w:marRight w:val="0"/>
      <w:marTop w:val="0"/>
      <w:marBottom w:val="0"/>
      <w:divBdr>
        <w:top w:val="none" w:sz="0" w:space="0" w:color="auto"/>
        <w:left w:val="none" w:sz="0" w:space="0" w:color="auto"/>
        <w:bottom w:val="none" w:sz="0" w:space="0" w:color="auto"/>
        <w:right w:val="none" w:sz="0" w:space="0" w:color="auto"/>
      </w:divBdr>
    </w:div>
    <w:div w:id="964701090">
      <w:bodyDiv w:val="1"/>
      <w:marLeft w:val="0"/>
      <w:marRight w:val="0"/>
      <w:marTop w:val="0"/>
      <w:marBottom w:val="0"/>
      <w:divBdr>
        <w:top w:val="none" w:sz="0" w:space="0" w:color="auto"/>
        <w:left w:val="none" w:sz="0" w:space="0" w:color="auto"/>
        <w:bottom w:val="none" w:sz="0" w:space="0" w:color="auto"/>
        <w:right w:val="none" w:sz="0" w:space="0" w:color="auto"/>
      </w:divBdr>
    </w:div>
    <w:div w:id="999894091">
      <w:bodyDiv w:val="1"/>
      <w:marLeft w:val="0"/>
      <w:marRight w:val="0"/>
      <w:marTop w:val="0"/>
      <w:marBottom w:val="0"/>
      <w:divBdr>
        <w:top w:val="none" w:sz="0" w:space="0" w:color="auto"/>
        <w:left w:val="none" w:sz="0" w:space="0" w:color="auto"/>
        <w:bottom w:val="none" w:sz="0" w:space="0" w:color="auto"/>
        <w:right w:val="none" w:sz="0" w:space="0" w:color="auto"/>
      </w:divBdr>
    </w:div>
    <w:div w:id="1135677139">
      <w:bodyDiv w:val="1"/>
      <w:marLeft w:val="0"/>
      <w:marRight w:val="0"/>
      <w:marTop w:val="0"/>
      <w:marBottom w:val="0"/>
      <w:divBdr>
        <w:top w:val="none" w:sz="0" w:space="0" w:color="auto"/>
        <w:left w:val="none" w:sz="0" w:space="0" w:color="auto"/>
        <w:bottom w:val="none" w:sz="0" w:space="0" w:color="auto"/>
        <w:right w:val="none" w:sz="0" w:space="0" w:color="auto"/>
      </w:divBdr>
    </w:div>
    <w:div w:id="1146583040">
      <w:bodyDiv w:val="1"/>
      <w:marLeft w:val="0"/>
      <w:marRight w:val="0"/>
      <w:marTop w:val="0"/>
      <w:marBottom w:val="0"/>
      <w:divBdr>
        <w:top w:val="none" w:sz="0" w:space="0" w:color="auto"/>
        <w:left w:val="none" w:sz="0" w:space="0" w:color="auto"/>
        <w:bottom w:val="none" w:sz="0" w:space="0" w:color="auto"/>
        <w:right w:val="none" w:sz="0" w:space="0" w:color="auto"/>
      </w:divBdr>
    </w:div>
    <w:div w:id="1190096981">
      <w:bodyDiv w:val="1"/>
      <w:marLeft w:val="0"/>
      <w:marRight w:val="0"/>
      <w:marTop w:val="0"/>
      <w:marBottom w:val="0"/>
      <w:divBdr>
        <w:top w:val="none" w:sz="0" w:space="0" w:color="auto"/>
        <w:left w:val="none" w:sz="0" w:space="0" w:color="auto"/>
        <w:bottom w:val="none" w:sz="0" w:space="0" w:color="auto"/>
        <w:right w:val="none" w:sz="0" w:space="0" w:color="auto"/>
      </w:divBdr>
      <w:divsChild>
        <w:div w:id="1269587069">
          <w:marLeft w:val="0"/>
          <w:marRight w:val="0"/>
          <w:marTop w:val="0"/>
          <w:marBottom w:val="0"/>
          <w:divBdr>
            <w:top w:val="none" w:sz="0" w:space="0" w:color="auto"/>
            <w:left w:val="none" w:sz="0" w:space="0" w:color="auto"/>
            <w:bottom w:val="none" w:sz="0" w:space="0" w:color="auto"/>
            <w:right w:val="none" w:sz="0" w:space="0" w:color="auto"/>
          </w:divBdr>
          <w:divsChild>
            <w:div w:id="166693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56535">
      <w:bodyDiv w:val="1"/>
      <w:marLeft w:val="0"/>
      <w:marRight w:val="0"/>
      <w:marTop w:val="0"/>
      <w:marBottom w:val="0"/>
      <w:divBdr>
        <w:top w:val="none" w:sz="0" w:space="0" w:color="auto"/>
        <w:left w:val="none" w:sz="0" w:space="0" w:color="auto"/>
        <w:bottom w:val="none" w:sz="0" w:space="0" w:color="auto"/>
        <w:right w:val="none" w:sz="0" w:space="0" w:color="auto"/>
      </w:divBdr>
      <w:divsChild>
        <w:div w:id="1216159235">
          <w:marLeft w:val="0"/>
          <w:marRight w:val="0"/>
          <w:marTop w:val="0"/>
          <w:marBottom w:val="0"/>
          <w:divBdr>
            <w:top w:val="none" w:sz="0" w:space="0" w:color="auto"/>
            <w:left w:val="none" w:sz="0" w:space="0" w:color="auto"/>
            <w:bottom w:val="none" w:sz="0" w:space="0" w:color="auto"/>
            <w:right w:val="none" w:sz="0" w:space="0" w:color="auto"/>
          </w:divBdr>
          <w:divsChild>
            <w:div w:id="132600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178</TotalTime>
  <Pages>4</Pages>
  <Words>1031</Words>
  <Characters>5878</Characters>
  <Application>Microsoft Office Word</Application>
  <DocSecurity>0</DocSecurity>
  <Lines>48</Lines>
  <Paragraphs>13</Paragraphs>
  <ScaleCrop>false</ScaleCrop>
  <Company/>
  <LinksUpToDate>false</LinksUpToDate>
  <CharactersWithSpaces>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Milták</dc:creator>
  <cp:keywords/>
  <dc:description/>
  <cp:lastModifiedBy>Roman Milták</cp:lastModifiedBy>
  <cp:revision>29</cp:revision>
  <dcterms:created xsi:type="dcterms:W3CDTF">2025-08-06T10:23:00Z</dcterms:created>
  <dcterms:modified xsi:type="dcterms:W3CDTF">2025-08-06T13:21:00Z</dcterms:modified>
</cp:coreProperties>
</file>