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240" w:rsidRPr="00C63FC8" w:rsidRDefault="001F5240" w:rsidP="00F32ED8">
      <w:pPr>
        <w:spacing w:line="360" w:lineRule="auto"/>
        <w:jc w:val="both"/>
        <w:rPr>
          <w:rFonts w:ascii="Times New Roman" w:hAnsi="Times New Roman" w:cs="Times New Roman"/>
        </w:rPr>
      </w:pPr>
      <w:bookmarkStart w:id="0" w:name="_GoBack"/>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p w:rsidR="001F5240" w:rsidRPr="00C63FC8" w:rsidRDefault="001F5240" w:rsidP="00F32ED8">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3FC8" w:rsidRPr="00C63FC8" w:rsidTr="001F5240">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Name of the candidate</w:t>
            </w:r>
          </w:p>
        </w:tc>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T Laasya</w:t>
            </w:r>
          </w:p>
        </w:tc>
      </w:tr>
      <w:tr w:rsidR="00C63FC8" w:rsidRPr="00C63FC8" w:rsidTr="001F5240">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Student ID</w:t>
            </w:r>
          </w:p>
        </w:tc>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FSL52_20</w:t>
            </w:r>
          </w:p>
        </w:tc>
      </w:tr>
      <w:tr w:rsidR="00C63FC8" w:rsidRPr="00C63FC8" w:rsidTr="001F5240">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Subject</w:t>
            </w:r>
          </w:p>
        </w:tc>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1.2.4 – financial reporting and analysis</w:t>
            </w:r>
          </w:p>
        </w:tc>
      </w:tr>
      <w:tr w:rsidR="00C63FC8" w:rsidRPr="00C63FC8" w:rsidTr="001F5240">
        <w:tc>
          <w:tcPr>
            <w:tcW w:w="4675" w:type="dxa"/>
          </w:tcPr>
          <w:p w:rsidR="001F5240" w:rsidRPr="00C63FC8" w:rsidRDefault="001F5240" w:rsidP="00F32ED8">
            <w:pPr>
              <w:spacing w:line="360" w:lineRule="auto"/>
              <w:jc w:val="both"/>
              <w:rPr>
                <w:rFonts w:ascii="Times New Roman" w:hAnsi="Times New Roman" w:cs="Times New Roman"/>
              </w:rPr>
            </w:pPr>
            <w:r w:rsidRPr="00C63FC8">
              <w:rPr>
                <w:rFonts w:ascii="Times New Roman" w:hAnsi="Times New Roman" w:cs="Times New Roman"/>
              </w:rPr>
              <w:t>No. of pages</w:t>
            </w:r>
          </w:p>
        </w:tc>
        <w:tc>
          <w:tcPr>
            <w:tcW w:w="4675" w:type="dxa"/>
          </w:tcPr>
          <w:p w:rsidR="001F5240" w:rsidRPr="00C63FC8" w:rsidRDefault="001F5240" w:rsidP="00F32ED8">
            <w:pPr>
              <w:spacing w:line="360" w:lineRule="auto"/>
              <w:jc w:val="both"/>
              <w:rPr>
                <w:rFonts w:ascii="Times New Roman" w:hAnsi="Times New Roman" w:cs="Times New Roman"/>
              </w:rPr>
            </w:pPr>
          </w:p>
        </w:tc>
      </w:tr>
    </w:tbl>
    <w:p w:rsidR="00B450E7" w:rsidRPr="00C63FC8" w:rsidRDefault="00C51D56"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C63FC8" w:rsidRDefault="000B5EAF" w:rsidP="00F32ED8">
      <w:pPr>
        <w:spacing w:line="360" w:lineRule="auto"/>
        <w:jc w:val="both"/>
        <w:rPr>
          <w:rFonts w:ascii="Times New Roman" w:hAnsi="Times New Roman" w:cs="Times New Roman"/>
        </w:rPr>
      </w:pPr>
    </w:p>
    <w:p w:rsidR="000B5EAF" w:rsidRPr="00ED62D6" w:rsidRDefault="000B5EAF" w:rsidP="00F32ED8">
      <w:pPr>
        <w:spacing w:line="360" w:lineRule="auto"/>
        <w:jc w:val="both"/>
        <w:rPr>
          <w:rFonts w:ascii="Times New Roman" w:hAnsi="Times New Roman" w:cs="Times New Roman"/>
          <w:u w:val="single"/>
          <w:shd w:val="clear" w:color="auto" w:fill="FFFFFF"/>
        </w:rPr>
      </w:pPr>
      <w:r w:rsidRPr="00ED62D6">
        <w:rPr>
          <w:rFonts w:ascii="Times New Roman" w:hAnsi="Times New Roman" w:cs="Times New Roman"/>
          <w:b/>
          <w:shd w:val="clear" w:color="auto" w:fill="FFFFFF"/>
        </w:rPr>
        <w:lastRenderedPageBreak/>
        <w:t>Allotted Company:</w:t>
      </w:r>
      <w:r w:rsidRPr="00ED62D6">
        <w:rPr>
          <w:rFonts w:ascii="Times New Roman" w:hAnsi="Times New Roman" w:cs="Times New Roman"/>
          <w:u w:val="single"/>
          <w:shd w:val="clear" w:color="auto" w:fill="FFFFFF"/>
        </w:rPr>
        <w:t xml:space="preserve"> IDBI Bank</w:t>
      </w:r>
    </w:p>
    <w:p w:rsidR="000B5EAF" w:rsidRPr="00ED62D6" w:rsidRDefault="000B5EAF" w:rsidP="00F32ED8">
      <w:pPr>
        <w:spacing w:line="360" w:lineRule="auto"/>
        <w:jc w:val="both"/>
        <w:rPr>
          <w:rFonts w:ascii="Times New Roman" w:hAnsi="Times New Roman" w:cs="Times New Roman"/>
          <w:u w:val="single"/>
          <w:shd w:val="clear" w:color="auto" w:fill="FFFFFF"/>
        </w:rPr>
      </w:pPr>
      <w:r w:rsidRPr="00ED62D6">
        <w:rPr>
          <w:rFonts w:ascii="Times New Roman" w:hAnsi="Times New Roman" w:cs="Times New Roman"/>
          <w:b/>
          <w:shd w:val="clear" w:color="auto" w:fill="FFFFFF"/>
        </w:rPr>
        <w:t>Question:</w:t>
      </w:r>
      <w:r w:rsidRPr="00ED62D6">
        <w:rPr>
          <w:rFonts w:ascii="Times New Roman" w:hAnsi="Times New Roman" w:cs="Times New Roman"/>
          <w:shd w:val="clear" w:color="auto" w:fill="FFFFFF"/>
        </w:rPr>
        <w:t xml:space="preserve"> </w:t>
      </w:r>
      <w:r w:rsidRPr="00ED62D6">
        <w:rPr>
          <w:rFonts w:ascii="Times New Roman" w:hAnsi="Times New Roman" w:cs="Times New Roman"/>
          <w:u w:val="single"/>
          <w:shd w:val="clear" w:color="auto" w:fill="FFFFFF"/>
        </w:rPr>
        <w:t>Give your understanding of all the ratios calculated in the annual report and also Management Discussion and analysis component of the Annual Report.</w:t>
      </w:r>
    </w:p>
    <w:p w:rsidR="004965FF" w:rsidRDefault="004965FF" w:rsidP="00F32ED8">
      <w:pPr>
        <w:spacing w:line="360" w:lineRule="auto"/>
        <w:jc w:val="both"/>
        <w:rPr>
          <w:rFonts w:ascii="Times New Roman" w:hAnsi="Times New Roman" w:cs="Times New Roman"/>
          <w:shd w:val="clear" w:color="auto" w:fill="FFFFFF"/>
        </w:rPr>
      </w:pPr>
    </w:p>
    <w:p w:rsidR="00ED62D6" w:rsidRPr="00ED62D6" w:rsidRDefault="00ED62D6" w:rsidP="00F32ED8">
      <w:pPr>
        <w:spacing w:line="360" w:lineRule="auto"/>
        <w:jc w:val="both"/>
        <w:rPr>
          <w:rFonts w:ascii="Times New Roman" w:hAnsi="Times New Roman" w:cs="Times New Roman"/>
          <w:b/>
          <w:u w:val="single"/>
          <w:shd w:val="clear" w:color="auto" w:fill="FFFFFF"/>
        </w:rPr>
      </w:pPr>
      <w:r w:rsidRPr="00ED62D6">
        <w:rPr>
          <w:rFonts w:ascii="Times New Roman" w:hAnsi="Times New Roman" w:cs="Times New Roman"/>
          <w:b/>
          <w:u w:val="single"/>
          <w:shd w:val="clear" w:color="auto" w:fill="FFFFFF"/>
        </w:rPr>
        <w:t>Answer:</w:t>
      </w:r>
    </w:p>
    <w:p w:rsidR="009D56FA" w:rsidRPr="00C63FC8" w:rsidRDefault="005952F4" w:rsidP="00F32ED8">
      <w:pPr>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 xml:space="preserve">The Industrial Development Bank of India </w:t>
      </w:r>
      <w:r w:rsidR="009D56FA" w:rsidRPr="00C63FC8">
        <w:rPr>
          <w:rFonts w:ascii="Times New Roman" w:hAnsi="Times New Roman" w:cs="Times New Roman"/>
          <w:shd w:val="clear" w:color="auto" w:fill="FFFFFF"/>
        </w:rPr>
        <w:t>or commonly known as IDBI</w:t>
      </w:r>
      <w:r w:rsidRPr="00C63FC8">
        <w:rPr>
          <w:rFonts w:ascii="Times New Roman" w:hAnsi="Times New Roman" w:cs="Times New Roman"/>
          <w:shd w:val="clear" w:color="auto" w:fill="FFFFFF"/>
        </w:rPr>
        <w:t xml:space="preserve"> was established in 1964 under an Act of Parliament as a wholly-owned subsidiary of the Reserve Bank of India. </w:t>
      </w:r>
    </w:p>
    <w:p w:rsidR="005952F4" w:rsidRPr="00C63FC8" w:rsidRDefault="005952F4" w:rsidP="00F32ED8">
      <w:pPr>
        <w:spacing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In 1976, the ownership of IDBI was transferred to the Government of India and it was made the principal financial institution for coordinating the activities of institutions engaged in financing, promoting and developing industry in India.</w:t>
      </w:r>
    </w:p>
    <w:p w:rsidR="005952F4" w:rsidRPr="00C63FC8" w:rsidRDefault="009D56FA" w:rsidP="00F32ED8">
      <w:pPr>
        <w:spacing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After the public issue of IDBI in July 1995, the government shareholding in the bank came down from 100% to 75%.</w:t>
      </w:r>
    </w:p>
    <w:p w:rsidR="009D56FA" w:rsidRPr="00C63FC8" w:rsidRDefault="009D56FA" w:rsidP="00F32ED8">
      <w:pPr>
        <w:spacing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In the month of September 2004, the Reserve Bank of India incorporated IDBI as a 'scheduled bank' under the </w:t>
      </w:r>
      <w:r w:rsidRPr="00C63FC8">
        <w:rPr>
          <w:rFonts w:ascii="Times New Roman" w:hAnsi="Times New Roman" w:cs="Times New Roman"/>
          <w:i/>
          <w:iCs/>
          <w:shd w:val="clear" w:color="auto" w:fill="FFFFFF"/>
        </w:rPr>
        <w:t>RBI Act</w:t>
      </w:r>
      <w:r w:rsidRPr="00C63FC8">
        <w:rPr>
          <w:rFonts w:ascii="Times New Roman" w:hAnsi="Times New Roman" w:cs="Times New Roman"/>
          <w:shd w:val="clear" w:color="auto" w:fill="FFFFFF"/>
        </w:rPr>
        <w:t>, 1934. Consequently, IDBI formally entered the portals of banking business as IDBI Ltd. from 1 October 2004. The commercial banking arm, IDBI BANK, was merged into IDBI in 2005.</w:t>
      </w:r>
    </w:p>
    <w:p w:rsidR="009D56FA" w:rsidRPr="00C63FC8" w:rsidRDefault="009D56FA" w:rsidP="00F32ED8">
      <w:pPr>
        <w:spacing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LIC of India completed the acquisition of 51% controlling stake in IDBI Bank on 21 January 2019 making it the majority shareholder of the bank. Subsequent to the enhancement of equity stake by LIC of India on 21 January 2019, Reserve Bank of India has clarified through a Press Release dated 14 March 2019 that IDBI Bank stands re-categorized as a Private Sector Bank, with retrospective effect from 21 January 2019.</w:t>
      </w:r>
    </w:p>
    <w:p w:rsidR="002D7656" w:rsidRPr="00C63FC8" w:rsidRDefault="002D7656" w:rsidP="00F32ED8">
      <w:pPr>
        <w:spacing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 xml:space="preserve">IDBI Bank Ltd is today one of India’s largest commercial Banks. The services offered by the bank includes </w:t>
      </w:r>
    </w:p>
    <w:p w:rsidR="002D7656" w:rsidRPr="00C63FC8" w:rsidRDefault="002D7656" w:rsidP="00F32ED8">
      <w:pPr>
        <w:pStyle w:val="ListParagraph"/>
        <w:numPr>
          <w:ilvl w:val="0"/>
          <w:numId w:val="1"/>
        </w:numPr>
        <w:spacing w:line="360" w:lineRule="auto"/>
        <w:jc w:val="both"/>
        <w:rPr>
          <w:rFonts w:ascii="Times New Roman" w:hAnsi="Times New Roman" w:cs="Times New Roman"/>
          <w:shd w:val="clear" w:color="auto" w:fill="FFFFFF"/>
        </w:rPr>
      </w:pPr>
      <w:r w:rsidRPr="00C63FC8">
        <w:rPr>
          <w:rFonts w:ascii="Times New Roman" w:hAnsi="Times New Roman" w:cs="Times New Roman"/>
          <w:u w:val="single"/>
          <w:shd w:val="clear" w:color="auto" w:fill="FFFFFF"/>
        </w:rPr>
        <w:t>Retail banking:</w:t>
      </w:r>
      <w:r w:rsidRPr="00C63FC8">
        <w:rPr>
          <w:rFonts w:ascii="Times New Roman" w:hAnsi="Times New Roman" w:cs="Times New Roman"/>
          <w:shd w:val="clear" w:color="auto" w:fill="FFFFFF"/>
        </w:rPr>
        <w:t xml:space="preserve"> The company provides a wide range of products and services like deposits, loans, NRI services, demat, pension account, mobile banking, internet banking</w:t>
      </w:r>
    </w:p>
    <w:p w:rsidR="002D7656" w:rsidRPr="00C63FC8" w:rsidRDefault="002D7656" w:rsidP="00F32ED8">
      <w:pPr>
        <w:pStyle w:val="ListParagraph"/>
        <w:numPr>
          <w:ilvl w:val="0"/>
          <w:numId w:val="1"/>
        </w:numPr>
        <w:spacing w:line="360" w:lineRule="auto"/>
        <w:jc w:val="both"/>
        <w:rPr>
          <w:rFonts w:ascii="Times New Roman" w:hAnsi="Times New Roman" w:cs="Times New Roman"/>
          <w:shd w:val="clear" w:color="auto" w:fill="FFFFFF"/>
        </w:rPr>
      </w:pPr>
      <w:r w:rsidRPr="00C63FC8">
        <w:rPr>
          <w:rFonts w:ascii="Times New Roman" w:hAnsi="Times New Roman" w:cs="Times New Roman"/>
          <w:u w:val="single"/>
          <w:shd w:val="clear" w:color="auto" w:fill="FFFFFF"/>
        </w:rPr>
        <w:t>Investment schemes</w:t>
      </w:r>
      <w:r w:rsidRPr="00C63FC8">
        <w:rPr>
          <w:rFonts w:ascii="Times New Roman" w:hAnsi="Times New Roman" w:cs="Times New Roman"/>
          <w:shd w:val="clear" w:color="auto" w:fill="FFFFFF"/>
        </w:rPr>
        <w:t>: such as mutual fund, insurance products, bonds, debentures etc.</w:t>
      </w:r>
    </w:p>
    <w:p w:rsidR="002D7656" w:rsidRPr="00C63FC8" w:rsidRDefault="002D7656" w:rsidP="00F32ED8">
      <w:pPr>
        <w:pStyle w:val="ListParagraph"/>
        <w:numPr>
          <w:ilvl w:val="0"/>
          <w:numId w:val="1"/>
        </w:numPr>
        <w:spacing w:line="360" w:lineRule="auto"/>
        <w:jc w:val="both"/>
        <w:rPr>
          <w:rFonts w:ascii="Times New Roman" w:hAnsi="Times New Roman" w:cs="Times New Roman"/>
          <w:shd w:val="clear" w:color="auto" w:fill="FFFFFF"/>
        </w:rPr>
      </w:pPr>
      <w:r w:rsidRPr="00C63FC8">
        <w:rPr>
          <w:rFonts w:ascii="Times New Roman" w:hAnsi="Times New Roman" w:cs="Times New Roman"/>
          <w:u w:val="single"/>
          <w:shd w:val="clear" w:color="auto" w:fill="FFFFFF"/>
        </w:rPr>
        <w:t>Corporate banking:</w:t>
      </w:r>
      <w:r w:rsidRPr="00C63FC8">
        <w:rPr>
          <w:rFonts w:ascii="Times New Roman" w:hAnsi="Times New Roman" w:cs="Times New Roman"/>
          <w:shd w:val="clear" w:color="auto" w:fill="FFFFFF"/>
        </w:rPr>
        <w:t xml:space="preserve"> provides corporates project finance, film finance, foreign currency loan, working capital finance, treasury products, etc.</w:t>
      </w:r>
    </w:p>
    <w:p w:rsidR="002D7656" w:rsidRPr="00C63FC8" w:rsidRDefault="002D7656" w:rsidP="00F32ED8">
      <w:pPr>
        <w:pStyle w:val="ListParagraph"/>
        <w:numPr>
          <w:ilvl w:val="0"/>
          <w:numId w:val="1"/>
        </w:numPr>
        <w:spacing w:line="360" w:lineRule="auto"/>
        <w:jc w:val="both"/>
        <w:rPr>
          <w:rStyle w:val="mrboxcom"/>
          <w:rFonts w:ascii="Times New Roman" w:hAnsi="Times New Roman" w:cs="Times New Roman"/>
          <w:shd w:val="clear" w:color="auto" w:fill="FFFFFF"/>
        </w:rPr>
      </w:pPr>
      <w:r w:rsidRPr="00C63FC8">
        <w:rPr>
          <w:rFonts w:ascii="Times New Roman" w:hAnsi="Times New Roman" w:cs="Times New Roman"/>
          <w:u w:val="single"/>
          <w:shd w:val="clear" w:color="auto" w:fill="FFFFFF"/>
        </w:rPr>
        <w:t>Agri business and microfinance:</w:t>
      </w:r>
      <w:r w:rsidRPr="00C63FC8">
        <w:rPr>
          <w:rFonts w:ascii="Times New Roman" w:hAnsi="Times New Roman" w:cs="Times New Roman"/>
          <w:shd w:val="clear" w:color="auto" w:fill="FFFFFF"/>
        </w:rPr>
        <w:t xml:space="preserve"> It provides finance to agri businesses in the form of dairy loans, farm mechanization loans, financing for fisheries, poultry, piggery, warehouse receipt finance,</w:t>
      </w:r>
      <w:r w:rsidRPr="00C63FC8">
        <w:rPr>
          <w:rStyle w:val="mrboxcom"/>
          <w:rFonts w:ascii="Times New Roman" w:hAnsi="Times New Roman" w:cs="Times New Roman"/>
          <w:bdr w:val="none" w:sz="0" w:space="0" w:color="auto" w:frame="1"/>
          <w:shd w:val="clear" w:color="auto" w:fill="FFFFFF"/>
        </w:rPr>
        <w:t> etc.</w:t>
      </w:r>
    </w:p>
    <w:p w:rsidR="009D56FA" w:rsidRPr="00C63FC8" w:rsidRDefault="002D7656" w:rsidP="00F32ED8">
      <w:pPr>
        <w:pStyle w:val="ListParagraph"/>
        <w:numPr>
          <w:ilvl w:val="0"/>
          <w:numId w:val="1"/>
        </w:numPr>
        <w:spacing w:line="360" w:lineRule="auto"/>
        <w:jc w:val="both"/>
        <w:rPr>
          <w:rFonts w:ascii="Times New Roman" w:hAnsi="Times New Roman" w:cs="Times New Roman"/>
          <w:shd w:val="clear" w:color="auto" w:fill="FFFFFF"/>
        </w:rPr>
      </w:pPr>
      <w:r w:rsidRPr="00C63FC8">
        <w:rPr>
          <w:rStyle w:val="mrboxcom"/>
          <w:rFonts w:ascii="Times New Roman" w:hAnsi="Times New Roman" w:cs="Times New Roman"/>
          <w:u w:val="single"/>
          <w:bdr w:val="none" w:sz="0" w:space="0" w:color="auto" w:frame="1"/>
          <w:shd w:val="clear" w:color="auto" w:fill="FFFFFF"/>
        </w:rPr>
        <w:t>Small and Medium Enterprise sector:</w:t>
      </w:r>
      <w:r w:rsidRPr="00C63FC8">
        <w:rPr>
          <w:rStyle w:val="mrboxcom"/>
          <w:rFonts w:ascii="Times New Roman" w:hAnsi="Times New Roman" w:cs="Times New Roman"/>
          <w:bdr w:val="none" w:sz="0" w:space="0" w:color="auto" w:frame="1"/>
          <w:shd w:val="clear" w:color="auto" w:fill="FFFFFF"/>
        </w:rPr>
        <w:t xml:space="preserve"> IDBI Bank also offers products and services to SME sector</w:t>
      </w:r>
    </w:p>
    <w:p w:rsidR="009D56FA" w:rsidRDefault="002A00F4" w:rsidP="00F32ED8">
      <w:pPr>
        <w:spacing w:line="360" w:lineRule="auto"/>
        <w:jc w:val="both"/>
        <w:rPr>
          <w:rFonts w:ascii="Times New Roman" w:hAnsi="Times New Roman" w:cs="Times New Roman"/>
          <w:b/>
          <w:u w:val="single"/>
          <w:shd w:val="clear" w:color="auto" w:fill="FFFFFF"/>
        </w:rPr>
      </w:pPr>
      <w:r w:rsidRPr="00C63FC8">
        <w:rPr>
          <w:rFonts w:ascii="Times New Roman" w:hAnsi="Times New Roman" w:cs="Times New Roman"/>
          <w:b/>
          <w:u w:val="single"/>
          <w:shd w:val="clear" w:color="auto" w:fill="FFFFFF"/>
        </w:rPr>
        <w:lastRenderedPageBreak/>
        <w:t>Extract of ratios presented</w:t>
      </w:r>
      <w:r w:rsidR="002D7656" w:rsidRPr="00C63FC8">
        <w:rPr>
          <w:rFonts w:ascii="Times New Roman" w:hAnsi="Times New Roman" w:cs="Times New Roman"/>
          <w:b/>
          <w:u w:val="single"/>
          <w:shd w:val="clear" w:color="auto" w:fill="FFFFFF"/>
        </w:rPr>
        <w:t xml:space="preserve"> in the latest annual report for the period 2019-20</w:t>
      </w:r>
      <w:r w:rsidR="003F49C1" w:rsidRPr="00C63FC8">
        <w:rPr>
          <w:rFonts w:ascii="Times New Roman" w:hAnsi="Times New Roman" w:cs="Times New Roman"/>
          <w:b/>
          <w:u w:val="single"/>
          <w:shd w:val="clear" w:color="auto" w:fill="FFFFFF"/>
        </w:rPr>
        <w:t>:</w:t>
      </w:r>
    </w:p>
    <w:p w:rsidR="0098357B" w:rsidRPr="00C63FC8" w:rsidRDefault="0098357B" w:rsidP="00F32ED8">
      <w:pPr>
        <w:spacing w:line="360" w:lineRule="auto"/>
        <w:jc w:val="both"/>
        <w:rPr>
          <w:rFonts w:ascii="Times New Roman" w:hAnsi="Times New Roman" w:cs="Times New Roman"/>
          <w:b/>
          <w:u w:val="single"/>
          <w:shd w:val="clear" w:color="auto" w:fill="FFFFFF"/>
        </w:rPr>
      </w:pPr>
    </w:p>
    <w:p w:rsidR="00BF3F8E" w:rsidRPr="00C63FC8" w:rsidRDefault="00BF3F8E" w:rsidP="00F32ED8">
      <w:pPr>
        <w:pStyle w:val="ListParagraph"/>
        <w:numPr>
          <w:ilvl w:val="0"/>
          <w:numId w:val="3"/>
        </w:numPr>
        <w:autoSpaceDE w:val="0"/>
        <w:autoSpaceDN w:val="0"/>
        <w:adjustRightInd w:val="0"/>
        <w:spacing w:after="0" w:line="360" w:lineRule="auto"/>
        <w:jc w:val="both"/>
        <w:rPr>
          <w:rFonts w:ascii="Times New Roman" w:hAnsi="Times New Roman" w:cs="Times New Roman"/>
          <w:b/>
          <w:bCs/>
          <w:u w:val="single"/>
        </w:rPr>
      </w:pPr>
      <w:r w:rsidRPr="00C63FC8">
        <w:rPr>
          <w:rFonts w:ascii="Times New Roman" w:hAnsi="Times New Roman" w:cs="Times New Roman"/>
          <w:b/>
          <w:bCs/>
          <w:u w:val="single"/>
        </w:rPr>
        <w:t>Business Ratios</w:t>
      </w:r>
      <w:r w:rsidR="001035BD" w:rsidRPr="00C63FC8">
        <w:rPr>
          <w:rFonts w:ascii="Times New Roman" w:hAnsi="Times New Roman" w:cs="Times New Roman"/>
          <w:b/>
          <w:bCs/>
          <w:u w:val="single"/>
        </w:rPr>
        <w:t xml:space="preserve"> – schedule XV to the financial statements</w:t>
      </w:r>
      <w:r w:rsidR="00C63FC8" w:rsidRPr="00C63FC8">
        <w:rPr>
          <w:rFonts w:ascii="Times New Roman" w:hAnsi="Times New Roman" w:cs="Times New Roman"/>
          <w:b/>
          <w:bCs/>
          <w:u w:val="single"/>
        </w:rPr>
        <w:t>:</w:t>
      </w:r>
    </w:p>
    <w:p w:rsidR="00C63FC8" w:rsidRPr="00C63FC8" w:rsidRDefault="00C63FC8" w:rsidP="00F32ED8">
      <w:pPr>
        <w:pStyle w:val="ListParagraph"/>
        <w:autoSpaceDE w:val="0"/>
        <w:autoSpaceDN w:val="0"/>
        <w:adjustRightInd w:val="0"/>
        <w:spacing w:after="0" w:line="360" w:lineRule="auto"/>
        <w:ind w:left="1080"/>
        <w:jc w:val="both"/>
        <w:rPr>
          <w:rFonts w:ascii="Times New Roman" w:hAnsi="Times New Roman" w:cs="Times New Roman"/>
          <w:b/>
          <w:bCs/>
          <w:u w:val="single"/>
        </w:rPr>
      </w:pPr>
    </w:p>
    <w:p w:rsidR="0093546F" w:rsidRPr="00C63FC8" w:rsidRDefault="0093546F" w:rsidP="00F32ED8">
      <w:pPr>
        <w:pStyle w:val="ListParagraph"/>
        <w:autoSpaceDE w:val="0"/>
        <w:autoSpaceDN w:val="0"/>
        <w:adjustRightInd w:val="0"/>
        <w:spacing w:after="0" w:line="360" w:lineRule="auto"/>
        <w:ind w:left="1080"/>
        <w:jc w:val="both"/>
        <w:rPr>
          <w:rFonts w:ascii="Times New Roman" w:hAnsi="Times New Roman" w:cs="Times New Roman"/>
          <w:b/>
          <w:bCs/>
          <w:u w:val="single"/>
        </w:rPr>
      </w:pPr>
    </w:p>
    <w:tbl>
      <w:tblPr>
        <w:tblStyle w:val="TableGrid"/>
        <w:tblW w:w="9805" w:type="dxa"/>
        <w:tblLook w:val="04A0" w:firstRow="1" w:lastRow="0" w:firstColumn="1" w:lastColumn="0" w:noHBand="0" w:noVBand="1"/>
      </w:tblPr>
      <w:tblGrid>
        <w:gridCol w:w="663"/>
        <w:gridCol w:w="4822"/>
        <w:gridCol w:w="2160"/>
        <w:gridCol w:w="2160"/>
      </w:tblGrid>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
                <w:bCs/>
              </w:rPr>
            </w:pPr>
            <w:r w:rsidRPr="00C63FC8">
              <w:rPr>
                <w:rFonts w:ascii="Times New Roman" w:hAnsi="Times New Roman" w:cs="Times New Roman"/>
                <w:b/>
                <w:bCs/>
              </w:rPr>
              <w:t>S.No</w:t>
            </w:r>
          </w:p>
        </w:tc>
        <w:tc>
          <w:tcPr>
            <w:tcW w:w="4822" w:type="dxa"/>
          </w:tcPr>
          <w:p w:rsidR="0093546F" w:rsidRPr="00C63FC8" w:rsidRDefault="0093546F" w:rsidP="00F32ED8">
            <w:pPr>
              <w:autoSpaceDE w:val="0"/>
              <w:autoSpaceDN w:val="0"/>
              <w:adjustRightInd w:val="0"/>
              <w:spacing w:line="360" w:lineRule="auto"/>
              <w:jc w:val="both"/>
              <w:rPr>
                <w:rFonts w:ascii="Times New Roman" w:hAnsi="Times New Roman" w:cs="Times New Roman"/>
                <w:b/>
                <w:bCs/>
              </w:rPr>
            </w:pPr>
            <w:r w:rsidRPr="00C63FC8">
              <w:rPr>
                <w:rFonts w:ascii="Times New Roman" w:hAnsi="Times New Roman" w:cs="Times New Roman"/>
                <w:b/>
                <w:bCs/>
              </w:rPr>
              <w:t>Particulars</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
                <w:bCs/>
              </w:rPr>
            </w:pPr>
            <w:r w:rsidRPr="00C63FC8">
              <w:rPr>
                <w:rFonts w:ascii="Times New Roman" w:hAnsi="Times New Roman" w:cs="Times New Roman"/>
                <w:b/>
                <w:bCs/>
              </w:rPr>
              <w:t>March 31</w:t>
            </w:r>
            <w:r w:rsidRPr="00C63FC8">
              <w:rPr>
                <w:rFonts w:ascii="Times New Roman" w:hAnsi="Times New Roman" w:cs="Times New Roman"/>
                <w:b/>
                <w:bCs/>
                <w:vertAlign w:val="superscript"/>
              </w:rPr>
              <w:t>st</w:t>
            </w:r>
            <w:r w:rsidRPr="00C63FC8">
              <w:rPr>
                <w:rFonts w:ascii="Times New Roman" w:hAnsi="Times New Roman" w:cs="Times New Roman"/>
                <w:b/>
                <w:bCs/>
              </w:rPr>
              <w:t>, 2020</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
                <w:bCs/>
              </w:rPr>
            </w:pPr>
            <w:r w:rsidRPr="00C63FC8">
              <w:rPr>
                <w:rFonts w:ascii="Times New Roman" w:hAnsi="Times New Roman" w:cs="Times New Roman"/>
                <w:b/>
                <w:bCs/>
              </w:rPr>
              <w:t>March 31</w:t>
            </w:r>
            <w:r w:rsidRPr="00C63FC8">
              <w:rPr>
                <w:rFonts w:ascii="Times New Roman" w:hAnsi="Times New Roman" w:cs="Times New Roman"/>
                <w:b/>
                <w:bCs/>
                <w:vertAlign w:val="superscript"/>
              </w:rPr>
              <w:t>st</w:t>
            </w:r>
            <w:r w:rsidRPr="00C63FC8">
              <w:rPr>
                <w:rFonts w:ascii="Times New Roman" w:hAnsi="Times New Roman" w:cs="Times New Roman"/>
                <w:b/>
                <w:bCs/>
              </w:rPr>
              <w:t>, 2019</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w:t>
            </w:r>
          </w:p>
        </w:tc>
        <w:tc>
          <w:tcPr>
            <w:tcW w:w="4822"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 xml:space="preserve">Interest income as a percentage to working funds         </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6.88%</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6.84%</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2</w:t>
            </w:r>
          </w:p>
        </w:tc>
        <w:tc>
          <w:tcPr>
            <w:tcW w:w="4822" w:type="dxa"/>
          </w:tcPr>
          <w:p w:rsidR="0093546F" w:rsidRPr="00C63FC8" w:rsidRDefault="00DF7042"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Non-interest income as a percentage to working funds</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1.48%</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1.02%</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3</w:t>
            </w:r>
          </w:p>
        </w:tc>
        <w:tc>
          <w:tcPr>
            <w:tcW w:w="4822" w:type="dxa"/>
          </w:tcPr>
          <w:p w:rsidR="0093546F" w:rsidRPr="00C63FC8" w:rsidRDefault="00DF7042"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Operating profit as a percentage to working funds</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1.69%</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1.26%</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4</w:t>
            </w:r>
          </w:p>
        </w:tc>
        <w:tc>
          <w:tcPr>
            <w:tcW w:w="4822" w:type="dxa"/>
          </w:tcPr>
          <w:p w:rsidR="0093546F" w:rsidRPr="00C63FC8" w:rsidRDefault="00DF7042"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Return on assets (ROA)</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(4.26%)</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(4.68%)</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5</w:t>
            </w:r>
          </w:p>
        </w:tc>
        <w:tc>
          <w:tcPr>
            <w:tcW w:w="4822" w:type="dxa"/>
          </w:tcPr>
          <w:p w:rsidR="0093546F" w:rsidRPr="00C63FC8" w:rsidRDefault="00DF7042"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Business (Deposits plus advances) per employee  (Rs in crores)</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18.51</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20.84</w:t>
            </w:r>
          </w:p>
        </w:tc>
      </w:tr>
      <w:tr w:rsidR="00C63FC8" w:rsidRPr="00C63FC8" w:rsidTr="00DF7042">
        <w:tc>
          <w:tcPr>
            <w:tcW w:w="663"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6</w:t>
            </w:r>
          </w:p>
        </w:tc>
        <w:tc>
          <w:tcPr>
            <w:tcW w:w="4822" w:type="dxa"/>
          </w:tcPr>
          <w:p w:rsidR="0093546F" w:rsidRPr="00C63FC8" w:rsidRDefault="00DF7042"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rPr>
              <w:t>Profit/ (loss) per employee [Rs. in crore]</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(0.73)</w:t>
            </w:r>
          </w:p>
        </w:tc>
        <w:tc>
          <w:tcPr>
            <w:tcW w:w="2160" w:type="dxa"/>
          </w:tcPr>
          <w:p w:rsidR="0093546F" w:rsidRPr="00C63FC8" w:rsidRDefault="0093546F" w:rsidP="00F32ED8">
            <w:pPr>
              <w:autoSpaceDE w:val="0"/>
              <w:autoSpaceDN w:val="0"/>
              <w:adjustRightInd w:val="0"/>
              <w:spacing w:line="360" w:lineRule="auto"/>
              <w:jc w:val="both"/>
              <w:rPr>
                <w:rFonts w:ascii="Times New Roman" w:hAnsi="Times New Roman" w:cs="Times New Roman"/>
                <w:bCs/>
              </w:rPr>
            </w:pPr>
            <w:r w:rsidRPr="00C63FC8">
              <w:rPr>
                <w:rFonts w:ascii="Times New Roman" w:hAnsi="Times New Roman" w:cs="Times New Roman"/>
                <w:bCs/>
              </w:rPr>
              <w:t>(0.88)</w:t>
            </w:r>
          </w:p>
        </w:tc>
      </w:tr>
    </w:tbl>
    <w:p w:rsidR="00BF3F8E" w:rsidRPr="00C63FC8" w:rsidRDefault="00BF3F8E" w:rsidP="00F32ED8">
      <w:pPr>
        <w:autoSpaceDE w:val="0"/>
        <w:autoSpaceDN w:val="0"/>
        <w:adjustRightInd w:val="0"/>
        <w:spacing w:after="0" w:line="360" w:lineRule="auto"/>
        <w:jc w:val="both"/>
        <w:rPr>
          <w:rFonts w:ascii="Times New Roman" w:hAnsi="Times New Roman" w:cs="Times New Roman"/>
          <w:b/>
          <w:bCs/>
        </w:rPr>
      </w:pPr>
    </w:p>
    <w:p w:rsidR="00C63FC8" w:rsidRPr="00C63FC8" w:rsidRDefault="00C63FC8" w:rsidP="00F32ED8">
      <w:pPr>
        <w:autoSpaceDE w:val="0"/>
        <w:autoSpaceDN w:val="0"/>
        <w:adjustRightInd w:val="0"/>
        <w:spacing w:after="0" w:line="360" w:lineRule="auto"/>
        <w:jc w:val="both"/>
        <w:rPr>
          <w:rFonts w:ascii="Times New Roman" w:hAnsi="Times New Roman" w:cs="Times New Roman"/>
          <w:b/>
          <w:bCs/>
        </w:rPr>
      </w:pPr>
    </w:p>
    <w:p w:rsidR="005952F4" w:rsidRPr="00C63FC8" w:rsidRDefault="00A053F5" w:rsidP="00F32ED8">
      <w:pPr>
        <w:pStyle w:val="ListParagraph"/>
        <w:numPr>
          <w:ilvl w:val="0"/>
          <w:numId w:val="3"/>
        </w:numPr>
        <w:autoSpaceDE w:val="0"/>
        <w:autoSpaceDN w:val="0"/>
        <w:adjustRightInd w:val="0"/>
        <w:spacing w:after="0" w:line="360" w:lineRule="auto"/>
        <w:jc w:val="both"/>
        <w:rPr>
          <w:rFonts w:ascii="Times New Roman" w:hAnsi="Times New Roman" w:cs="Times New Roman"/>
          <w:b/>
          <w:u w:val="single"/>
        </w:rPr>
      </w:pPr>
      <w:r w:rsidRPr="00C63FC8">
        <w:rPr>
          <w:rFonts w:ascii="Times New Roman" w:hAnsi="Times New Roman" w:cs="Times New Roman"/>
          <w:b/>
          <w:u w:val="single"/>
        </w:rPr>
        <w:t>Details of significant / key financial ratios</w:t>
      </w:r>
      <w:r w:rsidR="003445FF" w:rsidRPr="00C63FC8">
        <w:rPr>
          <w:rFonts w:ascii="Times New Roman" w:hAnsi="Times New Roman" w:cs="Times New Roman"/>
          <w:b/>
          <w:u w:val="single"/>
        </w:rPr>
        <w:t>:</w:t>
      </w:r>
    </w:p>
    <w:p w:rsidR="003445FF" w:rsidRPr="00C63FC8" w:rsidRDefault="003445FF" w:rsidP="00F32ED8">
      <w:pPr>
        <w:pStyle w:val="ListParagraph"/>
        <w:autoSpaceDE w:val="0"/>
        <w:autoSpaceDN w:val="0"/>
        <w:adjustRightInd w:val="0"/>
        <w:spacing w:after="0" w:line="360" w:lineRule="auto"/>
        <w:ind w:left="1080"/>
        <w:jc w:val="both"/>
        <w:rPr>
          <w:rFonts w:ascii="Times New Roman" w:hAnsi="Times New Roman" w:cs="Times New Roman"/>
          <w:b/>
          <w:u w:val="single"/>
        </w:rPr>
      </w:pPr>
    </w:p>
    <w:p w:rsidR="003445FF" w:rsidRPr="00C63FC8" w:rsidRDefault="003445FF" w:rsidP="00F32ED8">
      <w:pPr>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A detailed explanation of the key financial ratios and the significant changes therein have been mentioned as a part of the Director’s report of the latest annual report, the ratios are as follows:</w:t>
      </w:r>
    </w:p>
    <w:p w:rsidR="00C63FC8" w:rsidRPr="00C63FC8" w:rsidRDefault="00C63FC8" w:rsidP="00F32ED8">
      <w:pPr>
        <w:autoSpaceDE w:val="0"/>
        <w:autoSpaceDN w:val="0"/>
        <w:adjustRightInd w:val="0"/>
        <w:spacing w:after="0" w:line="360" w:lineRule="auto"/>
        <w:jc w:val="both"/>
        <w:rPr>
          <w:rFonts w:ascii="Times New Roman" w:hAnsi="Times New Roman" w:cs="Times New Roman"/>
        </w:rPr>
      </w:pPr>
    </w:p>
    <w:p w:rsidR="003445FF" w:rsidRPr="00C63FC8" w:rsidRDefault="003445FF" w:rsidP="00F32ED8">
      <w:pPr>
        <w:autoSpaceDE w:val="0"/>
        <w:autoSpaceDN w:val="0"/>
        <w:adjustRightInd w:val="0"/>
        <w:spacing w:after="0" w:line="360" w:lineRule="auto"/>
        <w:ind w:left="360"/>
        <w:jc w:val="both"/>
        <w:rPr>
          <w:rFonts w:ascii="Times New Roman" w:hAnsi="Times New Roman" w:cs="Times New Roman"/>
        </w:rPr>
      </w:pPr>
    </w:p>
    <w:tbl>
      <w:tblPr>
        <w:tblStyle w:val="TableGrid"/>
        <w:tblW w:w="9990" w:type="dxa"/>
        <w:tblInd w:w="-95" w:type="dxa"/>
        <w:tblLook w:val="04A0" w:firstRow="1" w:lastRow="0" w:firstColumn="1" w:lastColumn="0" w:noHBand="0" w:noVBand="1"/>
      </w:tblPr>
      <w:tblGrid>
        <w:gridCol w:w="663"/>
        <w:gridCol w:w="3027"/>
        <w:gridCol w:w="1080"/>
        <w:gridCol w:w="1080"/>
        <w:gridCol w:w="4140"/>
      </w:tblGrid>
      <w:tr w:rsidR="00C63FC8" w:rsidRPr="00C63FC8" w:rsidTr="00955362">
        <w:tc>
          <w:tcPr>
            <w:tcW w:w="663" w:type="dxa"/>
          </w:tcPr>
          <w:p w:rsidR="00955362" w:rsidRPr="00C63FC8" w:rsidRDefault="00955362" w:rsidP="00F32ED8">
            <w:pPr>
              <w:autoSpaceDE w:val="0"/>
              <w:autoSpaceDN w:val="0"/>
              <w:adjustRightInd w:val="0"/>
              <w:spacing w:line="360" w:lineRule="auto"/>
              <w:jc w:val="both"/>
              <w:rPr>
                <w:rFonts w:ascii="Times New Roman" w:hAnsi="Times New Roman" w:cs="Times New Roman"/>
                <w:b/>
              </w:rPr>
            </w:pPr>
            <w:r w:rsidRPr="00C63FC8">
              <w:rPr>
                <w:rFonts w:ascii="Times New Roman" w:hAnsi="Times New Roman" w:cs="Times New Roman"/>
                <w:b/>
              </w:rPr>
              <w:t>S.No</w:t>
            </w:r>
          </w:p>
        </w:tc>
        <w:tc>
          <w:tcPr>
            <w:tcW w:w="3027" w:type="dxa"/>
          </w:tcPr>
          <w:p w:rsidR="00955362" w:rsidRPr="00C63FC8" w:rsidRDefault="00955362" w:rsidP="00F32ED8">
            <w:pPr>
              <w:autoSpaceDE w:val="0"/>
              <w:autoSpaceDN w:val="0"/>
              <w:adjustRightInd w:val="0"/>
              <w:spacing w:line="360" w:lineRule="auto"/>
              <w:jc w:val="both"/>
              <w:rPr>
                <w:rFonts w:ascii="Times New Roman" w:hAnsi="Times New Roman" w:cs="Times New Roman"/>
                <w:b/>
              </w:rPr>
            </w:pPr>
            <w:r w:rsidRPr="00C63FC8">
              <w:rPr>
                <w:rFonts w:ascii="Times New Roman" w:hAnsi="Times New Roman" w:cs="Times New Roman"/>
                <w:b/>
              </w:rPr>
              <w:t>Particulars</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b/>
              </w:rPr>
            </w:pPr>
            <w:r w:rsidRPr="00C63FC8">
              <w:rPr>
                <w:rFonts w:ascii="Times New Roman" w:hAnsi="Times New Roman" w:cs="Times New Roman"/>
                <w:b/>
              </w:rPr>
              <w:t>2019-20</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b/>
              </w:rPr>
            </w:pPr>
            <w:r w:rsidRPr="00C63FC8">
              <w:rPr>
                <w:rFonts w:ascii="Times New Roman" w:hAnsi="Times New Roman" w:cs="Times New Roman"/>
                <w:b/>
              </w:rPr>
              <w:t>2018-19</w:t>
            </w:r>
          </w:p>
        </w:tc>
        <w:tc>
          <w:tcPr>
            <w:tcW w:w="4140" w:type="dxa"/>
          </w:tcPr>
          <w:p w:rsidR="00955362" w:rsidRPr="00C63FC8" w:rsidRDefault="00955362" w:rsidP="00F32ED8">
            <w:pPr>
              <w:autoSpaceDE w:val="0"/>
              <w:autoSpaceDN w:val="0"/>
              <w:adjustRightInd w:val="0"/>
              <w:spacing w:line="360" w:lineRule="auto"/>
              <w:jc w:val="both"/>
              <w:rPr>
                <w:rFonts w:ascii="Times New Roman" w:hAnsi="Times New Roman" w:cs="Times New Roman"/>
                <w:b/>
              </w:rPr>
            </w:pPr>
            <w:r w:rsidRPr="00C63FC8">
              <w:rPr>
                <w:rFonts w:ascii="Times New Roman" w:hAnsi="Times New Roman" w:cs="Times New Roman"/>
                <w:b/>
              </w:rPr>
              <w:t>Comments</w:t>
            </w:r>
          </w:p>
        </w:tc>
      </w:tr>
      <w:tr w:rsidR="00C63FC8" w:rsidRPr="00C63FC8" w:rsidTr="00955362">
        <w:tc>
          <w:tcPr>
            <w:tcW w:w="663"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1</w:t>
            </w:r>
          </w:p>
        </w:tc>
        <w:tc>
          <w:tcPr>
            <w:tcW w:w="3027"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Net interest margin (%)</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2.61</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2.03</w:t>
            </w:r>
          </w:p>
        </w:tc>
        <w:tc>
          <w:tcPr>
            <w:tcW w:w="414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Interest expenses decreased by Rs. 2,319 crore and interest income decreased by Rs. 1,247 crore resulting in an increase in Net Interest Income by Rs 1,072 crore.</w:t>
            </w:r>
          </w:p>
        </w:tc>
      </w:tr>
      <w:tr w:rsidR="00C63FC8" w:rsidRPr="00C63FC8" w:rsidTr="00955362">
        <w:tc>
          <w:tcPr>
            <w:tcW w:w="663"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2</w:t>
            </w:r>
          </w:p>
        </w:tc>
        <w:tc>
          <w:tcPr>
            <w:tcW w:w="3027"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Net NPA% to Net Advances</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4.19</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10.11</w:t>
            </w:r>
          </w:p>
        </w:tc>
        <w:tc>
          <w:tcPr>
            <w:tcW w:w="414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Net NPA has decreased by Rs 9,398 crore</w:t>
            </w:r>
          </w:p>
        </w:tc>
      </w:tr>
      <w:tr w:rsidR="00C63FC8" w:rsidRPr="00C63FC8" w:rsidTr="00955362">
        <w:tc>
          <w:tcPr>
            <w:tcW w:w="663"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3</w:t>
            </w:r>
          </w:p>
        </w:tc>
        <w:tc>
          <w:tcPr>
            <w:tcW w:w="3027"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Provision Coverage Ratio</w:t>
            </w: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(including Technical  Write-offs (TWO))</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93.74%</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82.88%</w:t>
            </w:r>
          </w:p>
        </w:tc>
        <w:tc>
          <w:tcPr>
            <w:tcW w:w="414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 xml:space="preserve">Net NPA as on March 31, 2020 stood at Rs 5,439 crore as against Rs. 14,837 crore as on March 31, 2019. Total Provision (including </w:t>
            </w:r>
            <w:r w:rsidRPr="00C63FC8">
              <w:rPr>
                <w:rFonts w:ascii="Times New Roman" w:hAnsi="Times New Roman" w:cs="Times New Roman"/>
              </w:rPr>
              <w:lastRenderedPageBreak/>
              <w:t>TWO) as on March 31, 2020 increased by Rs 9,273 crore.</w:t>
            </w:r>
          </w:p>
        </w:tc>
      </w:tr>
      <w:tr w:rsidR="00C63FC8" w:rsidRPr="00C63FC8" w:rsidTr="00955362">
        <w:tc>
          <w:tcPr>
            <w:tcW w:w="663"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4</w:t>
            </w:r>
          </w:p>
        </w:tc>
        <w:tc>
          <w:tcPr>
            <w:tcW w:w="3027"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CASA to % of</w:t>
            </w: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total deposits</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47.74%</w:t>
            </w:r>
          </w:p>
        </w:tc>
        <w:tc>
          <w:tcPr>
            <w:tcW w:w="108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p>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42.54%</w:t>
            </w:r>
          </w:p>
        </w:tc>
        <w:tc>
          <w:tcPr>
            <w:tcW w:w="4140" w:type="dxa"/>
          </w:tcPr>
          <w:p w:rsidR="00955362" w:rsidRPr="00C63FC8" w:rsidRDefault="00955362" w:rsidP="00F32ED8">
            <w:pPr>
              <w:autoSpaceDE w:val="0"/>
              <w:autoSpaceDN w:val="0"/>
              <w:adjustRightInd w:val="0"/>
              <w:spacing w:line="360" w:lineRule="auto"/>
              <w:jc w:val="both"/>
              <w:rPr>
                <w:rFonts w:ascii="Times New Roman" w:hAnsi="Times New Roman" w:cs="Times New Roman"/>
              </w:rPr>
            </w:pPr>
            <w:r w:rsidRPr="00C63FC8">
              <w:rPr>
                <w:rFonts w:ascii="Times New Roman" w:hAnsi="Times New Roman" w:cs="Times New Roman"/>
              </w:rPr>
              <w:t>CASA balance increased to Rs 1,06,188 crore as on March 31, 2020 as against Rs 96,730 crore as on March 31, 2019 and total deposits have reduced to Rs 2,22,424 crore as on March 31, 2020 from Rs 2,27,372 crore as on March 31, 2019.</w:t>
            </w:r>
          </w:p>
        </w:tc>
      </w:tr>
    </w:tbl>
    <w:p w:rsidR="00C63FC8" w:rsidRPr="00C63FC8" w:rsidRDefault="00C63FC8" w:rsidP="00F32ED8">
      <w:pPr>
        <w:autoSpaceDE w:val="0"/>
        <w:autoSpaceDN w:val="0"/>
        <w:adjustRightInd w:val="0"/>
        <w:spacing w:after="0" w:line="360" w:lineRule="auto"/>
        <w:ind w:left="360"/>
        <w:jc w:val="both"/>
        <w:rPr>
          <w:rFonts w:ascii="Times New Roman" w:hAnsi="Times New Roman" w:cs="Times New Roman"/>
          <w:b/>
          <w:iCs/>
          <w:u w:val="single"/>
        </w:rPr>
      </w:pPr>
    </w:p>
    <w:p w:rsidR="00AF0324" w:rsidRPr="00C63FC8" w:rsidRDefault="001C31DB" w:rsidP="00F32ED8">
      <w:pPr>
        <w:autoSpaceDE w:val="0"/>
        <w:autoSpaceDN w:val="0"/>
        <w:adjustRightInd w:val="0"/>
        <w:spacing w:after="0" w:line="360" w:lineRule="auto"/>
        <w:ind w:left="360"/>
        <w:jc w:val="both"/>
        <w:rPr>
          <w:rFonts w:ascii="Times New Roman" w:hAnsi="Times New Roman" w:cs="Times New Roman"/>
          <w:b/>
          <w:iCs/>
          <w:u w:val="single"/>
        </w:rPr>
      </w:pPr>
      <w:r w:rsidRPr="00C63FC8">
        <w:rPr>
          <w:rFonts w:ascii="Times New Roman" w:hAnsi="Times New Roman" w:cs="Times New Roman"/>
          <w:b/>
          <w:iCs/>
          <w:u w:val="single"/>
        </w:rPr>
        <w:t>A Detailed Analysis Of The Above Mentioned Ratios:</w:t>
      </w:r>
    </w:p>
    <w:p w:rsidR="001C31DB" w:rsidRPr="00C63FC8" w:rsidRDefault="001C31DB" w:rsidP="00F32ED8">
      <w:pPr>
        <w:autoSpaceDE w:val="0"/>
        <w:autoSpaceDN w:val="0"/>
        <w:adjustRightInd w:val="0"/>
        <w:spacing w:after="0" w:line="360" w:lineRule="auto"/>
        <w:ind w:left="360"/>
        <w:jc w:val="both"/>
        <w:rPr>
          <w:rFonts w:ascii="Times New Roman" w:hAnsi="Times New Roman" w:cs="Times New Roman"/>
          <w:b/>
          <w:iCs/>
          <w:u w:val="single"/>
        </w:rPr>
      </w:pPr>
    </w:p>
    <w:p w:rsidR="001C31DB" w:rsidRPr="00C63FC8" w:rsidRDefault="002B2508"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rPr>
      </w:pPr>
      <w:r w:rsidRPr="00C63FC8">
        <w:rPr>
          <w:rFonts w:ascii="Times New Roman" w:hAnsi="Times New Roman" w:cs="Times New Roman"/>
          <w:u w:val="single"/>
        </w:rPr>
        <w:t>Interest income as a percentage to working funds :</w:t>
      </w:r>
    </w:p>
    <w:p w:rsidR="002B2508" w:rsidRPr="00C63FC8" w:rsidRDefault="002B2508"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2B2508" w:rsidRPr="00C63FC8" w:rsidRDefault="002B2508"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Net Interest Income is the difference between the interest earned from bank’s assets to the interest expenses on the bank’s deposits.</w:t>
      </w:r>
      <w:r w:rsidR="007B3277" w:rsidRPr="00C63FC8">
        <w:rPr>
          <w:rFonts w:ascii="Times New Roman" w:hAnsi="Times New Roman" w:cs="Times New Roman"/>
          <w:shd w:val="clear" w:color="auto" w:fill="FFFFFF"/>
        </w:rPr>
        <w:t xml:space="preserve"> </w:t>
      </w:r>
      <w:r w:rsidRPr="00C63FC8">
        <w:rPr>
          <w:rFonts w:ascii="Times New Roman" w:hAnsi="Times New Roman" w:cs="Times New Roman"/>
          <w:shd w:val="clear" w:color="auto" w:fill="FFFFFF"/>
        </w:rPr>
        <w:t xml:space="preserve">A typical bank’s asset consists of all forms of personal and commercial loans, mortgages and securities. The liabilities are the customer deposits. The excess revenue that is generated from the interest earned on assets over the interest paid out on the deposits is the net interest income. </w:t>
      </w:r>
    </w:p>
    <w:p w:rsidR="007B3277" w:rsidRPr="00C63FC8" w:rsidRDefault="007B3277"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1F1FC0" w:rsidRPr="00C63FC8" w:rsidRDefault="001F1FC0"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shd w:val="clear" w:color="auto" w:fill="FFFFFF"/>
        </w:rPr>
        <w:t xml:space="preserve">Whereas </w:t>
      </w:r>
      <w:r w:rsidRPr="00C63FC8">
        <w:rPr>
          <w:rFonts w:ascii="Times New Roman" w:hAnsi="Times New Roman" w:cs="Times New Roman"/>
        </w:rPr>
        <w:t>Working funds are the total resources (total liabilities or total assets) of a bank as on a particular date. Total resources include capital, reserves and surplus, deposits, borrowings, other liabilities and provision. A high Working Fund shows a bank’s total resources strength.</w:t>
      </w:r>
    </w:p>
    <w:p w:rsidR="001F1FC0" w:rsidRPr="00C63FC8" w:rsidRDefault="001F1FC0"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7B3277" w:rsidRPr="00C63FC8" w:rsidRDefault="007B327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The efficiency will be measured according to this ratio. If this ratio is high, the operational efficiency will be good. </w:t>
      </w:r>
    </w:p>
    <w:p w:rsidR="004378C8" w:rsidRPr="00C63FC8" w:rsidRDefault="007B327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Expressed as a percentage, this ratio shows a bank’s ability to leverage its average total resources in enhancing its mainstream operational interest income.</w:t>
      </w:r>
    </w:p>
    <w:p w:rsidR="007B3277" w:rsidRPr="00C63FC8" w:rsidRDefault="007B3277" w:rsidP="00F32ED8">
      <w:pPr>
        <w:autoSpaceDE w:val="0"/>
        <w:autoSpaceDN w:val="0"/>
        <w:adjustRightInd w:val="0"/>
        <w:spacing w:after="0" w:line="360" w:lineRule="auto"/>
        <w:jc w:val="both"/>
        <w:rPr>
          <w:rFonts w:ascii="Times New Roman" w:hAnsi="Times New Roman" w:cs="Times New Roman"/>
          <w:shd w:val="clear" w:color="auto" w:fill="FFFFFF"/>
        </w:rPr>
      </w:pPr>
    </w:p>
    <w:p w:rsidR="00496EE2" w:rsidRPr="00C63FC8" w:rsidRDefault="004378C8"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 xml:space="preserve">In the above given extract, this ratio as on </w:t>
      </w:r>
      <w:r w:rsidR="00247FF9" w:rsidRPr="00C63FC8">
        <w:rPr>
          <w:rFonts w:ascii="Times New Roman" w:hAnsi="Times New Roman" w:cs="Times New Roman"/>
          <w:shd w:val="clear" w:color="auto" w:fill="FFFFFF"/>
        </w:rPr>
        <w:t>31</w:t>
      </w:r>
      <w:r w:rsidR="00247FF9" w:rsidRPr="00C63FC8">
        <w:rPr>
          <w:rFonts w:ascii="Times New Roman" w:hAnsi="Times New Roman" w:cs="Times New Roman"/>
          <w:shd w:val="clear" w:color="auto" w:fill="FFFFFF"/>
          <w:vertAlign w:val="superscript"/>
        </w:rPr>
        <w:t>st</w:t>
      </w:r>
      <w:r w:rsidR="00247FF9" w:rsidRPr="00C63FC8">
        <w:rPr>
          <w:rFonts w:ascii="Times New Roman" w:hAnsi="Times New Roman" w:cs="Times New Roman"/>
          <w:shd w:val="clear" w:color="auto" w:fill="FFFFFF"/>
        </w:rPr>
        <w:t xml:space="preserve"> march, </w:t>
      </w:r>
      <w:r w:rsidRPr="00C63FC8">
        <w:rPr>
          <w:rFonts w:ascii="Times New Roman" w:hAnsi="Times New Roman" w:cs="Times New Roman"/>
          <w:shd w:val="clear" w:color="auto" w:fill="FFFFFF"/>
        </w:rPr>
        <w:t>2019 was at 6.84% which increased to 6.88% as on 31</w:t>
      </w:r>
      <w:r w:rsidRPr="00C63FC8">
        <w:rPr>
          <w:rFonts w:ascii="Times New Roman" w:hAnsi="Times New Roman" w:cs="Times New Roman"/>
          <w:shd w:val="clear" w:color="auto" w:fill="FFFFFF"/>
          <w:vertAlign w:val="superscript"/>
        </w:rPr>
        <w:t>st</w:t>
      </w:r>
      <w:r w:rsidRPr="00C63FC8">
        <w:rPr>
          <w:rFonts w:ascii="Times New Roman" w:hAnsi="Times New Roman" w:cs="Times New Roman"/>
          <w:shd w:val="clear" w:color="auto" w:fill="FFFFFF"/>
        </w:rPr>
        <w:t xml:space="preserve"> march, 2020.</w:t>
      </w:r>
      <w:r w:rsidR="007B3277" w:rsidRPr="00C63FC8">
        <w:rPr>
          <w:rFonts w:ascii="Times New Roman" w:hAnsi="Times New Roman" w:cs="Times New Roman"/>
          <w:shd w:val="clear" w:color="auto" w:fill="FFFFFF"/>
        </w:rPr>
        <w:t xml:space="preserve"> </w:t>
      </w:r>
      <w:r w:rsidRPr="00C63FC8">
        <w:rPr>
          <w:rFonts w:ascii="Times New Roman" w:hAnsi="Times New Roman" w:cs="Times New Roman"/>
          <w:shd w:val="clear" w:color="auto" w:fill="FFFFFF"/>
        </w:rPr>
        <w:t xml:space="preserve">The 0.04% increase is considered positive for the company as a high ratio is a good sign for a financing company. It means the bank is using its funds efficiently to earn interest. </w:t>
      </w:r>
    </w:p>
    <w:p w:rsidR="007B3277" w:rsidRDefault="007B3277" w:rsidP="00F32ED8">
      <w:pPr>
        <w:pStyle w:val="ListParagraph"/>
        <w:autoSpaceDE w:val="0"/>
        <w:autoSpaceDN w:val="0"/>
        <w:adjustRightInd w:val="0"/>
        <w:spacing w:after="0" w:line="360" w:lineRule="auto"/>
        <w:jc w:val="both"/>
        <w:rPr>
          <w:rFonts w:ascii="Times New Roman" w:hAnsi="Times New Roman" w:cs="Times New Roman"/>
          <w:u w:val="single"/>
          <w:shd w:val="clear" w:color="auto" w:fill="FFFFFF"/>
        </w:rPr>
      </w:pPr>
    </w:p>
    <w:p w:rsidR="00961705" w:rsidRDefault="00961705" w:rsidP="00F32ED8">
      <w:pPr>
        <w:pStyle w:val="ListParagraph"/>
        <w:autoSpaceDE w:val="0"/>
        <w:autoSpaceDN w:val="0"/>
        <w:adjustRightInd w:val="0"/>
        <w:spacing w:after="0" w:line="360" w:lineRule="auto"/>
        <w:jc w:val="both"/>
        <w:rPr>
          <w:rFonts w:ascii="Times New Roman" w:hAnsi="Times New Roman" w:cs="Times New Roman"/>
          <w:u w:val="single"/>
          <w:shd w:val="clear" w:color="auto" w:fill="FFFFFF"/>
        </w:rPr>
      </w:pPr>
    </w:p>
    <w:p w:rsidR="00496EE2" w:rsidRPr="00C63FC8" w:rsidRDefault="00496EE2"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shd w:val="clear" w:color="auto" w:fill="FFFFFF"/>
        </w:rPr>
      </w:pPr>
      <w:r w:rsidRPr="00C63FC8">
        <w:rPr>
          <w:rFonts w:ascii="Times New Roman" w:hAnsi="Times New Roman" w:cs="Times New Roman"/>
          <w:u w:val="single"/>
        </w:rPr>
        <w:lastRenderedPageBreak/>
        <w:t>Non-interest income as a percentage to working funds</w:t>
      </w:r>
    </w:p>
    <w:p w:rsidR="00587D36" w:rsidRPr="00C63FC8" w:rsidRDefault="00587D36" w:rsidP="00F32ED8">
      <w:pPr>
        <w:pStyle w:val="ListParagraph"/>
        <w:autoSpaceDE w:val="0"/>
        <w:autoSpaceDN w:val="0"/>
        <w:adjustRightInd w:val="0"/>
        <w:spacing w:after="0" w:line="360" w:lineRule="auto"/>
        <w:jc w:val="both"/>
        <w:rPr>
          <w:rFonts w:ascii="Times New Roman" w:hAnsi="Times New Roman" w:cs="Times New Roman"/>
          <w:u w:val="single"/>
          <w:shd w:val="clear" w:color="auto" w:fill="FFFFFF"/>
        </w:rPr>
      </w:pPr>
    </w:p>
    <w:p w:rsidR="00667406" w:rsidRPr="00C63FC8" w:rsidRDefault="00667406"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Any other operational income other than interest income of a bank is Non-Interest Income, which includes commission, brokerage, gains on revaluation of assets etc. </w:t>
      </w:r>
    </w:p>
    <w:p w:rsidR="00667406" w:rsidRPr="00C63FC8" w:rsidRDefault="00667406" w:rsidP="00F32ED8">
      <w:pPr>
        <w:pStyle w:val="ListParagraph"/>
        <w:autoSpaceDE w:val="0"/>
        <w:autoSpaceDN w:val="0"/>
        <w:adjustRightInd w:val="0"/>
        <w:spacing w:after="0" w:line="360" w:lineRule="auto"/>
        <w:jc w:val="both"/>
        <w:rPr>
          <w:rFonts w:ascii="Times New Roman" w:hAnsi="Times New Roman" w:cs="Times New Roman"/>
        </w:rPr>
      </w:pPr>
    </w:p>
    <w:p w:rsidR="00667406" w:rsidRPr="00C63FC8" w:rsidRDefault="00667406"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This ratio also represents the operational efficiency of a bank. </w:t>
      </w:r>
    </w:p>
    <w:p w:rsidR="00667406" w:rsidRPr="00C63FC8" w:rsidRDefault="00667406" w:rsidP="00F32ED8">
      <w:pPr>
        <w:pStyle w:val="ListParagraph"/>
        <w:autoSpaceDE w:val="0"/>
        <w:autoSpaceDN w:val="0"/>
        <w:adjustRightInd w:val="0"/>
        <w:spacing w:after="0" w:line="360" w:lineRule="auto"/>
        <w:jc w:val="both"/>
        <w:rPr>
          <w:rFonts w:ascii="Times New Roman" w:hAnsi="Times New Roman" w:cs="Times New Roman"/>
        </w:rPr>
      </w:pPr>
    </w:p>
    <w:p w:rsidR="00496EE2" w:rsidRDefault="00667406"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The percentage as on 31</w:t>
      </w:r>
      <w:r w:rsidRPr="00C63FC8">
        <w:rPr>
          <w:rFonts w:ascii="Times New Roman" w:hAnsi="Times New Roman" w:cs="Times New Roman"/>
          <w:vertAlign w:val="superscript"/>
        </w:rPr>
        <w:t>st</w:t>
      </w:r>
      <w:r w:rsidRPr="00C63FC8">
        <w:rPr>
          <w:rFonts w:ascii="Times New Roman" w:hAnsi="Times New Roman" w:cs="Times New Roman"/>
        </w:rPr>
        <w:t xml:space="preserve"> march, 2019 was 1.02% and as on 31</w:t>
      </w:r>
      <w:r w:rsidRPr="00C63FC8">
        <w:rPr>
          <w:rFonts w:ascii="Times New Roman" w:hAnsi="Times New Roman" w:cs="Times New Roman"/>
          <w:vertAlign w:val="superscript"/>
        </w:rPr>
        <w:t>st</w:t>
      </w:r>
      <w:r w:rsidRPr="00C63FC8">
        <w:rPr>
          <w:rFonts w:ascii="Times New Roman" w:hAnsi="Times New Roman" w:cs="Times New Roman"/>
        </w:rPr>
        <w:t xml:space="preserve"> march, 2020 was 1.48%. As there is an increase in the ratio by 0.46% this indicates that the operational efficiency of a bank will be high as this ratio is higher.</w:t>
      </w:r>
    </w:p>
    <w:p w:rsidR="00F32ED8" w:rsidRPr="00C63FC8" w:rsidRDefault="00F32ED8" w:rsidP="00F32ED8">
      <w:pPr>
        <w:pStyle w:val="ListParagraph"/>
        <w:autoSpaceDE w:val="0"/>
        <w:autoSpaceDN w:val="0"/>
        <w:adjustRightInd w:val="0"/>
        <w:spacing w:after="0" w:line="360" w:lineRule="auto"/>
        <w:jc w:val="both"/>
        <w:rPr>
          <w:rFonts w:ascii="Times New Roman" w:hAnsi="Times New Roman" w:cs="Times New Roman"/>
        </w:rPr>
      </w:pPr>
    </w:p>
    <w:p w:rsidR="00587D36" w:rsidRPr="00C63FC8" w:rsidRDefault="00587D36"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shd w:val="clear" w:color="auto" w:fill="FFFFFF"/>
        </w:rPr>
      </w:pPr>
      <w:r w:rsidRPr="00C63FC8">
        <w:rPr>
          <w:rFonts w:ascii="Times New Roman" w:hAnsi="Times New Roman" w:cs="Times New Roman"/>
          <w:u w:val="single"/>
        </w:rPr>
        <w:t>Operating profit as a percentage to working funds:</w:t>
      </w:r>
    </w:p>
    <w:p w:rsidR="00977048" w:rsidRPr="00C63FC8" w:rsidRDefault="00977048" w:rsidP="00F32ED8">
      <w:pPr>
        <w:pStyle w:val="ListParagraph"/>
        <w:autoSpaceDE w:val="0"/>
        <w:autoSpaceDN w:val="0"/>
        <w:adjustRightInd w:val="0"/>
        <w:spacing w:after="0" w:line="360" w:lineRule="auto"/>
        <w:jc w:val="both"/>
        <w:rPr>
          <w:rFonts w:ascii="Times New Roman" w:hAnsi="Times New Roman" w:cs="Times New Roman"/>
        </w:rPr>
      </w:pPr>
    </w:p>
    <w:p w:rsidR="00587D36" w:rsidRPr="00C63FC8" w:rsidRDefault="004641B0"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Operating Profit means net profit before provisions and contingencies. This is an indicator of a bank’s Profitability at the operating level. In other words it shows a bank's operating efficiency.</w:t>
      </w:r>
    </w:p>
    <w:p w:rsidR="004641B0" w:rsidRPr="00C63FC8" w:rsidRDefault="004641B0" w:rsidP="00F32ED8">
      <w:pPr>
        <w:pStyle w:val="ListParagraph"/>
        <w:autoSpaceDE w:val="0"/>
        <w:autoSpaceDN w:val="0"/>
        <w:adjustRightInd w:val="0"/>
        <w:spacing w:after="0" w:line="360" w:lineRule="auto"/>
        <w:jc w:val="both"/>
        <w:rPr>
          <w:rFonts w:ascii="Times New Roman" w:hAnsi="Times New Roman" w:cs="Times New Roman"/>
        </w:rPr>
      </w:pPr>
    </w:p>
    <w:p w:rsidR="004641B0" w:rsidRPr="00C63FC8" w:rsidRDefault="004641B0"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This ratio is a profitability parameter for the performance of a bank. This Ratio relates to operating profit with average working funds. If this ratio improves, operating efficiency is believed increased.</w:t>
      </w:r>
    </w:p>
    <w:p w:rsidR="00977048" w:rsidRPr="00C63FC8" w:rsidRDefault="00977048"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The ratio for the years </w:t>
      </w:r>
      <w:r w:rsidR="00247FF9" w:rsidRPr="00C63FC8">
        <w:rPr>
          <w:rFonts w:ascii="Times New Roman" w:hAnsi="Times New Roman" w:cs="Times New Roman"/>
        </w:rPr>
        <w:t>2018-</w:t>
      </w:r>
      <w:r w:rsidRPr="00C63FC8">
        <w:rPr>
          <w:rFonts w:ascii="Times New Roman" w:hAnsi="Times New Roman" w:cs="Times New Roman"/>
        </w:rPr>
        <w:t xml:space="preserve">2019 and </w:t>
      </w:r>
      <w:r w:rsidR="00247FF9" w:rsidRPr="00C63FC8">
        <w:rPr>
          <w:rFonts w:ascii="Times New Roman" w:hAnsi="Times New Roman" w:cs="Times New Roman"/>
        </w:rPr>
        <w:t>2019-</w:t>
      </w:r>
      <w:r w:rsidRPr="00C63FC8">
        <w:rPr>
          <w:rFonts w:ascii="Times New Roman" w:hAnsi="Times New Roman" w:cs="Times New Roman"/>
        </w:rPr>
        <w:t>2020 of the bank were 1.26% and 1.69% respectively. As there is an increase in the ratio it can be said that there is an increase in the profitability of the bank.</w:t>
      </w:r>
    </w:p>
    <w:p w:rsidR="00FB654B" w:rsidRPr="00C63FC8" w:rsidRDefault="00FB654B" w:rsidP="00F32ED8">
      <w:pPr>
        <w:pStyle w:val="ListParagraph"/>
        <w:autoSpaceDE w:val="0"/>
        <w:autoSpaceDN w:val="0"/>
        <w:adjustRightInd w:val="0"/>
        <w:spacing w:after="0" w:line="360" w:lineRule="auto"/>
        <w:jc w:val="both"/>
        <w:rPr>
          <w:rFonts w:ascii="Times New Roman" w:hAnsi="Times New Roman" w:cs="Times New Roman"/>
        </w:rPr>
      </w:pPr>
    </w:p>
    <w:p w:rsidR="00FB654B" w:rsidRPr="00ED62D6" w:rsidRDefault="00D960F0"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shd w:val="clear" w:color="auto" w:fill="FFFFFF"/>
        </w:rPr>
      </w:pPr>
      <w:r w:rsidRPr="00C63FC8">
        <w:rPr>
          <w:rFonts w:ascii="Times New Roman" w:hAnsi="Times New Roman" w:cs="Times New Roman"/>
          <w:u w:val="single"/>
        </w:rPr>
        <w:t>Return on assets</w:t>
      </w:r>
      <w:r w:rsidR="002251A7" w:rsidRPr="00C63FC8">
        <w:rPr>
          <w:rFonts w:ascii="Times New Roman" w:hAnsi="Times New Roman" w:cs="Times New Roman"/>
          <w:u w:val="single"/>
        </w:rPr>
        <w:t xml:space="preserve"> (ROA):</w:t>
      </w:r>
    </w:p>
    <w:p w:rsidR="00ED62D6" w:rsidRPr="00C63FC8" w:rsidRDefault="00ED62D6" w:rsidP="00ED62D6">
      <w:pPr>
        <w:pStyle w:val="ListParagraph"/>
        <w:autoSpaceDE w:val="0"/>
        <w:autoSpaceDN w:val="0"/>
        <w:adjustRightInd w:val="0"/>
        <w:spacing w:after="0" w:line="360" w:lineRule="auto"/>
        <w:jc w:val="both"/>
        <w:rPr>
          <w:rFonts w:ascii="Times New Roman" w:hAnsi="Times New Roman" w:cs="Times New Roman"/>
          <w:u w:val="single"/>
          <w:shd w:val="clear" w:color="auto" w:fill="FFFFFF"/>
        </w:rPr>
      </w:pP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This ratio is an indicator of how profitable a bank is relative to its total assets.</w:t>
      </w: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The Return On Assets gives an idea as to how efficient management is at using its assets to generate earnings. Calculated by dividing net profit of a bank by its total assets, ROA is displayed as a percentage. ROA tells you what earnings were generated from assets. </w:t>
      </w: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t xml:space="preserve">It measures the amount of profit the Bank generates as a percentage of the value of its total assets. The profit percentage of assets varies by Banking industry, but in general, the higher the ROA the better. Falling ROA is almost always a problem. It is a key indicator of profit and asset management efficiency. </w:t>
      </w: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p>
    <w:p w:rsidR="002251A7" w:rsidRPr="00C63FC8" w:rsidRDefault="002251A7" w:rsidP="00F32ED8">
      <w:pPr>
        <w:pStyle w:val="ListParagraph"/>
        <w:autoSpaceDE w:val="0"/>
        <w:autoSpaceDN w:val="0"/>
        <w:adjustRightInd w:val="0"/>
        <w:spacing w:after="0" w:line="360" w:lineRule="auto"/>
        <w:jc w:val="both"/>
        <w:rPr>
          <w:rFonts w:ascii="Times New Roman" w:hAnsi="Times New Roman" w:cs="Times New Roman"/>
        </w:rPr>
      </w:pPr>
      <w:r w:rsidRPr="00C63FC8">
        <w:rPr>
          <w:rFonts w:ascii="Times New Roman" w:hAnsi="Times New Roman" w:cs="Times New Roman"/>
        </w:rPr>
        <w:lastRenderedPageBreak/>
        <w:t xml:space="preserve">As per the annual report the ROA in </w:t>
      </w:r>
      <w:r w:rsidR="00247FF9" w:rsidRPr="00C63FC8">
        <w:rPr>
          <w:rFonts w:ascii="Times New Roman" w:hAnsi="Times New Roman" w:cs="Times New Roman"/>
        </w:rPr>
        <w:t>2018-</w:t>
      </w:r>
      <w:r w:rsidRPr="00C63FC8">
        <w:rPr>
          <w:rFonts w:ascii="Times New Roman" w:hAnsi="Times New Roman" w:cs="Times New Roman"/>
        </w:rPr>
        <w:t xml:space="preserve">2019 as well as </w:t>
      </w:r>
      <w:r w:rsidR="00247FF9" w:rsidRPr="00C63FC8">
        <w:rPr>
          <w:rFonts w:ascii="Times New Roman" w:hAnsi="Times New Roman" w:cs="Times New Roman"/>
        </w:rPr>
        <w:t>2019-</w:t>
      </w:r>
      <w:r w:rsidRPr="00C63FC8">
        <w:rPr>
          <w:rFonts w:ascii="Times New Roman" w:hAnsi="Times New Roman" w:cs="Times New Roman"/>
        </w:rPr>
        <w:t>2020 was negative at (4.68%) and (4.26%) respectively. But we can see that the negative ROA has been significantly reduced by 0.42%. Therefore, it indicates how well the bank’s assets are managed to bring profit of asset that has been invested to the bank.</w:t>
      </w:r>
    </w:p>
    <w:p w:rsidR="00F32ED8" w:rsidRPr="00C63FC8" w:rsidRDefault="00F32ED8" w:rsidP="00F32ED8">
      <w:pPr>
        <w:pStyle w:val="ListParagraph"/>
        <w:autoSpaceDE w:val="0"/>
        <w:autoSpaceDN w:val="0"/>
        <w:adjustRightInd w:val="0"/>
        <w:spacing w:after="0" w:line="360" w:lineRule="auto"/>
        <w:jc w:val="both"/>
        <w:rPr>
          <w:rFonts w:ascii="Times New Roman" w:hAnsi="Times New Roman" w:cs="Times New Roman"/>
        </w:rPr>
      </w:pPr>
    </w:p>
    <w:p w:rsidR="004E17F6" w:rsidRPr="00C63FC8" w:rsidRDefault="004E17F6"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rPr>
      </w:pPr>
      <w:r w:rsidRPr="00C63FC8">
        <w:rPr>
          <w:rFonts w:ascii="Times New Roman" w:hAnsi="Times New Roman" w:cs="Times New Roman"/>
          <w:u w:val="single"/>
        </w:rPr>
        <w:t>Business (Deposits plus advances) per employee:</w:t>
      </w:r>
    </w:p>
    <w:p w:rsidR="00956481" w:rsidRPr="00C63FC8" w:rsidRDefault="00956481" w:rsidP="00F32ED8">
      <w:pPr>
        <w:pStyle w:val="ListParagraph"/>
        <w:autoSpaceDE w:val="0"/>
        <w:autoSpaceDN w:val="0"/>
        <w:adjustRightInd w:val="0"/>
        <w:spacing w:after="0" w:line="360" w:lineRule="auto"/>
        <w:jc w:val="both"/>
        <w:rPr>
          <w:rFonts w:ascii="Times New Roman" w:hAnsi="Times New Roman" w:cs="Times New Roman"/>
          <w:u w:val="single"/>
        </w:rPr>
      </w:pPr>
    </w:p>
    <w:p w:rsidR="004E17F6" w:rsidRPr="00C63FC8" w:rsidRDefault="007664BB"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bCs/>
          <w:shd w:val="clear" w:color="auto" w:fill="FFFFFF"/>
        </w:rPr>
        <w:t>Business per employee</w:t>
      </w:r>
      <w:r w:rsidRPr="00C63FC8">
        <w:rPr>
          <w:rFonts w:ascii="Times New Roman" w:hAnsi="Times New Roman" w:cs="Times New Roman"/>
          <w:shd w:val="clear" w:color="auto" w:fill="FFFFFF"/>
        </w:rPr>
        <w:t> ratio is related with the </w:t>
      </w:r>
      <w:r w:rsidRPr="00C63FC8">
        <w:rPr>
          <w:rFonts w:ascii="Times New Roman" w:hAnsi="Times New Roman" w:cs="Times New Roman"/>
          <w:bCs/>
          <w:shd w:val="clear" w:color="auto" w:fill="FFFFFF"/>
        </w:rPr>
        <w:t>employee's</w:t>
      </w:r>
      <w:r w:rsidRPr="00C63FC8">
        <w:rPr>
          <w:rFonts w:ascii="Times New Roman" w:hAnsi="Times New Roman" w:cs="Times New Roman"/>
          <w:shd w:val="clear" w:color="auto" w:fill="FFFFFF"/>
        </w:rPr>
        <w:t> productivity. It can be </w:t>
      </w:r>
      <w:r w:rsidRPr="00C63FC8">
        <w:rPr>
          <w:rFonts w:ascii="Times New Roman" w:hAnsi="Times New Roman" w:cs="Times New Roman"/>
          <w:bCs/>
          <w:shd w:val="clear" w:color="auto" w:fill="FFFFFF"/>
        </w:rPr>
        <w:t>calculated</w:t>
      </w:r>
      <w:r w:rsidRPr="00C63FC8">
        <w:rPr>
          <w:rFonts w:ascii="Times New Roman" w:hAnsi="Times New Roman" w:cs="Times New Roman"/>
          <w:shd w:val="clear" w:color="auto" w:fill="FFFFFF"/>
        </w:rPr>
        <w:t> by dividing the total </w:t>
      </w:r>
      <w:r w:rsidRPr="00C63FC8">
        <w:rPr>
          <w:rFonts w:ascii="Times New Roman" w:hAnsi="Times New Roman" w:cs="Times New Roman"/>
          <w:bCs/>
          <w:shd w:val="clear" w:color="auto" w:fill="FFFFFF"/>
        </w:rPr>
        <w:t>business</w:t>
      </w:r>
      <w:r w:rsidRPr="00C63FC8">
        <w:rPr>
          <w:rFonts w:ascii="Times New Roman" w:hAnsi="Times New Roman" w:cs="Times New Roman"/>
          <w:shd w:val="clear" w:color="auto" w:fill="FFFFFF"/>
        </w:rPr>
        <w:t> of the </w:t>
      </w:r>
      <w:r w:rsidRPr="00C63FC8">
        <w:rPr>
          <w:rFonts w:ascii="Times New Roman" w:hAnsi="Times New Roman" w:cs="Times New Roman"/>
          <w:bCs/>
          <w:shd w:val="clear" w:color="auto" w:fill="FFFFFF"/>
        </w:rPr>
        <w:t>bank</w:t>
      </w:r>
      <w:r w:rsidRPr="00C63FC8">
        <w:rPr>
          <w:rFonts w:ascii="Times New Roman" w:hAnsi="Times New Roman" w:cs="Times New Roman"/>
          <w:shd w:val="clear" w:color="auto" w:fill="FFFFFF"/>
        </w:rPr>
        <w:t> by number of </w:t>
      </w:r>
      <w:r w:rsidRPr="00C63FC8">
        <w:rPr>
          <w:rFonts w:ascii="Times New Roman" w:hAnsi="Times New Roman" w:cs="Times New Roman"/>
          <w:bCs/>
          <w:shd w:val="clear" w:color="auto" w:fill="FFFFFF"/>
        </w:rPr>
        <w:t>employees</w:t>
      </w:r>
      <w:r w:rsidRPr="00C63FC8">
        <w:rPr>
          <w:rFonts w:ascii="Times New Roman" w:hAnsi="Times New Roman" w:cs="Times New Roman"/>
          <w:shd w:val="clear" w:color="auto" w:fill="FFFFFF"/>
        </w:rPr>
        <w:t>. Higher the ratio, better it is.</w:t>
      </w:r>
    </w:p>
    <w:p w:rsidR="007664BB" w:rsidRPr="00C63FC8" w:rsidRDefault="007664BB" w:rsidP="00F32ED8">
      <w:pPr>
        <w:pStyle w:val="ListParagraph"/>
        <w:autoSpaceDE w:val="0"/>
        <w:autoSpaceDN w:val="0"/>
        <w:adjustRightInd w:val="0"/>
        <w:spacing w:after="0" w:line="360" w:lineRule="auto"/>
        <w:jc w:val="both"/>
        <w:rPr>
          <w:rFonts w:ascii="Times New Roman" w:hAnsi="Times New Roman" w:cs="Times New Roman"/>
          <w:bCs/>
          <w:shd w:val="clear" w:color="auto" w:fill="FFFFFF"/>
        </w:rPr>
      </w:pPr>
      <w:r w:rsidRPr="00C63FC8">
        <w:rPr>
          <w:rFonts w:ascii="Times New Roman" w:hAnsi="Times New Roman" w:cs="Times New Roman"/>
          <w:bCs/>
          <w:shd w:val="clear" w:color="auto" w:fill="FFFFFF"/>
        </w:rPr>
        <w:t xml:space="preserve">As the ratio </w:t>
      </w:r>
      <w:r w:rsidR="00201F7C" w:rsidRPr="00C63FC8">
        <w:rPr>
          <w:rFonts w:ascii="Times New Roman" w:hAnsi="Times New Roman" w:cs="Times New Roman"/>
          <w:bCs/>
          <w:shd w:val="clear" w:color="auto" w:fill="FFFFFF"/>
        </w:rPr>
        <w:t>has been significantly de</w:t>
      </w:r>
      <w:r w:rsidRPr="00C63FC8">
        <w:rPr>
          <w:rFonts w:ascii="Times New Roman" w:hAnsi="Times New Roman" w:cs="Times New Roman"/>
          <w:bCs/>
          <w:shd w:val="clear" w:color="auto" w:fill="FFFFFF"/>
        </w:rPr>
        <w:t>crease</w:t>
      </w:r>
      <w:r w:rsidR="00201F7C" w:rsidRPr="00C63FC8">
        <w:rPr>
          <w:rFonts w:ascii="Times New Roman" w:hAnsi="Times New Roman" w:cs="Times New Roman"/>
          <w:bCs/>
          <w:shd w:val="clear" w:color="auto" w:fill="FFFFFF"/>
        </w:rPr>
        <w:t>d</w:t>
      </w:r>
      <w:r w:rsidR="00247FF9" w:rsidRPr="00C63FC8">
        <w:rPr>
          <w:rFonts w:ascii="Times New Roman" w:hAnsi="Times New Roman" w:cs="Times New Roman"/>
          <w:bCs/>
          <w:shd w:val="clear" w:color="auto" w:fill="FFFFFF"/>
        </w:rPr>
        <w:t xml:space="preserve"> from 20.84% </w:t>
      </w:r>
      <w:r w:rsidR="00201F7C" w:rsidRPr="00C63FC8">
        <w:rPr>
          <w:rFonts w:ascii="Times New Roman" w:hAnsi="Times New Roman" w:cs="Times New Roman"/>
          <w:bCs/>
          <w:shd w:val="clear" w:color="auto" w:fill="FFFFFF"/>
        </w:rPr>
        <w:t xml:space="preserve">to 18.51% </w:t>
      </w:r>
      <w:r w:rsidR="00247FF9" w:rsidRPr="00C63FC8">
        <w:rPr>
          <w:rFonts w:ascii="Times New Roman" w:hAnsi="Times New Roman" w:cs="Times New Roman"/>
          <w:bCs/>
          <w:shd w:val="clear" w:color="auto" w:fill="FFFFFF"/>
        </w:rPr>
        <w:t>from 2018-19</w:t>
      </w:r>
      <w:r w:rsidRPr="00C63FC8">
        <w:rPr>
          <w:rFonts w:ascii="Times New Roman" w:hAnsi="Times New Roman" w:cs="Times New Roman"/>
          <w:bCs/>
          <w:shd w:val="clear" w:color="auto" w:fill="FFFFFF"/>
        </w:rPr>
        <w:t xml:space="preserve"> to </w:t>
      </w:r>
      <w:r w:rsidR="00247FF9" w:rsidRPr="00C63FC8">
        <w:rPr>
          <w:rFonts w:ascii="Times New Roman" w:hAnsi="Times New Roman" w:cs="Times New Roman"/>
          <w:bCs/>
          <w:shd w:val="clear" w:color="auto" w:fill="FFFFFF"/>
        </w:rPr>
        <w:t>2019-</w:t>
      </w:r>
      <w:r w:rsidRPr="00C63FC8">
        <w:rPr>
          <w:rFonts w:ascii="Times New Roman" w:hAnsi="Times New Roman" w:cs="Times New Roman"/>
          <w:bCs/>
          <w:shd w:val="clear" w:color="auto" w:fill="FFFFFF"/>
        </w:rPr>
        <w:t xml:space="preserve">2020, it can be said that the employee productivity is </w:t>
      </w:r>
      <w:r w:rsidR="001F5F7A" w:rsidRPr="00C63FC8">
        <w:rPr>
          <w:rFonts w:ascii="Times New Roman" w:hAnsi="Times New Roman" w:cs="Times New Roman"/>
          <w:bCs/>
          <w:shd w:val="clear" w:color="auto" w:fill="FFFFFF"/>
        </w:rPr>
        <w:t xml:space="preserve">not that </w:t>
      </w:r>
      <w:r w:rsidR="00956481" w:rsidRPr="00C63FC8">
        <w:rPr>
          <w:rFonts w:ascii="Times New Roman" w:hAnsi="Times New Roman" w:cs="Times New Roman"/>
          <w:bCs/>
          <w:shd w:val="clear" w:color="auto" w:fill="FFFFFF"/>
        </w:rPr>
        <w:t>efficient</w:t>
      </w:r>
      <w:r w:rsidR="001F5F7A" w:rsidRPr="00C63FC8">
        <w:rPr>
          <w:rFonts w:ascii="Times New Roman" w:hAnsi="Times New Roman" w:cs="Times New Roman"/>
          <w:bCs/>
          <w:shd w:val="clear" w:color="auto" w:fill="FFFFFF"/>
        </w:rPr>
        <w:t xml:space="preserve"> in the current period when compared with the previous year</w:t>
      </w:r>
      <w:r w:rsidRPr="00C63FC8">
        <w:rPr>
          <w:rFonts w:ascii="Times New Roman" w:hAnsi="Times New Roman" w:cs="Times New Roman"/>
          <w:bCs/>
          <w:shd w:val="clear" w:color="auto" w:fill="FFFFFF"/>
        </w:rPr>
        <w:t>.</w:t>
      </w:r>
    </w:p>
    <w:p w:rsidR="00956481" w:rsidRPr="00C63FC8" w:rsidRDefault="00956481" w:rsidP="00F32ED8">
      <w:pPr>
        <w:pStyle w:val="ListParagraph"/>
        <w:autoSpaceDE w:val="0"/>
        <w:autoSpaceDN w:val="0"/>
        <w:adjustRightInd w:val="0"/>
        <w:spacing w:after="0" w:line="360" w:lineRule="auto"/>
        <w:jc w:val="both"/>
        <w:rPr>
          <w:rFonts w:ascii="Times New Roman" w:hAnsi="Times New Roman" w:cs="Times New Roman"/>
          <w:bCs/>
          <w:shd w:val="clear" w:color="auto" w:fill="FFFFFF"/>
        </w:rPr>
      </w:pPr>
    </w:p>
    <w:p w:rsidR="00956481" w:rsidRPr="00C63FC8" w:rsidRDefault="00956481"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rPr>
      </w:pPr>
      <w:r w:rsidRPr="00C63FC8">
        <w:rPr>
          <w:rFonts w:ascii="Times New Roman" w:hAnsi="Times New Roman" w:cs="Times New Roman"/>
          <w:u w:val="single"/>
        </w:rPr>
        <w:t>Profit/ (loss) per employee :</w:t>
      </w: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u w:val="single"/>
        </w:rPr>
      </w:pP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Profit per Employee is a measure of Net Income for the past twelve months divided by the current number of Full-Time Equivalent employees</w:t>
      </w: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The Bank has a loss per employee in the last two financial years at (0.</w:t>
      </w:r>
      <w:r w:rsidR="00201F7C" w:rsidRPr="00C63FC8">
        <w:rPr>
          <w:rFonts w:ascii="Times New Roman" w:hAnsi="Times New Roman" w:cs="Times New Roman"/>
          <w:shd w:val="clear" w:color="auto" w:fill="FFFFFF"/>
        </w:rPr>
        <w:t>88%) and (0.73</w:t>
      </w:r>
      <w:r w:rsidRPr="00C63FC8">
        <w:rPr>
          <w:rFonts w:ascii="Times New Roman" w:hAnsi="Times New Roman" w:cs="Times New Roman"/>
          <w:shd w:val="clear" w:color="auto" w:fill="FFFFFF"/>
        </w:rPr>
        <w:t>%) for 2018-19 and 2019-20 respectively.</w:t>
      </w: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 xml:space="preserve">Since the loss increased in the current year compared to the previous year, it is advisable that the bank strive for improved employee efficiency. </w:t>
      </w:r>
    </w:p>
    <w:p w:rsidR="00D1633D" w:rsidRPr="00C63FC8" w:rsidRDefault="00D1633D"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Improvements can be achieved either with investments in training and culture or by investing in processes and automation.</w:t>
      </w:r>
    </w:p>
    <w:p w:rsidR="00955362" w:rsidRPr="00C63FC8" w:rsidRDefault="00955362"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955362" w:rsidRDefault="00955362"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shd w:val="clear" w:color="auto" w:fill="FFFFFF"/>
        </w:rPr>
      </w:pPr>
      <w:r w:rsidRPr="00C63FC8">
        <w:rPr>
          <w:rFonts w:ascii="Times New Roman" w:hAnsi="Times New Roman" w:cs="Times New Roman"/>
          <w:u w:val="single"/>
          <w:shd w:val="clear" w:color="auto" w:fill="FFFFFF"/>
        </w:rPr>
        <w:t>Net Interest Margin (%):</w:t>
      </w:r>
    </w:p>
    <w:p w:rsidR="00ED62D6" w:rsidRPr="00C63FC8" w:rsidRDefault="00ED62D6" w:rsidP="00ED62D6">
      <w:pPr>
        <w:pStyle w:val="ListParagraph"/>
        <w:autoSpaceDE w:val="0"/>
        <w:autoSpaceDN w:val="0"/>
        <w:adjustRightInd w:val="0"/>
        <w:spacing w:after="0" w:line="360" w:lineRule="auto"/>
        <w:jc w:val="both"/>
        <w:rPr>
          <w:rFonts w:ascii="Times New Roman" w:hAnsi="Times New Roman" w:cs="Times New Roman"/>
          <w:u w:val="single"/>
          <w:shd w:val="clear" w:color="auto" w:fill="FFFFFF"/>
        </w:rPr>
      </w:pPr>
    </w:p>
    <w:p w:rsidR="00A44D30" w:rsidRPr="00C63FC8" w:rsidRDefault="00A44D30" w:rsidP="00F32ED8">
      <w:pPr>
        <w:pStyle w:val="comp"/>
        <w:shd w:val="clear" w:color="auto" w:fill="FFFFFF"/>
        <w:spacing w:before="0" w:beforeAutospacing="0" w:line="360" w:lineRule="auto"/>
        <w:ind w:left="720"/>
        <w:jc w:val="both"/>
        <w:rPr>
          <w:sz w:val="22"/>
          <w:szCs w:val="22"/>
        </w:rPr>
      </w:pPr>
      <w:r w:rsidRPr="00C63FC8">
        <w:rPr>
          <w:sz w:val="22"/>
          <w:szCs w:val="22"/>
        </w:rPr>
        <w:t>Net interest margin is a measurement comparing the net interest income a bank generates from credit products like loans and mortgages, with the outgoing interest it pays holders of savings accounts and deposits. Expressed as a percentage, it is a profitability indicator that approximates the ability to thrive in the long run. This ratio helps in understanding the profitability of their interest income versus their interest expenses.</w:t>
      </w:r>
    </w:p>
    <w:p w:rsidR="00A44D30" w:rsidRPr="00C63FC8" w:rsidRDefault="00A44D30" w:rsidP="00F32ED8">
      <w:pPr>
        <w:pStyle w:val="comp"/>
        <w:shd w:val="clear" w:color="auto" w:fill="FFFFFF"/>
        <w:spacing w:before="0" w:beforeAutospacing="0" w:line="360" w:lineRule="auto"/>
        <w:ind w:left="720"/>
        <w:jc w:val="both"/>
        <w:rPr>
          <w:sz w:val="22"/>
          <w:szCs w:val="22"/>
        </w:rPr>
      </w:pPr>
      <w:r w:rsidRPr="00C63FC8">
        <w:rPr>
          <w:sz w:val="22"/>
          <w:szCs w:val="22"/>
        </w:rPr>
        <w:lastRenderedPageBreak/>
        <w:t>a positive net interest margin suggests that an entity operates profitably, while a negative figure implies investment inefficiency.</w:t>
      </w:r>
    </w:p>
    <w:p w:rsidR="00A44D30" w:rsidRDefault="00A44D30" w:rsidP="00F32ED8">
      <w:pPr>
        <w:pStyle w:val="comp"/>
        <w:shd w:val="clear" w:color="auto" w:fill="FFFFFF"/>
        <w:spacing w:before="0" w:beforeAutospacing="0" w:line="360" w:lineRule="auto"/>
        <w:ind w:left="720"/>
        <w:jc w:val="both"/>
        <w:rPr>
          <w:sz w:val="22"/>
          <w:szCs w:val="22"/>
        </w:rPr>
      </w:pPr>
      <w:r w:rsidRPr="00C63FC8">
        <w:rPr>
          <w:sz w:val="22"/>
          <w:szCs w:val="22"/>
        </w:rPr>
        <w:t>Given the net interest margin increased</w:t>
      </w:r>
      <w:r w:rsidR="00A244CA" w:rsidRPr="00C63FC8">
        <w:rPr>
          <w:sz w:val="22"/>
          <w:szCs w:val="22"/>
        </w:rPr>
        <w:t xml:space="preserve"> from 2.03% to 2.61% which indicates</w:t>
      </w:r>
      <w:r w:rsidRPr="00C63FC8">
        <w:rPr>
          <w:sz w:val="22"/>
          <w:szCs w:val="22"/>
        </w:rPr>
        <w:t xml:space="preserve"> </w:t>
      </w:r>
      <w:r w:rsidR="00A244CA" w:rsidRPr="00C63FC8">
        <w:rPr>
          <w:sz w:val="22"/>
          <w:szCs w:val="22"/>
        </w:rPr>
        <w:t xml:space="preserve">that </w:t>
      </w:r>
      <w:r w:rsidRPr="00C63FC8">
        <w:rPr>
          <w:sz w:val="22"/>
          <w:szCs w:val="22"/>
        </w:rPr>
        <w:t>the bank more profitable.</w:t>
      </w:r>
    </w:p>
    <w:p w:rsidR="00082278" w:rsidRPr="00C63FC8" w:rsidRDefault="00082278" w:rsidP="00F32ED8">
      <w:pPr>
        <w:pStyle w:val="comp"/>
        <w:numPr>
          <w:ilvl w:val="0"/>
          <w:numId w:val="4"/>
        </w:numPr>
        <w:shd w:val="clear" w:color="auto" w:fill="FFFFFF"/>
        <w:spacing w:before="0" w:beforeAutospacing="0" w:line="360" w:lineRule="auto"/>
        <w:jc w:val="both"/>
        <w:rPr>
          <w:sz w:val="22"/>
          <w:szCs w:val="22"/>
          <w:u w:val="single"/>
        </w:rPr>
      </w:pPr>
      <w:r w:rsidRPr="00C63FC8">
        <w:rPr>
          <w:sz w:val="22"/>
          <w:szCs w:val="22"/>
          <w:u w:val="single"/>
        </w:rPr>
        <w:t>Net NPA% to Net Advances :</w:t>
      </w:r>
    </w:p>
    <w:p w:rsidR="00AA53BE" w:rsidRPr="00C63FC8" w:rsidRDefault="00AA53BE" w:rsidP="00F32ED8">
      <w:pPr>
        <w:pStyle w:val="comp"/>
        <w:shd w:val="clear" w:color="auto" w:fill="FFFFFF"/>
        <w:spacing w:before="0" w:beforeAutospacing="0" w:line="360" w:lineRule="auto"/>
        <w:ind w:left="720"/>
        <w:jc w:val="both"/>
        <w:rPr>
          <w:sz w:val="22"/>
          <w:szCs w:val="22"/>
        </w:rPr>
      </w:pPr>
      <w:r w:rsidRPr="00C63FC8">
        <w:rPr>
          <w:sz w:val="22"/>
          <w:szCs w:val="22"/>
        </w:rPr>
        <w:t>'Non-Performing Asset or</w:t>
      </w:r>
      <w:r w:rsidR="009C3B28" w:rsidRPr="00C63FC8">
        <w:rPr>
          <w:sz w:val="22"/>
          <w:szCs w:val="22"/>
        </w:rPr>
        <w:t xml:space="preserve"> NPA’</w:t>
      </w:r>
      <w:r w:rsidRPr="00C63FC8">
        <w:rPr>
          <w:sz w:val="22"/>
          <w:szCs w:val="22"/>
        </w:rPr>
        <w:t xml:space="preserve"> is a</w:t>
      </w:r>
      <w:r w:rsidR="009C3B28" w:rsidRPr="00C63FC8">
        <w:rPr>
          <w:sz w:val="22"/>
          <w:szCs w:val="22"/>
        </w:rPr>
        <w:t xml:space="preserve"> classification used by financial institutions that refer to loans that are in jeopardy of default. Once the borrower has failed to make interest or principal payments for 90 days the loan is considered to be a nonperforming asset. </w:t>
      </w:r>
    </w:p>
    <w:p w:rsidR="00082278" w:rsidRPr="00C63FC8" w:rsidRDefault="009C3B28" w:rsidP="00F32ED8">
      <w:pPr>
        <w:pStyle w:val="comp"/>
        <w:shd w:val="clear" w:color="auto" w:fill="FFFFFF"/>
        <w:spacing w:before="0" w:beforeAutospacing="0" w:line="360" w:lineRule="auto"/>
        <w:ind w:left="720"/>
        <w:jc w:val="both"/>
        <w:rPr>
          <w:sz w:val="22"/>
          <w:szCs w:val="22"/>
        </w:rPr>
      </w:pPr>
      <w:r w:rsidRPr="00C63FC8">
        <w:rPr>
          <w:sz w:val="22"/>
          <w:szCs w:val="22"/>
        </w:rPr>
        <w:t>Gross NPA is the amount outstanding in the borrowal account, in books of the bank other than the interest which has been recorded and not debited to the borrowal account.</w:t>
      </w:r>
    </w:p>
    <w:p w:rsidR="00AA53BE" w:rsidRPr="00C63FC8" w:rsidRDefault="009C3B28" w:rsidP="00F32ED8">
      <w:pPr>
        <w:pStyle w:val="comp"/>
        <w:shd w:val="clear" w:color="auto" w:fill="FFFFFF"/>
        <w:spacing w:before="0" w:beforeAutospacing="0" w:line="360" w:lineRule="auto"/>
        <w:ind w:left="720"/>
        <w:jc w:val="both"/>
        <w:rPr>
          <w:sz w:val="22"/>
          <w:szCs w:val="22"/>
        </w:rPr>
      </w:pPr>
      <w:r w:rsidRPr="00C63FC8">
        <w:rPr>
          <w:sz w:val="22"/>
          <w:szCs w:val="22"/>
        </w:rPr>
        <w:t>Net NPAs is the amount of gross NPAs less</w:t>
      </w:r>
    </w:p>
    <w:p w:rsidR="00AA53BE" w:rsidRPr="00C63FC8" w:rsidRDefault="009C3B28" w:rsidP="00F32ED8">
      <w:pPr>
        <w:pStyle w:val="comp"/>
        <w:numPr>
          <w:ilvl w:val="0"/>
          <w:numId w:val="5"/>
        </w:numPr>
        <w:shd w:val="clear" w:color="auto" w:fill="FFFFFF"/>
        <w:spacing w:before="0" w:beforeAutospacing="0" w:line="360" w:lineRule="auto"/>
        <w:jc w:val="both"/>
        <w:rPr>
          <w:sz w:val="22"/>
          <w:szCs w:val="22"/>
        </w:rPr>
      </w:pPr>
      <w:r w:rsidRPr="00C63FC8">
        <w:rPr>
          <w:sz w:val="22"/>
          <w:szCs w:val="22"/>
        </w:rPr>
        <w:t xml:space="preserve"> interest debited to borrowal and not recovered and not recognized as income and kept in interest suspense </w:t>
      </w:r>
    </w:p>
    <w:p w:rsidR="00AA53BE" w:rsidRPr="00C63FC8" w:rsidRDefault="009C3B28" w:rsidP="00F32ED8">
      <w:pPr>
        <w:pStyle w:val="comp"/>
        <w:numPr>
          <w:ilvl w:val="0"/>
          <w:numId w:val="5"/>
        </w:numPr>
        <w:shd w:val="clear" w:color="auto" w:fill="FFFFFF"/>
        <w:spacing w:before="0" w:beforeAutospacing="0" w:line="360" w:lineRule="auto"/>
        <w:jc w:val="both"/>
        <w:rPr>
          <w:sz w:val="22"/>
          <w:szCs w:val="22"/>
        </w:rPr>
      </w:pPr>
      <w:r w:rsidRPr="00C63FC8">
        <w:rPr>
          <w:sz w:val="22"/>
          <w:szCs w:val="22"/>
        </w:rPr>
        <w:t xml:space="preserve">amount of provisions held in respect of NPAs and </w:t>
      </w:r>
    </w:p>
    <w:p w:rsidR="009D2DFC" w:rsidRPr="00C63FC8" w:rsidRDefault="009C3B28" w:rsidP="00F32ED8">
      <w:pPr>
        <w:pStyle w:val="comp"/>
        <w:numPr>
          <w:ilvl w:val="0"/>
          <w:numId w:val="5"/>
        </w:numPr>
        <w:shd w:val="clear" w:color="auto" w:fill="FFFFFF"/>
        <w:spacing w:before="0" w:beforeAutospacing="0" w:line="360" w:lineRule="auto"/>
        <w:jc w:val="both"/>
        <w:rPr>
          <w:sz w:val="22"/>
          <w:szCs w:val="22"/>
        </w:rPr>
      </w:pPr>
      <w:r w:rsidRPr="00C63FC8">
        <w:rPr>
          <w:sz w:val="22"/>
          <w:szCs w:val="22"/>
        </w:rPr>
        <w:t xml:space="preserve">amount of claim received and not appropriated. </w:t>
      </w:r>
    </w:p>
    <w:p w:rsidR="009D2DFC" w:rsidRPr="00C63FC8" w:rsidRDefault="009C3B28" w:rsidP="00F32ED8">
      <w:pPr>
        <w:pStyle w:val="comp"/>
        <w:shd w:val="clear" w:color="auto" w:fill="FFFFFF"/>
        <w:spacing w:before="0" w:beforeAutospacing="0" w:line="360" w:lineRule="auto"/>
        <w:ind w:left="720"/>
        <w:jc w:val="both"/>
        <w:rPr>
          <w:sz w:val="22"/>
          <w:szCs w:val="22"/>
        </w:rPr>
      </w:pPr>
      <w:r w:rsidRPr="00C63FC8">
        <w:rPr>
          <w:sz w:val="22"/>
          <w:szCs w:val="22"/>
        </w:rPr>
        <w:t xml:space="preserve">The Net NPA as Percentage to Net Advances is calculated as follows: </w:t>
      </w:r>
    </w:p>
    <w:p w:rsidR="009C3B28" w:rsidRPr="00C63FC8" w:rsidRDefault="009C3B28" w:rsidP="00F32ED8">
      <w:pPr>
        <w:pStyle w:val="comp"/>
        <w:shd w:val="clear" w:color="auto" w:fill="FFFFFF"/>
        <w:spacing w:before="0" w:beforeAutospacing="0" w:line="360" w:lineRule="auto"/>
        <w:ind w:left="720"/>
        <w:jc w:val="both"/>
        <w:rPr>
          <w:sz w:val="22"/>
          <w:szCs w:val="22"/>
        </w:rPr>
      </w:pPr>
      <w:r w:rsidRPr="00C63FC8">
        <w:rPr>
          <w:sz w:val="22"/>
          <w:szCs w:val="22"/>
        </w:rPr>
        <w:t>Net NPA as Percentage</w:t>
      </w:r>
      <w:r w:rsidR="009D2DFC" w:rsidRPr="00C63FC8">
        <w:rPr>
          <w:sz w:val="22"/>
          <w:szCs w:val="22"/>
        </w:rPr>
        <w:t xml:space="preserve"> To Net Advances</w:t>
      </w:r>
      <w:r w:rsidRPr="00C63FC8">
        <w:rPr>
          <w:sz w:val="22"/>
          <w:szCs w:val="22"/>
        </w:rPr>
        <w:t xml:space="preserve"> = </w:t>
      </w:r>
      <w:r w:rsidR="009D2DFC" w:rsidRPr="00C63FC8">
        <w:rPr>
          <w:sz w:val="22"/>
          <w:szCs w:val="22"/>
        </w:rPr>
        <w:t>(</w:t>
      </w:r>
      <w:r w:rsidRPr="00C63FC8">
        <w:rPr>
          <w:sz w:val="22"/>
          <w:szCs w:val="22"/>
        </w:rPr>
        <w:t>Net NPA</w:t>
      </w:r>
      <w:r w:rsidR="009D2DFC" w:rsidRPr="00C63FC8">
        <w:rPr>
          <w:sz w:val="22"/>
          <w:szCs w:val="22"/>
        </w:rPr>
        <w:t xml:space="preserve"> /</w:t>
      </w:r>
      <w:r w:rsidRPr="00C63FC8">
        <w:rPr>
          <w:sz w:val="22"/>
          <w:szCs w:val="22"/>
        </w:rPr>
        <w:t xml:space="preserve">  Net Advances</w:t>
      </w:r>
      <w:r w:rsidR="009D2DFC" w:rsidRPr="00C63FC8">
        <w:rPr>
          <w:sz w:val="22"/>
          <w:szCs w:val="22"/>
        </w:rPr>
        <w:t>) x 100</w:t>
      </w:r>
    </w:p>
    <w:p w:rsidR="00AA53BE" w:rsidRPr="00C63FC8" w:rsidRDefault="00AA53BE" w:rsidP="00F32ED8">
      <w:pPr>
        <w:pStyle w:val="comp"/>
        <w:shd w:val="clear" w:color="auto" w:fill="FFFFFF"/>
        <w:spacing w:before="0" w:beforeAutospacing="0" w:line="360" w:lineRule="auto"/>
        <w:ind w:left="720"/>
        <w:jc w:val="both"/>
        <w:rPr>
          <w:sz w:val="22"/>
          <w:szCs w:val="22"/>
        </w:rPr>
      </w:pPr>
      <w:r w:rsidRPr="00C63FC8">
        <w:rPr>
          <w:sz w:val="22"/>
          <w:szCs w:val="22"/>
        </w:rPr>
        <w:t>The ratio has been decreased from 10.11 to 4.19 during the current year as the NET NPA has b</w:t>
      </w:r>
      <w:r w:rsidR="0001235F" w:rsidRPr="00C63FC8">
        <w:rPr>
          <w:sz w:val="22"/>
          <w:szCs w:val="22"/>
        </w:rPr>
        <w:t>een decreased by Rs.9398 crores, which is a positive indication for the bank.</w:t>
      </w:r>
    </w:p>
    <w:p w:rsidR="005A2152" w:rsidRPr="00C63FC8" w:rsidRDefault="005A2152"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rPr>
      </w:pPr>
      <w:r w:rsidRPr="00C63FC8">
        <w:rPr>
          <w:rFonts w:ascii="Times New Roman" w:hAnsi="Times New Roman" w:cs="Times New Roman"/>
          <w:u w:val="single"/>
        </w:rPr>
        <w:t>Provision Coverage Ratio:</w:t>
      </w:r>
    </w:p>
    <w:p w:rsidR="00113B5C" w:rsidRPr="00C63FC8" w:rsidRDefault="00113B5C" w:rsidP="00F32ED8">
      <w:pPr>
        <w:pStyle w:val="ListParagraph"/>
        <w:autoSpaceDE w:val="0"/>
        <w:autoSpaceDN w:val="0"/>
        <w:adjustRightInd w:val="0"/>
        <w:spacing w:after="0" w:line="360" w:lineRule="auto"/>
        <w:jc w:val="both"/>
        <w:rPr>
          <w:rFonts w:ascii="Times New Roman" w:hAnsi="Times New Roman" w:cs="Times New Roman"/>
          <w:u w:val="single"/>
        </w:rPr>
      </w:pPr>
    </w:p>
    <w:p w:rsidR="005A2152" w:rsidRPr="00C63FC8" w:rsidRDefault="00113B5C"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bCs/>
          <w:shd w:val="clear" w:color="auto" w:fill="FFFFFF"/>
        </w:rPr>
        <w:t>Provisioning Coverage Ratio</w:t>
      </w:r>
      <w:r w:rsidRPr="00C63FC8">
        <w:rPr>
          <w:rFonts w:ascii="Times New Roman" w:hAnsi="Times New Roman" w:cs="Times New Roman"/>
          <w:shd w:val="clear" w:color="auto" w:fill="FFFFFF"/>
        </w:rPr>
        <w:t> (PCR) is essentially the </w:t>
      </w:r>
      <w:r w:rsidRPr="00C63FC8">
        <w:rPr>
          <w:rFonts w:ascii="Times New Roman" w:hAnsi="Times New Roman" w:cs="Times New Roman"/>
          <w:bCs/>
          <w:shd w:val="clear" w:color="auto" w:fill="FFFFFF"/>
        </w:rPr>
        <w:t>ratio</w:t>
      </w:r>
      <w:r w:rsidRPr="00C63FC8">
        <w:rPr>
          <w:rFonts w:ascii="Times New Roman" w:hAnsi="Times New Roman" w:cs="Times New Roman"/>
          <w:shd w:val="clear" w:color="auto" w:fill="FFFFFF"/>
        </w:rPr>
        <w:t> of </w:t>
      </w:r>
      <w:r w:rsidRPr="00C63FC8">
        <w:rPr>
          <w:rFonts w:ascii="Times New Roman" w:hAnsi="Times New Roman" w:cs="Times New Roman"/>
          <w:bCs/>
          <w:shd w:val="clear" w:color="auto" w:fill="FFFFFF"/>
        </w:rPr>
        <w:t>provisioning</w:t>
      </w:r>
      <w:r w:rsidRPr="00C63FC8">
        <w:rPr>
          <w:rFonts w:ascii="Times New Roman" w:hAnsi="Times New Roman" w:cs="Times New Roman"/>
          <w:shd w:val="clear" w:color="auto" w:fill="FFFFFF"/>
        </w:rPr>
        <w:t> to gross non-performing assets (NPA) and indicates the extent of funds a bank has kept aside to cover loan losses</w:t>
      </w:r>
    </w:p>
    <w:p w:rsidR="00DD0A33" w:rsidRPr="00C63FC8" w:rsidRDefault="00DD0A33"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An Ideal PCR ratio is above 70%.</w:t>
      </w:r>
    </w:p>
    <w:p w:rsidR="00DD0A33" w:rsidRPr="00C63FC8" w:rsidRDefault="00DD0A33"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DD0A33" w:rsidRPr="00C63FC8" w:rsidRDefault="00DD0A33"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The PC ratio for the last two financial years were 82.88% and 93.74% and therefore it means most asset quality issues have been taken care of and the bank is not vulnerable.</w:t>
      </w:r>
    </w:p>
    <w:p w:rsidR="009E238A" w:rsidRDefault="009E238A" w:rsidP="00F32ED8">
      <w:pPr>
        <w:pStyle w:val="ListParagraph"/>
        <w:numPr>
          <w:ilvl w:val="0"/>
          <w:numId w:val="4"/>
        </w:numPr>
        <w:autoSpaceDE w:val="0"/>
        <w:autoSpaceDN w:val="0"/>
        <w:adjustRightInd w:val="0"/>
        <w:spacing w:after="0" w:line="360" w:lineRule="auto"/>
        <w:jc w:val="both"/>
        <w:rPr>
          <w:rFonts w:ascii="Times New Roman" w:hAnsi="Times New Roman" w:cs="Times New Roman"/>
          <w:u w:val="single"/>
        </w:rPr>
      </w:pPr>
      <w:r w:rsidRPr="00C63FC8">
        <w:rPr>
          <w:rFonts w:ascii="Times New Roman" w:hAnsi="Times New Roman" w:cs="Times New Roman"/>
          <w:u w:val="single"/>
        </w:rPr>
        <w:lastRenderedPageBreak/>
        <w:t>CASA to % of total deposits</w:t>
      </w:r>
    </w:p>
    <w:p w:rsidR="0098357B" w:rsidRPr="00C63FC8" w:rsidRDefault="0098357B" w:rsidP="0098357B">
      <w:pPr>
        <w:pStyle w:val="ListParagraph"/>
        <w:autoSpaceDE w:val="0"/>
        <w:autoSpaceDN w:val="0"/>
        <w:adjustRightInd w:val="0"/>
        <w:spacing w:after="0" w:line="360" w:lineRule="auto"/>
        <w:jc w:val="both"/>
        <w:rPr>
          <w:rFonts w:ascii="Times New Roman" w:hAnsi="Times New Roman" w:cs="Times New Roman"/>
          <w:u w:val="single"/>
        </w:rPr>
      </w:pPr>
    </w:p>
    <w:p w:rsidR="00F050BE" w:rsidRPr="00C63FC8" w:rsidRDefault="00F050BE"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bCs/>
          <w:shd w:val="clear" w:color="auto" w:fill="FFFFFF"/>
        </w:rPr>
        <w:t>CASA</w:t>
      </w:r>
      <w:r w:rsidRPr="00C63FC8">
        <w:rPr>
          <w:rFonts w:ascii="Times New Roman" w:hAnsi="Times New Roman" w:cs="Times New Roman"/>
          <w:shd w:val="clear" w:color="auto" w:fill="FFFFFF"/>
        </w:rPr>
        <w:t> stands for Current Account Saving Account. This is a unique feature which </w:t>
      </w:r>
      <w:r w:rsidRPr="00C63FC8">
        <w:rPr>
          <w:rFonts w:ascii="Times New Roman" w:hAnsi="Times New Roman" w:cs="Times New Roman"/>
          <w:bCs/>
          <w:shd w:val="clear" w:color="auto" w:fill="FFFFFF"/>
        </w:rPr>
        <w:t>banks</w:t>
      </w:r>
      <w:r w:rsidRPr="00C63FC8">
        <w:rPr>
          <w:rFonts w:ascii="Times New Roman" w:hAnsi="Times New Roman" w:cs="Times New Roman"/>
          <w:shd w:val="clear" w:color="auto" w:fill="FFFFFF"/>
        </w:rPr>
        <w:t> offer to their customers to make them keep their money in their </w:t>
      </w:r>
      <w:r w:rsidRPr="00C63FC8">
        <w:rPr>
          <w:rFonts w:ascii="Times New Roman" w:hAnsi="Times New Roman" w:cs="Times New Roman"/>
          <w:bCs/>
          <w:shd w:val="clear" w:color="auto" w:fill="FFFFFF"/>
        </w:rPr>
        <w:t>banks</w:t>
      </w:r>
      <w:r w:rsidRPr="00C63FC8">
        <w:rPr>
          <w:rFonts w:ascii="Times New Roman" w:hAnsi="Times New Roman" w:cs="Times New Roman"/>
          <w:shd w:val="clear" w:color="auto" w:fill="FFFFFF"/>
        </w:rPr>
        <w:t>. The account combines the benefits of savings account and checking accounts</w:t>
      </w:r>
    </w:p>
    <w:p w:rsidR="00F050BE" w:rsidRPr="00C63FC8" w:rsidRDefault="00F050BE"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955362" w:rsidRPr="00C63FC8" w:rsidRDefault="00F050BE"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T</w:t>
      </w:r>
      <w:r w:rsidR="00BF32CF" w:rsidRPr="00C63FC8">
        <w:rPr>
          <w:rFonts w:ascii="Times New Roman" w:hAnsi="Times New Roman" w:cs="Times New Roman"/>
          <w:shd w:val="clear" w:color="auto" w:fill="FFFFFF"/>
        </w:rPr>
        <w:t>he</w:t>
      </w:r>
      <w:r w:rsidRPr="00C63FC8">
        <w:rPr>
          <w:rFonts w:ascii="Times New Roman" w:hAnsi="Times New Roman" w:cs="Times New Roman"/>
          <w:shd w:val="clear" w:color="auto" w:fill="FFFFFF"/>
        </w:rPr>
        <w:t xml:space="preserve"> ratio is a </w:t>
      </w:r>
      <w:r w:rsidR="00BF32CF" w:rsidRPr="00C63FC8">
        <w:rPr>
          <w:rFonts w:ascii="Times New Roman" w:hAnsi="Times New Roman" w:cs="Times New Roman"/>
          <w:shd w:val="clear" w:color="auto" w:fill="FFFFFF"/>
        </w:rPr>
        <w:t>proportion of current account and savings account deposits in the total deposits of the bank.</w:t>
      </w:r>
    </w:p>
    <w:p w:rsidR="00BF32CF" w:rsidRPr="00C63FC8" w:rsidRDefault="00BF32CF"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r w:rsidRPr="00C63FC8">
        <w:rPr>
          <w:rFonts w:ascii="Times New Roman" w:hAnsi="Times New Roman" w:cs="Times New Roman"/>
          <w:shd w:val="clear" w:color="auto" w:fill="FFFFFF"/>
        </w:rPr>
        <w:t>A low CASA ratio means the bank relies heavily on costlier wholesale funding, which can hurt its margins</w:t>
      </w:r>
      <w:r w:rsidR="00F050BE" w:rsidRPr="00C63FC8">
        <w:rPr>
          <w:rFonts w:ascii="Times New Roman" w:hAnsi="Times New Roman" w:cs="Times New Roman"/>
          <w:shd w:val="clear" w:color="auto" w:fill="FFFFFF"/>
        </w:rPr>
        <w:t>. The ratio has been increased by 5.2% being 42.54% in the previous financial year 2018-19 to 47.74% in the current financial year of 2019-20.</w:t>
      </w:r>
    </w:p>
    <w:p w:rsidR="00201F7C" w:rsidRPr="00C63FC8" w:rsidRDefault="00201F7C" w:rsidP="00F32ED8">
      <w:pPr>
        <w:pStyle w:val="ListParagraph"/>
        <w:autoSpaceDE w:val="0"/>
        <w:autoSpaceDN w:val="0"/>
        <w:adjustRightInd w:val="0"/>
        <w:spacing w:after="0" w:line="360" w:lineRule="auto"/>
        <w:jc w:val="both"/>
        <w:rPr>
          <w:rFonts w:ascii="Times New Roman" w:hAnsi="Times New Roman" w:cs="Times New Roman"/>
          <w:shd w:val="clear" w:color="auto" w:fill="FFFFFF"/>
        </w:rPr>
      </w:pPr>
    </w:p>
    <w:p w:rsidR="004378C8" w:rsidRDefault="00D076BC" w:rsidP="00D076BC">
      <w:pPr>
        <w:autoSpaceDE w:val="0"/>
        <w:autoSpaceDN w:val="0"/>
        <w:adjustRightInd w:val="0"/>
        <w:spacing w:after="0" w:line="360" w:lineRule="auto"/>
        <w:jc w:val="both"/>
        <w:rPr>
          <w:rFonts w:ascii="Times New Roman" w:hAnsi="Times New Roman" w:cs="Times New Roman"/>
          <w:b/>
          <w:u w:val="single"/>
          <w:shd w:val="clear" w:color="auto" w:fill="FFFFFF"/>
        </w:rPr>
      </w:pPr>
      <w:r w:rsidRPr="00D076BC">
        <w:rPr>
          <w:rFonts w:ascii="Times New Roman" w:hAnsi="Times New Roman" w:cs="Times New Roman"/>
          <w:b/>
          <w:u w:val="single"/>
          <w:shd w:val="clear" w:color="auto" w:fill="FFFFFF"/>
        </w:rPr>
        <w:t>Understanding of the Management Discussion and analysis</w:t>
      </w:r>
      <w:r w:rsidR="00C716CE">
        <w:rPr>
          <w:rFonts w:ascii="Times New Roman" w:hAnsi="Times New Roman" w:cs="Times New Roman"/>
          <w:b/>
          <w:u w:val="single"/>
          <w:shd w:val="clear" w:color="auto" w:fill="FFFFFF"/>
        </w:rPr>
        <w:t xml:space="preserve"> (MD&amp;A)</w:t>
      </w:r>
      <w:r>
        <w:rPr>
          <w:rFonts w:ascii="Times New Roman" w:hAnsi="Times New Roman" w:cs="Times New Roman"/>
          <w:b/>
          <w:u w:val="single"/>
          <w:shd w:val="clear" w:color="auto" w:fill="FFFFFF"/>
        </w:rPr>
        <w:t>:</w:t>
      </w:r>
    </w:p>
    <w:p w:rsidR="00D076BC" w:rsidRDefault="00D076BC" w:rsidP="00D076BC">
      <w:pPr>
        <w:autoSpaceDE w:val="0"/>
        <w:autoSpaceDN w:val="0"/>
        <w:adjustRightInd w:val="0"/>
        <w:spacing w:after="0" w:line="360" w:lineRule="auto"/>
        <w:jc w:val="both"/>
        <w:rPr>
          <w:rFonts w:ascii="Times New Roman" w:hAnsi="Times New Roman" w:cs="Times New Roman"/>
          <w:b/>
          <w:u w:val="single"/>
          <w:shd w:val="clear" w:color="auto" w:fill="FFFFFF"/>
        </w:rPr>
      </w:pPr>
    </w:p>
    <w:p w:rsidR="00C716CE" w:rsidRPr="00C716CE" w:rsidRDefault="00C716CE" w:rsidP="00C716CE">
      <w:pPr>
        <w:shd w:val="clear" w:color="auto" w:fill="FFFFFF"/>
        <w:spacing w:after="150" w:line="360" w:lineRule="auto"/>
        <w:jc w:val="both"/>
        <w:rPr>
          <w:rFonts w:ascii="Times New Roman" w:eastAsia="Times New Roman" w:hAnsi="Times New Roman" w:cs="Times New Roman"/>
        </w:rPr>
      </w:pPr>
      <w:r w:rsidRPr="00C716CE">
        <w:rPr>
          <w:rFonts w:ascii="Times New Roman" w:eastAsia="Times New Roman" w:hAnsi="Times New Roman" w:cs="Times New Roman"/>
        </w:rPr>
        <w:t xml:space="preserve">The organizations today are using Management Discussion &amp; Analysis route to demonstrate their commitment to the Company’s vision and strategy, and how the management has created value and delivered performance in light of their long term goals. </w:t>
      </w:r>
    </w:p>
    <w:p w:rsidR="00C716CE" w:rsidRPr="00C716CE" w:rsidRDefault="00C716CE" w:rsidP="00C716CE">
      <w:pPr>
        <w:shd w:val="clear" w:color="auto" w:fill="FFFFFF"/>
        <w:spacing w:after="150" w:line="360" w:lineRule="auto"/>
        <w:jc w:val="both"/>
        <w:rPr>
          <w:rFonts w:ascii="Times New Roman" w:eastAsia="Times New Roman" w:hAnsi="Times New Roman" w:cs="Times New Roman"/>
        </w:rPr>
      </w:pPr>
      <w:r w:rsidRPr="00C716CE">
        <w:rPr>
          <w:rFonts w:ascii="Times New Roman" w:eastAsia="Times New Roman" w:hAnsi="Times New Roman" w:cs="Times New Roman"/>
        </w:rPr>
        <w:t>The work management in MD&amp;A involves complete structure of organization including the Board of Directors, Chief Executive Officer and other Chiefs, their reporting officers/ controllers of various departments– Human Resources (People), Finance, Marketing, Production and Operations, etc and the remaining middle and lower management levels. Hence, MD&amp;A does not only scrutinize financial figures/ results, but also looks into Human resources and operations side of the business, which the fundamental and key factors to any business organization.</w:t>
      </w:r>
    </w:p>
    <w:p w:rsidR="00C716CE" w:rsidRPr="00C716CE" w:rsidRDefault="00C716CE" w:rsidP="00C716CE">
      <w:pPr>
        <w:shd w:val="clear" w:color="auto" w:fill="FFFFFF"/>
        <w:spacing w:after="150" w:line="360" w:lineRule="auto"/>
        <w:jc w:val="both"/>
        <w:rPr>
          <w:rFonts w:ascii="Times New Roman" w:eastAsia="Times New Roman" w:hAnsi="Times New Roman" w:cs="Times New Roman"/>
        </w:rPr>
      </w:pPr>
      <w:r w:rsidRPr="00C716CE">
        <w:rPr>
          <w:rFonts w:ascii="Times New Roman" w:eastAsia="Times New Roman" w:hAnsi="Times New Roman" w:cs="Times New Roman"/>
        </w:rPr>
        <w:t>Its main objectives are –</w:t>
      </w:r>
    </w:p>
    <w:p w:rsidR="00C716CE" w:rsidRPr="00C716CE" w:rsidRDefault="00C716CE" w:rsidP="00C716CE">
      <w:pPr>
        <w:numPr>
          <w:ilvl w:val="0"/>
          <w:numId w:val="7"/>
        </w:numPr>
        <w:shd w:val="clear" w:color="auto" w:fill="FFFFFF"/>
        <w:tabs>
          <w:tab w:val="clear" w:pos="2160"/>
          <w:tab w:val="num" w:pos="1260"/>
        </w:tabs>
        <w:spacing w:after="0" w:line="360" w:lineRule="auto"/>
        <w:ind w:left="1260" w:hanging="450"/>
        <w:jc w:val="both"/>
        <w:rPr>
          <w:rFonts w:ascii="Times New Roman" w:eastAsia="Times New Roman" w:hAnsi="Times New Roman" w:cs="Times New Roman"/>
        </w:rPr>
      </w:pPr>
      <w:r w:rsidRPr="00C716CE">
        <w:rPr>
          <w:rFonts w:ascii="Times New Roman" w:eastAsia="Times New Roman" w:hAnsi="Times New Roman" w:cs="Times New Roman"/>
        </w:rPr>
        <w:t>Enabling readers of the financial statements to understand in better way the numbers, financial condition and to get into management’s shoes to understand certain strategic and operational decisions which are bold and largely impacting the future performance and position of the Company.</w:t>
      </w:r>
    </w:p>
    <w:p w:rsidR="00C716CE" w:rsidRPr="00C716CE" w:rsidRDefault="00C716CE" w:rsidP="00C716CE">
      <w:pPr>
        <w:numPr>
          <w:ilvl w:val="0"/>
          <w:numId w:val="7"/>
        </w:numPr>
        <w:shd w:val="clear" w:color="auto" w:fill="FFFFFF"/>
        <w:tabs>
          <w:tab w:val="clear" w:pos="2160"/>
          <w:tab w:val="num" w:pos="1260"/>
        </w:tabs>
        <w:spacing w:after="0" w:line="360" w:lineRule="auto"/>
        <w:ind w:left="1260" w:hanging="450"/>
        <w:jc w:val="both"/>
        <w:rPr>
          <w:rFonts w:ascii="Times New Roman" w:eastAsia="Times New Roman" w:hAnsi="Times New Roman" w:cs="Times New Roman"/>
        </w:rPr>
      </w:pPr>
      <w:r w:rsidRPr="00C716CE">
        <w:rPr>
          <w:rFonts w:ascii="Times New Roman" w:eastAsia="Times New Roman" w:hAnsi="Times New Roman" w:cs="Times New Roman"/>
        </w:rPr>
        <w:t>Additional supplementary/ complimentary information provided in MD&amp;A will help readers understand what exactly the financial statements depict and what is not reflected.</w:t>
      </w:r>
    </w:p>
    <w:p w:rsidR="00C716CE" w:rsidRPr="00C716CE" w:rsidRDefault="00C716CE" w:rsidP="00C716CE">
      <w:pPr>
        <w:numPr>
          <w:ilvl w:val="0"/>
          <w:numId w:val="7"/>
        </w:numPr>
        <w:shd w:val="clear" w:color="auto" w:fill="FFFFFF"/>
        <w:tabs>
          <w:tab w:val="clear" w:pos="2160"/>
          <w:tab w:val="num" w:pos="1260"/>
        </w:tabs>
        <w:spacing w:after="0" w:line="360" w:lineRule="auto"/>
        <w:ind w:left="1260" w:hanging="450"/>
        <w:jc w:val="both"/>
        <w:rPr>
          <w:rFonts w:ascii="Times New Roman" w:eastAsia="Times New Roman" w:hAnsi="Times New Roman" w:cs="Times New Roman"/>
        </w:rPr>
      </w:pPr>
      <w:r w:rsidRPr="00C716CE">
        <w:rPr>
          <w:rFonts w:ascii="Times New Roman" w:eastAsia="Times New Roman" w:hAnsi="Times New Roman" w:cs="Times New Roman"/>
        </w:rPr>
        <w:t>Addressing the investors’ perception towards the risks associated with the business operations and outlining past trends to indicate the management’s efforts towards mitigating those risks and leading the path towards future financial statements.</w:t>
      </w:r>
    </w:p>
    <w:p w:rsidR="00C716CE" w:rsidRPr="00C716CE" w:rsidRDefault="00C716CE" w:rsidP="00C716CE">
      <w:pPr>
        <w:numPr>
          <w:ilvl w:val="0"/>
          <w:numId w:val="7"/>
        </w:numPr>
        <w:shd w:val="clear" w:color="auto" w:fill="FFFFFF"/>
        <w:tabs>
          <w:tab w:val="clear" w:pos="2160"/>
          <w:tab w:val="num" w:pos="1260"/>
        </w:tabs>
        <w:spacing w:after="150" w:line="360" w:lineRule="auto"/>
        <w:ind w:left="1260" w:hanging="450"/>
        <w:jc w:val="both"/>
        <w:rPr>
          <w:rFonts w:ascii="Times New Roman" w:eastAsia="Times New Roman" w:hAnsi="Times New Roman" w:cs="Times New Roman"/>
        </w:rPr>
      </w:pPr>
      <w:r w:rsidRPr="00C716CE">
        <w:rPr>
          <w:rFonts w:ascii="Times New Roman" w:eastAsia="Times New Roman" w:hAnsi="Times New Roman" w:cs="Times New Roman"/>
        </w:rPr>
        <w:lastRenderedPageBreak/>
        <w:t>There might be certain information, which though not mandated to be disclosed in the financial statements, its additional reference and disclosure by the management can be of added value for the informed decision making by the stakeholders, which include Government authorities. Government authorities, let it be Taxation authorities, capital market watchdogs, fiscal policy makers, banking regulators, etc., try to formulate the operational, fiscal and monetary policies not only based on the quantitative information provided by the Corporate through financial statements, but also based on the qualitative information mentioned in the Management Analysis section on the economy and the industry performance and their future goals.</w:t>
      </w:r>
    </w:p>
    <w:p w:rsidR="00C716CE" w:rsidRPr="00C716CE" w:rsidRDefault="00C716CE" w:rsidP="00C716CE">
      <w:pPr>
        <w:shd w:val="clear" w:color="auto" w:fill="FFFFFF"/>
        <w:spacing w:after="150" w:line="360" w:lineRule="auto"/>
        <w:jc w:val="both"/>
        <w:rPr>
          <w:rFonts w:ascii="Times New Roman" w:eastAsia="Times New Roman" w:hAnsi="Times New Roman" w:cs="Times New Roman"/>
        </w:rPr>
      </w:pPr>
      <w:r w:rsidRPr="00C716CE">
        <w:rPr>
          <w:rFonts w:ascii="Times New Roman" w:eastAsia="Times New Roman" w:hAnsi="Times New Roman" w:cs="Times New Roman"/>
        </w:rPr>
        <w:t>What serves as objectives of MD&amp;A is the benefiting factor to the stakeholder community. First time investors in the equity markets can adopt qualitative and informed decision making based on the information provided by the company’s management in their annual reports.</w:t>
      </w:r>
    </w:p>
    <w:p w:rsidR="00D076BC" w:rsidRDefault="00C716CE" w:rsidP="00D076BC">
      <w:pPr>
        <w:autoSpaceDE w:val="0"/>
        <w:autoSpaceDN w:val="0"/>
        <w:adjustRightInd w:val="0"/>
        <w:spacing w:after="0" w:line="360" w:lineRule="auto"/>
        <w:jc w:val="both"/>
        <w:rPr>
          <w:rFonts w:ascii="Times New Roman" w:hAnsi="Times New Roman" w:cs="Times New Roman"/>
          <w:b/>
          <w:u w:val="single"/>
        </w:rPr>
      </w:pPr>
      <w:r w:rsidRPr="00C716CE">
        <w:rPr>
          <w:rFonts w:ascii="Times New Roman" w:hAnsi="Times New Roman" w:cs="Times New Roman"/>
          <w:b/>
          <w:u w:val="single"/>
        </w:rPr>
        <w:t>Some key information from the MD&amp;A of IDBI annual report are as follow:</w:t>
      </w:r>
    </w:p>
    <w:p w:rsidR="00EF1BE1" w:rsidRDefault="00EF1BE1" w:rsidP="00D076BC">
      <w:pPr>
        <w:autoSpaceDE w:val="0"/>
        <w:autoSpaceDN w:val="0"/>
        <w:adjustRightInd w:val="0"/>
        <w:spacing w:after="0" w:line="360" w:lineRule="auto"/>
        <w:jc w:val="both"/>
        <w:rPr>
          <w:rFonts w:ascii="Times New Roman" w:hAnsi="Times New Roman" w:cs="Times New Roman"/>
          <w:b/>
          <w:u w:val="single"/>
        </w:rPr>
      </w:pPr>
    </w:p>
    <w:bookmarkEnd w:id="0"/>
    <w:p w:rsidR="00EF1BE1" w:rsidRPr="00C716CE" w:rsidRDefault="00EF1BE1" w:rsidP="00D076BC">
      <w:pPr>
        <w:autoSpaceDE w:val="0"/>
        <w:autoSpaceDN w:val="0"/>
        <w:adjustRightInd w:val="0"/>
        <w:spacing w:after="0" w:line="360" w:lineRule="auto"/>
        <w:jc w:val="both"/>
        <w:rPr>
          <w:rFonts w:ascii="Times New Roman" w:hAnsi="Times New Roman" w:cs="Times New Roman"/>
          <w:b/>
          <w:u w:val="single"/>
        </w:rPr>
      </w:pPr>
    </w:p>
    <w:sectPr w:rsidR="00EF1BE1" w:rsidRPr="00C716CE" w:rsidSect="001F5240">
      <w:footerReference w:type="default" r:id="rId7"/>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D56" w:rsidRDefault="00C51D56" w:rsidP="001F5240">
      <w:pPr>
        <w:spacing w:after="0" w:line="240" w:lineRule="auto"/>
      </w:pPr>
      <w:r>
        <w:separator/>
      </w:r>
    </w:p>
  </w:endnote>
  <w:endnote w:type="continuationSeparator" w:id="0">
    <w:p w:rsidR="00C51D56" w:rsidRDefault="00C51D56" w:rsidP="001F5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91548"/>
      <w:docPartObj>
        <w:docPartGallery w:val="Page Numbers (Bottom of Page)"/>
        <w:docPartUnique/>
      </w:docPartObj>
    </w:sdtPr>
    <w:sdtEndPr/>
    <w:sdtContent>
      <w:sdt>
        <w:sdtPr>
          <w:id w:val="-1769616900"/>
          <w:docPartObj>
            <w:docPartGallery w:val="Page Numbers (Top of Page)"/>
            <w:docPartUnique/>
          </w:docPartObj>
        </w:sdtPr>
        <w:sdtEndPr/>
        <w:sdtContent>
          <w:p w:rsidR="001F5240" w:rsidRDefault="001F52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76A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76AF">
              <w:rPr>
                <w:b/>
                <w:bCs/>
                <w:noProof/>
              </w:rPr>
              <w:t>9</w:t>
            </w:r>
            <w:r>
              <w:rPr>
                <w:b/>
                <w:bCs/>
                <w:sz w:val="24"/>
                <w:szCs w:val="24"/>
              </w:rPr>
              <w:fldChar w:fldCharType="end"/>
            </w:r>
          </w:p>
        </w:sdtContent>
      </w:sdt>
    </w:sdtContent>
  </w:sdt>
  <w:p w:rsidR="001F5240" w:rsidRDefault="001F5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D56" w:rsidRDefault="00C51D56" w:rsidP="001F5240">
      <w:pPr>
        <w:spacing w:after="0" w:line="240" w:lineRule="auto"/>
      </w:pPr>
      <w:r>
        <w:separator/>
      </w:r>
    </w:p>
  </w:footnote>
  <w:footnote w:type="continuationSeparator" w:id="0">
    <w:p w:rsidR="00C51D56" w:rsidRDefault="00C51D56" w:rsidP="001F5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6DC0"/>
    <w:multiLevelType w:val="multilevel"/>
    <w:tmpl w:val="699615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76A7D8D"/>
    <w:multiLevelType w:val="hybridMultilevel"/>
    <w:tmpl w:val="052A67DA"/>
    <w:lvl w:ilvl="0" w:tplc="77045D0C">
      <w:start w:val="1"/>
      <w:numFmt w:val="lowerRoman"/>
      <w:lvlText w:val="(%1)"/>
      <w:lvlJc w:val="left"/>
      <w:pPr>
        <w:ind w:left="1080" w:hanging="720"/>
      </w:pPr>
      <w:rPr>
        <w:rFonts w:ascii="Arial" w:hAnsi="Arial" w:cs="Arial" w:hint="default"/>
        <w:color w:val="282828"/>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B423B"/>
    <w:multiLevelType w:val="multilevel"/>
    <w:tmpl w:val="217AC4C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31565F95"/>
    <w:multiLevelType w:val="hybridMultilevel"/>
    <w:tmpl w:val="F90E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A5A43"/>
    <w:multiLevelType w:val="hybridMultilevel"/>
    <w:tmpl w:val="DDFC9C9C"/>
    <w:lvl w:ilvl="0" w:tplc="A85AFD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24BBA"/>
    <w:multiLevelType w:val="hybridMultilevel"/>
    <w:tmpl w:val="B710962E"/>
    <w:lvl w:ilvl="0" w:tplc="B3AC6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0F3682"/>
    <w:multiLevelType w:val="hybridMultilevel"/>
    <w:tmpl w:val="036C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5B"/>
    <w:rsid w:val="0001235F"/>
    <w:rsid w:val="00082278"/>
    <w:rsid w:val="000B5EAF"/>
    <w:rsid w:val="000C0165"/>
    <w:rsid w:val="001035BD"/>
    <w:rsid w:val="00113B5C"/>
    <w:rsid w:val="001C31DB"/>
    <w:rsid w:val="001F1B2E"/>
    <w:rsid w:val="001F1FC0"/>
    <w:rsid w:val="001F5240"/>
    <w:rsid w:val="001F5F7A"/>
    <w:rsid w:val="00201F7C"/>
    <w:rsid w:val="002251A7"/>
    <w:rsid w:val="00235693"/>
    <w:rsid w:val="00246E73"/>
    <w:rsid w:val="00247FF9"/>
    <w:rsid w:val="002A00F4"/>
    <w:rsid w:val="002B2508"/>
    <w:rsid w:val="002D7656"/>
    <w:rsid w:val="003445FF"/>
    <w:rsid w:val="003E60C5"/>
    <w:rsid w:val="003F49C1"/>
    <w:rsid w:val="00432E7F"/>
    <w:rsid w:val="004378C8"/>
    <w:rsid w:val="004641B0"/>
    <w:rsid w:val="004747FA"/>
    <w:rsid w:val="004965FF"/>
    <w:rsid w:val="00496EE2"/>
    <w:rsid w:val="004E17F6"/>
    <w:rsid w:val="004E3D5B"/>
    <w:rsid w:val="005200CF"/>
    <w:rsid w:val="00587D36"/>
    <w:rsid w:val="005952F4"/>
    <w:rsid w:val="005A2152"/>
    <w:rsid w:val="00667406"/>
    <w:rsid w:val="006C4E06"/>
    <w:rsid w:val="006D26E8"/>
    <w:rsid w:val="006E5C4D"/>
    <w:rsid w:val="00721C3B"/>
    <w:rsid w:val="007664BB"/>
    <w:rsid w:val="007B3277"/>
    <w:rsid w:val="0093546F"/>
    <w:rsid w:val="00955362"/>
    <w:rsid w:val="00956481"/>
    <w:rsid w:val="00961705"/>
    <w:rsid w:val="00977048"/>
    <w:rsid w:val="0098357B"/>
    <w:rsid w:val="009C3B28"/>
    <w:rsid w:val="009D2DFC"/>
    <w:rsid w:val="009D56FA"/>
    <w:rsid w:val="009E238A"/>
    <w:rsid w:val="009E4E45"/>
    <w:rsid w:val="00A053F5"/>
    <w:rsid w:val="00A244CA"/>
    <w:rsid w:val="00A44D30"/>
    <w:rsid w:val="00AA53BE"/>
    <w:rsid w:val="00AD57BA"/>
    <w:rsid w:val="00AF0324"/>
    <w:rsid w:val="00B54227"/>
    <w:rsid w:val="00B837FD"/>
    <w:rsid w:val="00BF32CF"/>
    <w:rsid w:val="00BF3F8E"/>
    <w:rsid w:val="00C51D56"/>
    <w:rsid w:val="00C63FC8"/>
    <w:rsid w:val="00C716CE"/>
    <w:rsid w:val="00D076BC"/>
    <w:rsid w:val="00D1633D"/>
    <w:rsid w:val="00D54230"/>
    <w:rsid w:val="00D913E8"/>
    <w:rsid w:val="00D960F0"/>
    <w:rsid w:val="00DB5303"/>
    <w:rsid w:val="00DD0A33"/>
    <w:rsid w:val="00DF7042"/>
    <w:rsid w:val="00ED62D6"/>
    <w:rsid w:val="00EF1BE1"/>
    <w:rsid w:val="00EF3FAD"/>
    <w:rsid w:val="00F050BE"/>
    <w:rsid w:val="00F32ED8"/>
    <w:rsid w:val="00F876AF"/>
    <w:rsid w:val="00FB654B"/>
    <w:rsid w:val="00F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EAD23-FBD5-4B9D-A44D-D27B06DB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240"/>
  </w:style>
  <w:style w:type="paragraph" w:styleId="Footer">
    <w:name w:val="footer"/>
    <w:basedOn w:val="Normal"/>
    <w:link w:val="FooterChar"/>
    <w:uiPriority w:val="99"/>
    <w:unhideWhenUsed/>
    <w:rsid w:val="001F5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240"/>
  </w:style>
  <w:style w:type="table" w:styleId="TableGrid">
    <w:name w:val="Table Grid"/>
    <w:basedOn w:val="TableNormal"/>
    <w:uiPriority w:val="39"/>
    <w:rsid w:val="001F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52F4"/>
    <w:rPr>
      <w:color w:val="0000FF"/>
      <w:u w:val="single"/>
    </w:rPr>
  </w:style>
  <w:style w:type="character" w:customStyle="1" w:styleId="mrboxcom">
    <w:name w:val="mrbox_com"/>
    <w:basedOn w:val="DefaultParagraphFont"/>
    <w:rsid w:val="002D7656"/>
  </w:style>
  <w:style w:type="paragraph" w:styleId="ListParagraph">
    <w:name w:val="List Paragraph"/>
    <w:basedOn w:val="Normal"/>
    <w:uiPriority w:val="34"/>
    <w:qFormat/>
    <w:rsid w:val="002D7656"/>
    <w:pPr>
      <w:ind w:left="720"/>
      <w:contextualSpacing/>
    </w:pPr>
  </w:style>
  <w:style w:type="paragraph" w:customStyle="1" w:styleId="comp">
    <w:name w:val="comp"/>
    <w:basedOn w:val="Normal"/>
    <w:rsid w:val="00A44D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1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541">
      <w:bodyDiv w:val="1"/>
      <w:marLeft w:val="0"/>
      <w:marRight w:val="0"/>
      <w:marTop w:val="0"/>
      <w:marBottom w:val="0"/>
      <w:divBdr>
        <w:top w:val="none" w:sz="0" w:space="0" w:color="auto"/>
        <w:left w:val="none" w:sz="0" w:space="0" w:color="auto"/>
        <w:bottom w:val="none" w:sz="0" w:space="0" w:color="auto"/>
        <w:right w:val="none" w:sz="0" w:space="0" w:color="auto"/>
      </w:divBdr>
    </w:div>
    <w:div w:id="166928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Tenneti, Raghav Venkata Sai (Cognizant)</dc:creator>
  <cp:keywords/>
  <dc:description/>
  <cp:lastModifiedBy>Tenneti, Raghav Venkata Sai (Cognizant)</cp:lastModifiedBy>
  <cp:revision>94</cp:revision>
  <dcterms:created xsi:type="dcterms:W3CDTF">2021-06-27T18:28:00Z</dcterms:created>
  <dcterms:modified xsi:type="dcterms:W3CDTF">2021-06-28T20:12:00Z</dcterms:modified>
</cp:coreProperties>
</file>