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物聯網極限邊緣運算環境下之密碼學工程：進階加密標準（AES-GCM）與 NIST 輕量級密碼學標準（Ascon, TinyJAMBU）之效能與實體足跡深度評估</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壹、 邊緣運算時代的密碼學挑戰與研究界定</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在當前全球數位轉型的基礎設施中，物聯網（Internet of Things, IoT）與邊緣運算（Edge Computing）正扮演著無可替代的關鍵角色。從智慧城市的感測網格、工業 4.0 的自動化控制系統（例如 CAN Bus 通訊），到醫療場域中的植入式微型監測設備，數以百億計的邊緣節點正無間斷地進行資料的採集與無線傳輸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。這些邊緣設備的物理運作環境與傳統的雲端伺服器或個人電腦截然不同，其硬體規格往往面臨著極端的資源限制。典型的物聯網微控制器（Microcontroller, MCU），例如 8-bit 的 AVR 架構（如 ATmega328P）或是 32-bit 的 ARM Cortex-M0、Cortex-M3、Cortex-M4 系列，通常僅配備數千位元組（KB）的隨機存取記憶體（RAM）以及極為有限的唯讀記憶體（ROM 或 Flash）空間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。此外，為了滿足長達數年甚至十年的電池續航力要求，這些設備必須在極低的時脈頻率下運作，並盡可能延長深度休眠（Deep Sleep）的時間。在這樣的物理侷限下，任何額外的運算負擔、記憶體存取，乃至於快取未命中（Cache Miss），都成為極度奢侈的能量消耗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在如此嚴苛的硬體條件下，確保資料傳輸的機密性（Confidentiality）、完整性（Integrity）與鑑別性（Authenticity）成為了密碼學工程界亟需克服的巨大挑戰。現行的網路安全協定（例如 TLS 1.3 或是適用於物聯網的 DTLS）預設廣泛採用進階加密標準（Advanced Encryption Standard, AES）搭配伽羅瓦計數器模式（Galois/Counter Mode, GCM），構成 AES-128-GCM 認證加密（Authenticated Encryption with Associated Data, AEAD）標準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。然而，AES-GCM 最初的設計理念是服務於具備高效能超純量處理器、龐大快取記憶體，以及專屬硬體加速指令集（如 Intel 的 AES-NI 與 ARM 的 Cryptographic Extensions 指令）的高端運算環境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。當工程師試圖將 AES-128-GCM 演算法強行移植到純軟體執行的低階微控制器上時，往往會遭遇毀滅性的效能瓶頸與記憶體枯竭。</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為了解決傳統密碼學在受限環境下的水土不服，美國國家標準暨技術研究院（NIST）於 2015 年正式啟動了輕量級密碼學（Lightweight Cryptography, LWC）標準化流程，歷經長達八年的全球密碼分析與軟硬體效能評估，從最初的 57 個提案、32 個第二輪候選者，收斂至最終的 10 大決選名單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。最終，NIST 於 2023 年正式宣布 Ascon 家族成為輕量級密碼學的全球標準，並釋出 NIST SP 800-232 標準規範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；同時，如 TinyJAMBU 等極端輕量化設計亦在決選報告 NIST IR 8454 中展現了其在特定領域的無可取代性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。本研究報告旨在深度解構傳統 AES-128-GCM 與新世代 NIST 輕量級密碼學標準（Ascon 與 TinyJAMBU）的數學底層邏輯，並透過嚴密的實證工程與數學分析，在演算法的運算效能、記憶體耗用足跡（Memory Footprint）、側信道攻擊容忍度（Side-Channel Resilience）與整體安全性之間，尋求一個最優化的部署決策模型。</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貳、 傳統防線之解構：AES-128-GCM 的代數結構與軟體實作瓶頸</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AES-128-GCM 作為現今網際網路上防護數據最為普遍的標準，提供了極高的安全信心基礎，但在純軟體實作上卻伴隨著沉重的運算與記憶體負擔。從數學與架構層面來看，AES 是一個典型的區塊加密演算法（Block Cipher），其區塊大小為 128 位元，採用 128 位元的加密金鑰。在 GCM 運作模式中，除了基礎的計數器模式（CTR）負責生成金鑰流（Keystream）並與明文進行互斥或（XOR）以確保機密性外，更引入了基於通用雜湊（Universal Hashing）的伽羅瓦雜湊函數（GHASH）來達成資料的鑑別性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GHASH 的運作完全建構在不可約多項式 </w:t>
      </w:r>
      <w:r w:rsidDel="00000000" w:rsidR="00000000" w:rsidRPr="00000000">
        <w:rPr>
          <w:rFonts w:ascii="Google Sans" w:cs="Google Sans" w:eastAsia="Google Sans" w:hAnsi="Google Sans"/>
          <w:color w:val="1f1f1f"/>
        </w:rPr>
        <w:drawing>
          <wp:inline distB="19050" distT="19050" distL="19050" distR="19050">
            <wp:extent cx="1876873" cy="247709"/>
            <wp:effectExtent b="0" l="0" r="0" t="0"/>
            <wp:docPr id="31" name="image30.png"/>
            <a:graphic>
              <a:graphicData uri="http://schemas.openxmlformats.org/drawingml/2006/picture">
                <pic:pic>
                  <pic:nvPicPr>
                    <pic:cNvPr id="0" name="image30.png"/>
                    <pic:cNvPicPr preferRelativeResize="0"/>
                  </pic:nvPicPr>
                  <pic:blipFill>
                    <a:blip r:embed="rId6"/>
                    <a:srcRect b="0" l="0" r="0" t="0"/>
                    <a:stretch>
                      <a:fillRect/>
                    </a:stretch>
                  </pic:blipFill>
                  <pic:spPr>
                    <a:xfrm>
                      <a:off x="0" y="0"/>
                      <a:ext cx="1876873" cy="24770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所定義的伽羅瓦有限體 </w:t>
      </w:r>
      <w:r w:rsidDel="00000000" w:rsidR="00000000" w:rsidRPr="00000000">
        <w:rPr>
          <w:rFonts w:ascii="Google Sans" w:cs="Google Sans" w:eastAsia="Google Sans" w:hAnsi="Google Sans"/>
          <w:color w:val="1f1f1f"/>
        </w:rPr>
        <w:drawing>
          <wp:inline distB="19050" distT="19050" distL="19050" distR="19050">
            <wp:extent cx="682228" cy="217934"/>
            <wp:effectExtent b="0" l="0" r="0" t="0"/>
            <wp:docPr id="33" name="image15.png"/>
            <a:graphic>
              <a:graphicData uri="http://schemas.openxmlformats.org/drawingml/2006/picture">
                <pic:pic>
                  <pic:nvPicPr>
                    <pic:cNvPr id="0" name="image15.png"/>
                    <pic:cNvPicPr preferRelativeResize="0"/>
                  </pic:nvPicPr>
                  <pic:blipFill>
                    <a:blip r:embed="rId7"/>
                    <a:srcRect b="0" l="0" r="0" t="0"/>
                    <a:stretch>
                      <a:fillRect/>
                    </a:stretch>
                  </pic:blipFill>
                  <pic:spPr>
                    <a:xfrm>
                      <a:off x="0" y="0"/>
                      <a:ext cx="682228" cy="21793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之上。在每次處理一個 128 位元的資料區塊時，系統必須將當前狀態與輸入資料進行 XOR 運算後，再與一個由主金鑰加密生成的雜湊子金鑰（Hash Key, 記為 </w:t>
      </w:r>
      <w:r w:rsidDel="00000000" w:rsidR="00000000" w:rsidRPr="00000000">
        <w:rPr>
          <w:rFonts w:ascii="Google Sans" w:cs="Google Sans" w:eastAsia="Google Sans" w:hAnsi="Google Sans"/>
          <w:color w:val="1f1f1f"/>
        </w:rPr>
        <w:drawing>
          <wp:inline distB="19050" distT="19050" distL="19050" distR="19050">
            <wp:extent cx="178742" cy="244595"/>
            <wp:effectExtent b="0" l="0" r="0" t="0"/>
            <wp:docPr id="3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78742" cy="2445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）進行有限體乘法。這種基於代數結構的設計雖然賦予了 GCM 模式極高的並行處理潛力（在具備硬體加速的伺服器上吞吐量極大），但在 8-bit 的 AVR 處理器或缺乏專屬無進位乘法指令（Carry-less Multiplication）的 32-bit Cortex-M 系列微控制器上，要在軟體層次實現高效的 128 位元有限體乘法並進行多項式模算數化簡，是一項極其耗費時脈週期的任務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為了在純軟體環境中緩解這項運算瓶頸，工程師通常必須引入龐大的預算查表（Lookup Tables）。在 AES 核心的非線性替換層（SubBytes）中，開發者常使用佔用 1KB 或 4KB 的 T-tables 來將 S-box 替換與列混淆（MixColumns）矩陣乘法合併；在 GHASH 的實作中，則常採用 Shoup 的 4-bit 或 8-bit 預計算表格方法（Precomputed Block-Comb Method）來加速有限體乘法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。這種以「空間換取時間」的工程妥協，直接導致了兩個致命的後果：第一，常數表與預計算表會瞬間耗盡物聯網設備珍貴的 ROM 與 RAM 資源，擠壓應用程式的邏輯空間；第二，依賴記憶體位址查表的運作模式，會根據處理的機密資料產生不同的記憶體存取模式（Memory Access Patterns），進而引入快取時間側信道攻擊（Cache-timing Side-channel Attacks）的致命風險，攻擊者可藉由測量處理器存取資料的時間差，反向推導出加密金鑰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參、 NIST 輕量級全球標準：Ascon 的海綿架構與 SP 800-232 規範解析</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Ascon 演算法在經歷了漫長且嚴苛的 CAESAR 密碼學競賽以及 NIST 輕量級密碼學標準化流程後，正式被 NIST 選定為輕量級密碼學的全球標準，並發布為 NIST SP 800-232 規範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。根據最新標準，Ascon 家族被精煉為四個核心演算法：提供認證加密的 Ascon-AEAD128（基於原提案的 Ascon-128a）、提供 256 位元摘要的雜湊函數 Ascon-Hash256、可擴展輸出函數 Ascon-XOF128，以及全新的客製化擴展輸出函數 Ascon-CXOF128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一、 核心置換引擎與 320 位元狀態空間</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Ascon 捨棄了傳統的區塊加密架構，轉而採用高度靈活且高效的海綿結構（Sponge Construction）搭配猴子雙工模式（Monkey Duplex Mode）。在 Ascon-AEAD128 變體中，其內部的總狀態大小（State Size）被精心設計為 320 位元，這 320 位元被嚴格劃分為五個 64 位元的字組，標記為 </w:t>
      </w:r>
      <w:r w:rsidDel="00000000" w:rsidR="00000000" w:rsidRPr="00000000">
        <w:rPr>
          <w:rFonts w:ascii="Google Sans" w:cs="Google Sans" w:eastAsia="Google Sans" w:hAnsi="Google Sans"/>
          <w:color w:val="1f1f1f"/>
        </w:rPr>
        <w:drawing>
          <wp:inline distB="19050" distT="19050" distL="19050" distR="19050">
            <wp:extent cx="1340939" cy="247265"/>
            <wp:effectExtent b="0" l="0" r="0" t="0"/>
            <wp:docPr id="35" name="image27.png"/>
            <a:graphic>
              <a:graphicData uri="http://schemas.openxmlformats.org/drawingml/2006/picture">
                <pic:pic>
                  <pic:nvPicPr>
                    <pic:cNvPr id="0" name="image27.png"/>
                    <pic:cNvPicPr preferRelativeResize="0"/>
                  </pic:nvPicPr>
                  <pic:blipFill>
                    <a:blip r:embed="rId9"/>
                    <a:srcRect b="0" l="0" r="0" t="0"/>
                    <a:stretch>
                      <a:fillRect/>
                    </a:stretch>
                  </pic:blipFill>
                  <pic:spPr>
                    <a:xfrm>
                      <a:off x="0" y="0"/>
                      <a:ext cx="1340939" cy="24726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。在海綿結構的運作邏輯中，這 320 位元的狀態進一步被分為負責資料吸收的速率（Rate, </w:t>
      </w:r>
      <w:r w:rsidDel="00000000" w:rsidR="00000000" w:rsidRPr="00000000">
        <w:rPr>
          <w:rFonts w:ascii="Google Sans" w:cs="Google Sans" w:eastAsia="Google Sans" w:hAnsi="Google Sans"/>
          <w:color w:val="1f1f1f"/>
        </w:rPr>
        <w:drawing>
          <wp:inline distB="19050" distT="19050" distL="19050" distR="19050">
            <wp:extent cx="93836" cy="243974"/>
            <wp:effectExtent b="0" l="0" r="0" t="0"/>
            <wp:docPr id="34" name="image25.png"/>
            <a:graphic>
              <a:graphicData uri="http://schemas.openxmlformats.org/drawingml/2006/picture">
                <pic:pic>
                  <pic:nvPicPr>
                    <pic:cNvPr id="0" name="image25.png"/>
                    <pic:cNvPicPr preferRelativeResize="0"/>
                  </pic:nvPicPr>
                  <pic:blipFill>
                    <a:blip r:embed="rId10"/>
                    <a:srcRect b="0" l="0" r="0" t="0"/>
                    <a:stretch>
                      <a:fillRect/>
                    </a:stretch>
                  </pic:blipFill>
                  <pic:spPr>
                    <a:xfrm>
                      <a:off x="0" y="0"/>
                      <a:ext cx="93836" cy="243974"/>
                    </a:xfrm>
                    <a:prstGeom prst="rect"/>
                    <a:ln/>
                  </pic:spPr>
                </pic:pic>
              </a:graphicData>
            </a:graphic>
          </wp:inline>
        </w:drawing>
      </w:r>
      <w:r w:rsidDel="00000000" w:rsidR="00000000" w:rsidRPr="00000000">
        <w:rPr>
          <w:rFonts w:ascii="Google Sans" w:cs="Google Sans" w:eastAsia="Google Sans" w:hAnsi="Google Sans"/>
          <w:color w:val="1f1f1f"/>
          <w:rtl w:val="0"/>
        </w:rPr>
        <w:t xml:space="preserve">）與負責隔離安全性的容量（Capacity, </w:t>
      </w:r>
      <w:r w:rsidDel="00000000" w:rsidR="00000000" w:rsidRPr="00000000">
        <w:rPr>
          <w:rFonts w:ascii="Google Sans" w:cs="Google Sans" w:eastAsia="Google Sans" w:hAnsi="Google Sans"/>
          <w:color w:val="1f1f1f"/>
        </w:rPr>
        <w:drawing>
          <wp:inline distB="19050" distT="19050" distL="19050" distR="19050">
            <wp:extent cx="84906" cy="245285"/>
            <wp:effectExtent b="0" l="0" r="0" t="0"/>
            <wp:docPr id="38" name="image20.png"/>
            <a:graphic>
              <a:graphicData uri="http://schemas.openxmlformats.org/drawingml/2006/picture">
                <pic:pic>
                  <pic:nvPicPr>
                    <pic:cNvPr id="0" name="image20.png"/>
                    <pic:cNvPicPr preferRelativeResize="0"/>
                  </pic:nvPicPr>
                  <pic:blipFill>
                    <a:blip r:embed="rId11"/>
                    <a:srcRect b="0" l="0" r="0" t="0"/>
                    <a:stretch>
                      <a:fillRect/>
                    </a:stretch>
                  </pic:blipFill>
                  <pic:spPr>
                    <a:xfrm>
                      <a:off x="0" y="0"/>
                      <a:ext cx="84906" cy="245285"/>
                    </a:xfrm>
                    <a:prstGeom prst="rect"/>
                    <a:ln/>
                  </pic:spPr>
                </pic:pic>
              </a:graphicData>
            </a:graphic>
          </wp:inline>
        </w:drawing>
      </w:r>
      <w:r w:rsidDel="00000000" w:rsidR="00000000" w:rsidRPr="00000000">
        <w:rPr>
          <w:rFonts w:ascii="Google Sans" w:cs="Google Sans" w:eastAsia="Google Sans" w:hAnsi="Google Sans"/>
          <w:color w:val="1f1f1f"/>
          <w:rtl w:val="0"/>
        </w:rPr>
        <w:t xml:space="preserve">）。對於 Ascon-AEAD128，其 </w:t>
      </w:r>
      <w:r w:rsidDel="00000000" w:rsidR="00000000" w:rsidRPr="00000000">
        <w:rPr>
          <w:rFonts w:ascii="Google Sans" w:cs="Google Sans" w:eastAsia="Google Sans" w:hAnsi="Google Sans"/>
          <w:color w:val="1f1f1f"/>
        </w:rPr>
        <w:drawing>
          <wp:inline distB="19050" distT="19050" distL="19050" distR="19050">
            <wp:extent cx="649039" cy="248162"/>
            <wp:effectExtent b="0" l="0" r="0" t="0"/>
            <wp:docPr id="37" name="image31.png"/>
            <a:graphic>
              <a:graphicData uri="http://schemas.openxmlformats.org/drawingml/2006/picture">
                <pic:pic>
                  <pic:nvPicPr>
                    <pic:cNvPr id="0" name="image31.png"/>
                    <pic:cNvPicPr preferRelativeResize="0"/>
                  </pic:nvPicPr>
                  <pic:blipFill>
                    <a:blip r:embed="rId12"/>
                    <a:srcRect b="0" l="0" r="0" t="0"/>
                    <a:stretch>
                      <a:fillRect/>
                    </a:stretch>
                  </pic:blipFill>
                  <pic:spPr>
                    <a:xfrm>
                      <a:off x="0" y="0"/>
                      <a:ext cx="649039" cy="24816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位元（由 </w:t>
      </w:r>
      <w:r w:rsidDel="00000000" w:rsidR="00000000" w:rsidRPr="00000000">
        <w:rPr>
          <w:rFonts w:ascii="Google Sans" w:cs="Google Sans" w:eastAsia="Google Sans" w:hAnsi="Google Sans"/>
          <w:color w:val="1f1f1f"/>
        </w:rPr>
        <w:drawing>
          <wp:inline distB="19050" distT="19050" distL="19050" distR="19050">
            <wp:extent cx="198537" cy="245808"/>
            <wp:effectExtent b="0" l="0" r="0" t="0"/>
            <wp:docPr id="40"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198537" cy="24580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與 </w:t>
      </w:r>
      <w:r w:rsidDel="00000000" w:rsidR="00000000" w:rsidRPr="00000000">
        <w:rPr>
          <w:rFonts w:ascii="Google Sans" w:cs="Google Sans" w:eastAsia="Google Sans" w:hAnsi="Google Sans"/>
          <w:color w:val="1f1f1f"/>
        </w:rPr>
        <w:drawing>
          <wp:inline distB="19050" distT="19050" distL="19050" distR="19050">
            <wp:extent cx="198537" cy="245808"/>
            <wp:effectExtent b="0" l="0" r="0" t="0"/>
            <wp:docPr id="39" name="image23.png"/>
            <a:graphic>
              <a:graphicData uri="http://schemas.openxmlformats.org/drawingml/2006/picture">
                <pic:pic>
                  <pic:nvPicPr>
                    <pic:cNvPr id="0" name="image23.png"/>
                    <pic:cNvPicPr preferRelativeResize="0"/>
                  </pic:nvPicPr>
                  <pic:blipFill>
                    <a:blip r:embed="rId14"/>
                    <a:srcRect b="0" l="0" r="0" t="0"/>
                    <a:stretch>
                      <a:fillRect/>
                    </a:stretch>
                  </pic:blipFill>
                  <pic:spPr>
                    <a:xfrm>
                      <a:off x="0" y="0"/>
                      <a:ext cx="198537" cy="24580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構成），而 </w:t>
      </w:r>
      <w:r w:rsidDel="00000000" w:rsidR="00000000" w:rsidRPr="00000000">
        <w:rPr>
          <w:rFonts w:ascii="Google Sans" w:cs="Google Sans" w:eastAsia="Google Sans" w:hAnsi="Google Sans"/>
          <w:color w:val="1f1f1f"/>
        </w:rPr>
        <w:drawing>
          <wp:inline distB="19050" distT="19050" distL="19050" distR="19050">
            <wp:extent cx="640110" cy="248401"/>
            <wp:effectExtent b="0" l="0" r="0" t="0"/>
            <wp:docPr id="43" name="image39.png"/>
            <a:graphic>
              <a:graphicData uri="http://schemas.openxmlformats.org/drawingml/2006/picture">
                <pic:pic>
                  <pic:nvPicPr>
                    <pic:cNvPr id="0" name="image39.png"/>
                    <pic:cNvPicPr preferRelativeResize="0"/>
                  </pic:nvPicPr>
                  <pic:blipFill>
                    <a:blip r:embed="rId15"/>
                    <a:srcRect b="0" l="0" r="0" t="0"/>
                    <a:stretch>
                      <a:fillRect/>
                    </a:stretch>
                  </pic:blipFill>
                  <pic:spPr>
                    <a:xfrm>
                      <a:off x="0" y="0"/>
                      <a:ext cx="640110" cy="24840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位元（由 </w:t>
      </w:r>
      <w:r w:rsidDel="00000000" w:rsidR="00000000" w:rsidRPr="00000000">
        <w:rPr>
          <w:rFonts w:ascii="Google Sans" w:cs="Google Sans" w:eastAsia="Google Sans" w:hAnsi="Google Sans"/>
          <w:color w:val="1f1f1f"/>
        </w:rPr>
        <w:drawing>
          <wp:inline distB="19050" distT="19050" distL="19050" distR="19050">
            <wp:extent cx="769739" cy="247077"/>
            <wp:effectExtent b="0" l="0" r="0" t="0"/>
            <wp:docPr id="41" name="image28.png"/>
            <a:graphic>
              <a:graphicData uri="http://schemas.openxmlformats.org/drawingml/2006/picture">
                <pic:pic>
                  <pic:nvPicPr>
                    <pic:cNvPr id="0" name="image28.png"/>
                    <pic:cNvPicPr preferRelativeResize="0"/>
                  </pic:nvPicPr>
                  <pic:blipFill>
                    <a:blip r:embed="rId16"/>
                    <a:srcRect b="0" l="0" r="0" t="0"/>
                    <a:stretch>
                      <a:fillRect/>
                    </a:stretch>
                  </pic:blipFill>
                  <pic:spPr>
                    <a:xfrm>
                      <a:off x="0" y="0"/>
                      <a:ext cx="769739" cy="2470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構成）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Ascon 的核心運算引擎是一個極度輕量化的置換函數（Permutation </w:t>
      </w:r>
      <w:r w:rsidDel="00000000" w:rsidR="00000000" w:rsidRPr="00000000">
        <w:rPr>
          <w:rFonts w:ascii="Google Sans" w:cs="Google Sans" w:eastAsia="Google Sans" w:hAnsi="Google Sans"/>
          <w:color w:val="1f1f1f"/>
        </w:rPr>
        <w:drawing>
          <wp:inline distB="19050" distT="19050" distL="19050" distR="19050">
            <wp:extent cx="98599" cy="256357"/>
            <wp:effectExtent b="0" l="0" r="0" t="0"/>
            <wp:docPr id="42"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98599" cy="256357"/>
                    </a:xfrm>
                    <a:prstGeom prst="rect"/>
                    <a:ln/>
                  </pic:spPr>
                </pic:pic>
              </a:graphicData>
            </a:graphic>
          </wp:inline>
        </w:drawing>
      </w:r>
      <w:r w:rsidDel="00000000" w:rsidR="00000000" w:rsidRPr="00000000">
        <w:rPr>
          <w:rFonts w:ascii="Google Sans" w:cs="Google Sans" w:eastAsia="Google Sans" w:hAnsi="Google Sans"/>
          <w:color w:val="1f1f1f"/>
          <w:rtl w:val="0"/>
        </w:rPr>
        <w:t xml:space="preserve">）。根據運算階段的不同，Ascon-AEAD128 會調用執行 12 輪的強置換 </w:t>
      </w:r>
      <w:r w:rsidDel="00000000" w:rsidR="00000000" w:rsidRPr="00000000">
        <w:rPr>
          <w:rFonts w:ascii="Google Sans" w:cs="Google Sans" w:eastAsia="Google Sans" w:hAnsi="Google Sans"/>
          <w:color w:val="1f1f1f"/>
        </w:rPr>
        <w:drawing>
          <wp:inline distB="19050" distT="19050" distL="19050" distR="19050">
            <wp:extent cx="874440" cy="247124"/>
            <wp:effectExtent b="0" l="0" r="0" t="0"/>
            <wp:docPr id="44"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874440" cy="247124"/>
                    </a:xfrm>
                    <a:prstGeom prst="rect"/>
                    <a:ln/>
                  </pic:spPr>
                </pic:pic>
              </a:graphicData>
            </a:graphic>
          </wp:inline>
        </w:drawing>
      </w:r>
      <w:r w:rsidDel="00000000" w:rsidR="00000000" w:rsidRPr="00000000">
        <w:rPr>
          <w:rFonts w:ascii="Google Sans" w:cs="Google Sans" w:eastAsia="Google Sans" w:hAnsi="Google Sans"/>
          <w:color w:val="1f1f1f"/>
          <w:rtl w:val="0"/>
        </w:rPr>
        <w:t xml:space="preserve">（用於初始化與最終化階段），或是執行 8 輪的常規置換 </w:t>
      </w:r>
      <w:r w:rsidDel="00000000" w:rsidR="00000000" w:rsidRPr="00000000">
        <w:rPr>
          <w:rFonts w:ascii="Google Sans" w:cs="Google Sans" w:eastAsia="Google Sans" w:hAnsi="Google Sans"/>
          <w:color w:val="1f1f1f"/>
        </w:rPr>
        <w:drawing>
          <wp:inline distB="19050" distT="19050" distL="19050" distR="19050">
            <wp:extent cx="874440" cy="247124"/>
            <wp:effectExtent b="0" l="0" r="0" t="0"/>
            <wp:docPr id="45"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874440" cy="247124"/>
                    </a:xfrm>
                    <a:prstGeom prst="rect"/>
                    <a:ln/>
                  </pic:spPr>
                </pic:pic>
              </a:graphicData>
            </a:graphic>
          </wp:inline>
        </w:drawing>
      </w:r>
      <w:r w:rsidDel="00000000" w:rsidR="00000000" w:rsidRPr="00000000">
        <w:rPr>
          <w:rFonts w:ascii="Google Sans" w:cs="Google Sans" w:eastAsia="Google Sans" w:hAnsi="Google Sans"/>
          <w:color w:val="1f1f1f"/>
          <w:rtl w:val="0"/>
        </w:rPr>
        <w:t xml:space="preserve">（用於關聯數據與明文的吸收階段）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。每一輪的置換都嚴格遵循三個步驟的轉換：</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常數加法層（Constant-Addition Layer, </w:t>
      </w:r>
      <w:r w:rsidDel="00000000" w:rsidR="00000000" w:rsidRPr="00000000">
        <w:rPr>
          <w:rFonts w:ascii="Google Sans" w:cs="Google Sans" w:eastAsia="Google Sans" w:hAnsi="Google Sans"/>
          <w:b w:val="1"/>
          <w:bCs w:val="1"/>
          <w:color w:val="1f1f1f"/>
        </w:rPr>
        <w:drawing>
          <wp:inline distB="19050" distT="19050" distL="19050" distR="19050">
            <wp:extent cx="216173" cy="244369"/>
            <wp:effectExtent b="0" l="0" r="0" t="0"/>
            <wp:docPr id="46" name="image37.png"/>
            <a:graphic>
              <a:graphicData uri="http://schemas.openxmlformats.org/drawingml/2006/picture">
                <pic:pic>
                  <pic:nvPicPr>
                    <pic:cNvPr id="0" name="image37.png"/>
                    <pic:cNvPicPr preferRelativeResize="0"/>
                  </pic:nvPicPr>
                  <pic:blipFill>
                    <a:blip r:embed="rId19"/>
                    <a:srcRect b="0" l="0" r="0" t="0"/>
                    <a:stretch>
                      <a:fillRect/>
                    </a:stretch>
                  </pic:blipFill>
                  <pic:spPr>
                    <a:xfrm>
                      <a:off x="0" y="0"/>
                      <a:ext cx="216173" cy="244369"/>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：在此步驟中，演算法會將一個 64 位元的輪常數（Round Constant）與狀態字組 </w:t>
      </w:r>
      <w:r w:rsidDel="00000000" w:rsidR="00000000" w:rsidRPr="00000000">
        <w:rPr>
          <w:rFonts w:ascii="Google Sans" w:cs="Google Sans" w:eastAsia="Google Sans" w:hAnsi="Google Sans"/>
          <w:color w:val="1f1f1f"/>
        </w:rPr>
        <w:drawing>
          <wp:inline distB="19050" distT="19050" distL="19050" distR="19050">
            <wp:extent cx="198537" cy="245808"/>
            <wp:effectExtent b="0" l="0" r="0" t="0"/>
            <wp:docPr id="47" name="image33.png"/>
            <a:graphic>
              <a:graphicData uri="http://schemas.openxmlformats.org/drawingml/2006/picture">
                <pic:pic>
                  <pic:nvPicPr>
                    <pic:cNvPr id="0" name="image33.png"/>
                    <pic:cNvPicPr preferRelativeResize="0"/>
                  </pic:nvPicPr>
                  <pic:blipFill>
                    <a:blip r:embed="rId20"/>
                    <a:srcRect b="0" l="0" r="0" t="0"/>
                    <a:stretch>
                      <a:fillRect/>
                    </a:stretch>
                  </pic:blipFill>
                  <pic:spPr>
                    <a:xfrm>
                      <a:off x="0" y="0"/>
                      <a:ext cx="198537" cy="24580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進行互斥或（XOR）運算。這些常數旨在破壞演算法的對稱性，防止滑動攻擊（Slide Attacks）與不變量子空間攻擊（Invariant Subspace Attacks）。NIST SP 800-232 標準特別擴充了常數表，使置換輪數最高可擴充至 16 輪，以保留未來應對量子計算威脅的功能擴展性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非線性替換層（Substitution Layer, </w:t>
      </w:r>
      <w:r w:rsidDel="00000000" w:rsidR="00000000" w:rsidRPr="00000000">
        <w:rPr>
          <w:rFonts w:ascii="Google Sans" w:cs="Google Sans" w:eastAsia="Google Sans" w:hAnsi="Google Sans"/>
          <w:b w:val="1"/>
          <w:bCs w:val="1"/>
          <w:color w:val="1f1f1f"/>
        </w:rPr>
        <w:drawing>
          <wp:inline distB="19050" distT="19050" distL="19050" distR="19050">
            <wp:extent cx="200322" cy="248018"/>
            <wp:effectExtent b="0" l="0" r="0" t="0"/>
            <wp:docPr id="48" name="image35.png"/>
            <a:graphic>
              <a:graphicData uri="http://schemas.openxmlformats.org/drawingml/2006/picture">
                <pic:pic>
                  <pic:nvPicPr>
                    <pic:cNvPr id="0" name="image35.png"/>
                    <pic:cNvPicPr preferRelativeResize="0"/>
                  </pic:nvPicPr>
                  <pic:blipFill>
                    <a:blip r:embed="rId21"/>
                    <a:srcRect b="0" l="0" r="0" t="0"/>
                    <a:stretch>
                      <a:fillRect/>
                    </a:stretch>
                  </pic:blipFill>
                  <pic:spPr>
                    <a:xfrm>
                      <a:off x="0" y="0"/>
                      <a:ext cx="200322" cy="248018"/>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：這是 Ascon 提供密碼學混淆（Confusion）的核心。與 AES 依賴有限體反元素所建構的複雜 8-bit S-box 不同，Ascon 採用了一個代數次數（Algebraic Degree）僅為 2 的 5-bit S-box。最關鍵的工程突破在於，這個 S-box 被設計為可以完全以位元切片（Bit-slicing）的方式並行運算。在實作中，不需要任何記憶體查表，而是將 </w:t>
      </w:r>
      <w:r w:rsidDel="00000000" w:rsidR="00000000" w:rsidRPr="00000000">
        <w:rPr>
          <w:rFonts w:ascii="Google Sans" w:cs="Google Sans" w:eastAsia="Google Sans" w:hAnsi="Google Sans"/>
          <w:color w:val="1f1f1f"/>
        </w:rPr>
        <w:drawing>
          <wp:inline distB="19050" distT="19050" distL="19050" distR="19050">
            <wp:extent cx="198537" cy="245808"/>
            <wp:effectExtent b="0" l="0" r="0" t="0"/>
            <wp:docPr id="49"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198537" cy="24580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至 </w:t>
      </w:r>
      <w:r w:rsidDel="00000000" w:rsidR="00000000" w:rsidRPr="00000000">
        <w:rPr>
          <w:rFonts w:ascii="Google Sans" w:cs="Google Sans" w:eastAsia="Google Sans" w:hAnsi="Google Sans"/>
          <w:color w:val="1f1f1f"/>
        </w:rPr>
        <w:drawing>
          <wp:inline distB="19050" distT="19050" distL="19050" distR="19050">
            <wp:extent cx="198537" cy="245808"/>
            <wp:effectExtent b="0" l="0" r="0" t="0"/>
            <wp:docPr id="50" name="image38.png"/>
            <a:graphic>
              <a:graphicData uri="http://schemas.openxmlformats.org/drawingml/2006/picture">
                <pic:pic>
                  <pic:nvPicPr>
                    <pic:cNvPr id="0" name="image38.png"/>
                    <pic:cNvPicPr preferRelativeResize="0"/>
                  </pic:nvPicPr>
                  <pic:blipFill>
                    <a:blip r:embed="rId22"/>
                    <a:srcRect b="0" l="0" r="0" t="0"/>
                    <a:stretch>
                      <a:fillRect/>
                    </a:stretch>
                  </pic:blipFill>
                  <pic:spPr>
                    <a:xfrm>
                      <a:off x="0" y="0"/>
                      <a:ext cx="198537" cy="24580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視為 64 個獨立的 5-bit 組合，橫向套用 AND、NOT 與 XOR 邏輯指令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。這徹底消除了查表帶來的記憶體足跡與快取時間洩漏風險，並完美契合微控制器的 ALU 運算單元。</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線性擴散層（Linear Diffusion Layer, </w:t>
      </w:r>
      <w:r w:rsidDel="00000000" w:rsidR="00000000" w:rsidRPr="00000000">
        <w:rPr>
          <w:rFonts w:ascii="Google Sans" w:cs="Google Sans" w:eastAsia="Google Sans" w:hAnsi="Google Sans"/>
          <w:b w:val="1"/>
          <w:bCs w:val="1"/>
          <w:color w:val="1f1f1f"/>
        </w:rPr>
        <w:drawing>
          <wp:inline distB="19050" distT="19050" distL="19050" distR="19050">
            <wp:extent cx="201737" cy="249769"/>
            <wp:effectExtent b="0" l="0" r="0" t="0"/>
            <wp:docPr id="51" name="image22.png"/>
            <a:graphic>
              <a:graphicData uri="http://schemas.openxmlformats.org/drawingml/2006/picture">
                <pic:pic>
                  <pic:nvPicPr>
                    <pic:cNvPr id="0" name="image22.png"/>
                    <pic:cNvPicPr preferRelativeResize="0"/>
                  </pic:nvPicPr>
                  <pic:blipFill>
                    <a:blip r:embed="rId23"/>
                    <a:srcRect b="0" l="0" r="0" t="0"/>
                    <a:stretch>
                      <a:fillRect/>
                    </a:stretch>
                  </pic:blipFill>
                  <pic:spPr>
                    <a:xfrm>
                      <a:off x="0" y="0"/>
                      <a:ext cx="201737" cy="249769"/>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：此步驟旨在提供雪崩效應（Avalanche Effect），使單一位元的變化能迅速擴散至整個狀態。Ascon 透過對五個 64 位元字組分別進行不同位移量的循環右移（Circular Shift, </w:t>
      </w:r>
      <w:r w:rsidDel="00000000" w:rsidR="00000000" w:rsidRPr="00000000">
        <w:rPr>
          <w:rFonts w:ascii="Google Sans" w:cs="Google Sans" w:eastAsia="Google Sans" w:hAnsi="Google Sans"/>
          <w:color w:val="1f1f1f"/>
        </w:rPr>
        <w:drawing>
          <wp:inline distB="19050" distT="19050" distL="19050" distR="19050">
            <wp:extent cx="195932" cy="233252"/>
            <wp:effectExtent b="0" l="0" r="0" t="0"/>
            <wp:docPr id="21" name="image19.png"/>
            <a:graphic>
              <a:graphicData uri="http://schemas.openxmlformats.org/drawingml/2006/picture">
                <pic:pic>
                  <pic:nvPicPr>
                    <pic:cNvPr id="0" name="image19.png"/>
                    <pic:cNvPicPr preferRelativeResize="0"/>
                  </pic:nvPicPr>
                  <pic:blipFill>
                    <a:blip r:embed="rId24"/>
                    <a:srcRect b="0" l="0" r="0" t="0"/>
                    <a:stretch>
                      <a:fillRect/>
                    </a:stretch>
                  </pic:blipFill>
                  <pic:spPr>
                    <a:xfrm>
                      <a:off x="0" y="0"/>
                      <a:ext cx="195932" cy="2332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）與互斥或運算。例如，</w:t>
      </w:r>
      <w:r w:rsidDel="00000000" w:rsidR="00000000" w:rsidRPr="00000000">
        <w:rPr>
          <w:rFonts w:ascii="Google Sans" w:cs="Google Sans" w:eastAsia="Google Sans" w:hAnsi="Google Sans"/>
          <w:color w:val="1f1f1f"/>
        </w:rPr>
        <w:drawing>
          <wp:inline distB="19050" distT="19050" distL="19050" distR="19050">
            <wp:extent cx="198537" cy="245808"/>
            <wp:effectExtent b="0" l="0" r="0" t="0"/>
            <wp:docPr id="22"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198537" cy="24580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的更新邏輯為 </w:t>
      </w:r>
      <w:r w:rsidDel="00000000" w:rsidR="00000000" w:rsidRPr="00000000">
        <w:rPr>
          <w:rFonts w:ascii="Google Sans" w:cs="Google Sans" w:eastAsia="Google Sans" w:hAnsi="Google Sans"/>
          <w:color w:val="1f1f1f"/>
        </w:rPr>
        <w:drawing>
          <wp:inline distB="19050" distT="19050" distL="19050" distR="19050">
            <wp:extent cx="2884361" cy="247503"/>
            <wp:effectExtent b="0" l="0" r="0" t="0"/>
            <wp:docPr id="23" name="image16.png"/>
            <a:graphic>
              <a:graphicData uri="http://schemas.openxmlformats.org/drawingml/2006/picture">
                <pic:pic>
                  <pic:nvPicPr>
                    <pic:cNvPr id="0" name="image16.png"/>
                    <pic:cNvPicPr preferRelativeResize="0"/>
                  </pic:nvPicPr>
                  <pic:blipFill>
                    <a:blip r:embed="rId25"/>
                    <a:srcRect b="0" l="0" r="0" t="0"/>
                    <a:stretch>
                      <a:fillRect/>
                    </a:stretch>
                  </pic:blipFill>
                  <pic:spPr>
                    <a:xfrm>
                      <a:off x="0" y="0"/>
                      <a:ext cx="2884361" cy="24750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。這種純暫存器級別的位移與邏輯運算，在 32-bit 或 64-bit 處理器上執行效率極高。</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二、 NIST SP 800-232 的關鍵工程決策：Little-Endian 轉換</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 NIST 最終發布的 SP 800-232 草案與標準中，針對實體物聯網設備的硬體生態進行了一項極具破壞性的重大調整：</w:t>
      </w:r>
      <w:r w:rsidDel="00000000" w:rsidR="00000000" w:rsidRPr="00000000">
        <w:rPr>
          <w:rFonts w:ascii="Google Sans" w:cs="Google Sans" w:eastAsia="Google Sans" w:hAnsi="Google Sans"/>
          <w:b w:val="1"/>
          <w:bCs w:val="1"/>
          <w:color w:val="1f1f1f"/>
          <w:rtl w:val="0"/>
        </w:rPr>
        <w:t xml:space="preserve">將演算法的字節序（Endianness）從最初提案的 Big-endian 全面轉換為 Little-endian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這項調整具有深遠的效能意義。在原始的 CAESAR 提案中，Ascon 定義為 Big-endian，這意味著當演算法要將記憶體中的明文或金鑰載入到內部 64-bit 狀態暫存器時，最高有效位元組（Most Significant Byte）必須放置在最低記憶體位址。然而，當前物聯網市場上絕大多數的微控制器（包含 8-bit 的 AVR、32-bit 的 ARM Cortex-M0/M3/M4、RISC-V 以及 ESP32 晶片）皆採用 Little-endian 架構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。在 Big-endian 規範下，這些微控制器在每次載入與儲存 64-bit 狀態字組時，都必須在軟體層面耗費額外的 CPU 週期執行位元組反轉（Byte-swapping，例如呼叫 ARM 的 REV 指令或執行繁瑣的位元移位操作）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NIST 將標準改為 Little-endian 後，資料字節序列（Byte Sequences）與內部 64-bit 無號整數（Unsigned Integers）的映射達成了硬體層級的完美一致。在 Little-endian 機器上，記憶體中連續的 8 個位元組可以直接透過單一的 64-bit 載入指令（Load Instruction）或兩次 32-bit 載入指令直接映射至處理器暫存器，實現了「零額外開銷」的資料吞吐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。這項標準的修改，進一步將 Ascon 在低階微控制器上的軟體吞吐量推向了物理極限。</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三、 適應受限環境的彈性擴展選項：標籤截斷與隨機數遮蔽</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為了賦予物聯網工程師在頻寬、能耗與安全性之間進行微調的空間，NIST SP 800-232 明確規範了 Ascon-AEAD128 的兩項重要實作選項：</w:t>
      </w:r>
    </w:p>
    <w:p w:rsidR="00000000" w:rsidDel="00000000" w:rsidP="00000000" w:rsidRDefault="00000000" w:rsidRPr="00000000" w14:paraId="00000018">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標籤截斷（Truncation）</w:t>
      </w:r>
      <w:r w:rsidDel="00000000" w:rsidR="00000000" w:rsidRPr="00000000">
        <w:rPr>
          <w:rFonts w:ascii="Google Sans" w:cs="Google Sans" w:eastAsia="Google Sans" w:hAnsi="Google Sans"/>
          <w:color w:val="1f1f1f"/>
          <w:rtl w:val="0"/>
        </w:rPr>
        <w:t xml:space="preserve">：標準的 Ascon-AEAD128 會生成 128 位元的認證標籤（Tag, </w:t>
      </w:r>
      <w:r w:rsidDel="00000000" w:rsidR="00000000" w:rsidRPr="00000000">
        <w:rPr>
          <w:rFonts w:ascii="Google Sans" w:cs="Google Sans" w:eastAsia="Google Sans" w:hAnsi="Google Sans"/>
          <w:color w:val="1f1f1f"/>
        </w:rPr>
        <w:drawing>
          <wp:inline distB="19050" distT="19050" distL="19050" distR="19050">
            <wp:extent cx="141610" cy="245457"/>
            <wp:effectExtent b="0" l="0" r="0" t="0"/>
            <wp:docPr id="24" name="image6.png"/>
            <a:graphic>
              <a:graphicData uri="http://schemas.openxmlformats.org/drawingml/2006/picture">
                <pic:pic>
                  <pic:nvPicPr>
                    <pic:cNvPr id="0" name="image6.png"/>
                    <pic:cNvPicPr preferRelativeResize="0"/>
                  </pic:nvPicPr>
                  <pic:blipFill>
                    <a:blip r:embed="rId26"/>
                    <a:srcRect b="0" l="0" r="0" t="0"/>
                    <a:stretch>
                      <a:fillRect/>
                    </a:stretch>
                  </pic:blipFill>
                  <pic:spPr>
                    <a:xfrm>
                      <a:off x="0" y="0"/>
                      <a:ext cx="141610" cy="245457"/>
                    </a:xfrm>
                    <a:prstGeom prst="rect"/>
                    <a:ln/>
                  </pic:spPr>
                </pic:pic>
              </a:graphicData>
            </a:graphic>
          </wp:inline>
        </w:drawing>
      </w:r>
      <w:r w:rsidDel="00000000" w:rsidR="00000000" w:rsidRPr="00000000">
        <w:rPr>
          <w:rFonts w:ascii="Google Sans" w:cs="Google Sans" w:eastAsia="Google Sans" w:hAnsi="Google Sans"/>
          <w:color w:val="1f1f1f"/>
          <w:rtl w:val="0"/>
        </w:rPr>
        <w:t xml:space="preserve">）。然而，在如 LoRaWAN 或 NB-IoT 等極低頻寬（Low-Power Wide-Area Network）通訊協定中，傳輸 16 位元組的標籤會消耗可觀的射頻傳輸能量。SP 800-232 允許應用程式將標籤截斷至特定長度 </w:t>
      </w:r>
      <w:r w:rsidDel="00000000" w:rsidR="00000000" w:rsidRPr="00000000">
        <w:rPr>
          <w:rFonts w:ascii="Google Sans" w:cs="Google Sans" w:eastAsia="Google Sans" w:hAnsi="Google Sans"/>
          <w:color w:val="1f1f1f"/>
        </w:rPr>
        <w:drawing>
          <wp:inline distB="19050" distT="19050" distL="19050" distR="19050">
            <wp:extent cx="114300" cy="247650"/>
            <wp:effectExtent b="0" l="0" r="0" t="0"/>
            <wp:docPr id="25" name="image10.png"/>
            <a:graphic>
              <a:graphicData uri="http://schemas.openxmlformats.org/drawingml/2006/picture">
                <pic:pic>
                  <pic:nvPicPr>
                    <pic:cNvPr id="0" name="image10.png"/>
                    <pic:cNvPicPr preferRelativeResize="0"/>
                  </pic:nvPicPr>
                  <pic:blipFill>
                    <a:blip r:embed="rId27"/>
                    <a:srcRect b="0" l="0" r="0" t="0"/>
                    <a:stretch>
                      <a:fillRect/>
                    </a:stretch>
                  </pic:blipFill>
                  <pic:spPr>
                    <a:xfrm>
                      <a:off x="0" y="0"/>
                      <a:ext cx="114300" cy="2476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（取標籤最左側的 </w:t>
      </w:r>
      <w:r w:rsidDel="00000000" w:rsidR="00000000" w:rsidRPr="00000000">
        <w:rPr>
          <w:rFonts w:ascii="Google Sans" w:cs="Google Sans" w:eastAsia="Google Sans" w:hAnsi="Google Sans"/>
          <w:color w:val="1f1f1f"/>
        </w:rPr>
        <w:drawing>
          <wp:inline distB="19050" distT="19050" distL="19050" distR="19050">
            <wp:extent cx="114300" cy="247650"/>
            <wp:effectExtent b="0" l="0" r="0" t="0"/>
            <wp:docPr id="26" name="image10.png"/>
            <a:graphic>
              <a:graphicData uri="http://schemas.openxmlformats.org/drawingml/2006/picture">
                <pic:pic>
                  <pic:nvPicPr>
                    <pic:cNvPr id="0" name="image10.png"/>
                    <pic:cNvPicPr preferRelativeResize="0"/>
                  </pic:nvPicPr>
                  <pic:blipFill>
                    <a:blip r:embed="rId27"/>
                    <a:srcRect b="0" l="0" r="0" t="0"/>
                    <a:stretch>
                      <a:fillRect/>
                    </a:stretch>
                  </pic:blipFill>
                  <pic:spPr>
                    <a:xfrm>
                      <a:off x="0" y="0"/>
                      <a:ext cx="114300" cy="2476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位元）。標準嚴格規定，截斷後的標籤長度 </w:t>
      </w:r>
      <w:r w:rsidDel="00000000" w:rsidR="00000000" w:rsidRPr="00000000">
        <w:rPr>
          <w:rFonts w:ascii="Google Sans" w:cs="Google Sans" w:eastAsia="Google Sans" w:hAnsi="Google Sans"/>
          <w:color w:val="1f1f1f"/>
        </w:rPr>
        <w:drawing>
          <wp:inline distB="19050" distT="19050" distL="19050" distR="19050">
            <wp:extent cx="114300" cy="247650"/>
            <wp:effectExtent b="0" l="0" r="0" t="0"/>
            <wp:docPr id="27" name="image10.png"/>
            <a:graphic>
              <a:graphicData uri="http://schemas.openxmlformats.org/drawingml/2006/picture">
                <pic:pic>
                  <pic:nvPicPr>
                    <pic:cNvPr id="0" name="image10.png"/>
                    <pic:cNvPicPr preferRelativeResize="0"/>
                  </pic:nvPicPr>
                  <pic:blipFill>
                    <a:blip r:embed="rId27"/>
                    <a:srcRect b="0" l="0" r="0" t="0"/>
                    <a:stretch>
                      <a:fillRect/>
                    </a:stretch>
                  </pic:blipFill>
                  <pic:spPr>
                    <a:xfrm>
                      <a:off x="0" y="0"/>
                      <a:ext cx="114300" cy="2476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至少須為 32 位元。若 </w:t>
      </w:r>
      <w:r w:rsidDel="00000000" w:rsidR="00000000" w:rsidRPr="00000000">
        <w:rPr>
          <w:rFonts w:ascii="Google Sans" w:cs="Google Sans" w:eastAsia="Google Sans" w:hAnsi="Google Sans"/>
          <w:color w:val="1f1f1f"/>
        </w:rPr>
        <w:drawing>
          <wp:inline distB="19050" distT="19050" distL="19050" distR="19050">
            <wp:extent cx="571500" cy="247650"/>
            <wp:effectExtent b="0" l="0" r="0" t="0"/>
            <wp:docPr id="28" name="image32.png"/>
            <a:graphic>
              <a:graphicData uri="http://schemas.openxmlformats.org/drawingml/2006/picture">
                <pic:pic>
                  <pic:nvPicPr>
                    <pic:cNvPr id="0" name="image32.png"/>
                    <pic:cNvPicPr preferRelativeResize="0"/>
                  </pic:nvPicPr>
                  <pic:blipFill>
                    <a:blip r:embed="rId28"/>
                    <a:srcRect b="0" l="0" r="0" t="0"/>
                    <a:stretch>
                      <a:fillRect/>
                    </a:stretch>
                  </pic:blipFill>
                  <pic:spPr>
                    <a:xfrm>
                      <a:off x="0" y="0"/>
                      <a:ext cx="571500" cy="2476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位元，則該系統必須將容許的解密失敗（Decryption Failures）次數嚴格限制為 1 次；若 </w:t>
      </w:r>
      <w:r w:rsidDel="00000000" w:rsidR="00000000" w:rsidRPr="00000000">
        <w:rPr>
          <w:rFonts w:ascii="Google Sans" w:cs="Google Sans" w:eastAsia="Google Sans" w:hAnsi="Google Sans"/>
          <w:color w:val="1f1f1f"/>
        </w:rPr>
        <w:drawing>
          <wp:inline distB="19050" distT="19050" distL="19050" distR="19050">
            <wp:extent cx="1126703" cy="248257"/>
            <wp:effectExtent b="0" l="0" r="0" t="0"/>
            <wp:docPr id="29" name="image29.png"/>
            <a:graphic>
              <a:graphicData uri="http://schemas.openxmlformats.org/drawingml/2006/picture">
                <pic:pic>
                  <pic:nvPicPr>
                    <pic:cNvPr id="0" name="image29.png"/>
                    <pic:cNvPicPr preferRelativeResize="0"/>
                  </pic:nvPicPr>
                  <pic:blipFill>
                    <a:blip r:embed="rId29"/>
                    <a:srcRect b="0" l="0" r="0" t="0"/>
                    <a:stretch>
                      <a:fillRect/>
                    </a:stretch>
                  </pic:blipFill>
                  <pic:spPr>
                    <a:xfrm>
                      <a:off x="0" y="0"/>
                      <a:ext cx="1126703" cy="248257"/>
                    </a:xfrm>
                    <a:prstGeom prst="rect"/>
                    <a:ln/>
                  </pic:spPr>
                </pic:pic>
              </a:graphicData>
            </a:graphic>
          </wp:inline>
        </w:drawing>
      </w:r>
      <w:r w:rsidDel="00000000" w:rsidR="00000000" w:rsidRPr="00000000">
        <w:rPr>
          <w:rFonts w:ascii="Google Sans" w:cs="Google Sans" w:eastAsia="Google Sans" w:hAnsi="Google Sans"/>
          <w:color w:val="1f1f1f"/>
          <w:rtl w:val="0"/>
        </w:rPr>
        <w:t xml:space="preserve">，則可容忍最高 </w:t>
      </w:r>
      <w:r w:rsidDel="00000000" w:rsidR="00000000" w:rsidRPr="00000000">
        <w:rPr>
          <w:rFonts w:ascii="Google Sans" w:cs="Google Sans" w:eastAsia="Google Sans" w:hAnsi="Google Sans"/>
          <w:color w:val="1f1f1f"/>
        </w:rPr>
        <w:drawing>
          <wp:inline distB="19050" distT="19050" distL="19050" distR="19050">
            <wp:extent cx="431602" cy="239779"/>
            <wp:effectExtent b="0" l="0" r="0" t="0"/>
            <wp:docPr id="30" name="image34.png"/>
            <a:graphic>
              <a:graphicData uri="http://schemas.openxmlformats.org/drawingml/2006/picture">
                <pic:pic>
                  <pic:nvPicPr>
                    <pic:cNvPr id="0" name="image34.png"/>
                    <pic:cNvPicPr preferRelativeResize="0"/>
                  </pic:nvPicPr>
                  <pic:blipFill>
                    <a:blip r:embed="rId30"/>
                    <a:srcRect b="0" l="0" r="0" t="0"/>
                    <a:stretch>
                      <a:fillRect/>
                    </a:stretch>
                  </pic:blipFill>
                  <pic:spPr>
                    <a:xfrm>
                      <a:off x="0" y="0"/>
                      <a:ext cx="431602" cy="23977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次的解密失敗而不至於崩潰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9">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隨機數遮蔽（Nonce Masking）</w:t>
      </w:r>
      <w:r w:rsidDel="00000000" w:rsidR="00000000" w:rsidRPr="00000000">
        <w:rPr>
          <w:rFonts w:ascii="Google Sans" w:cs="Google Sans" w:eastAsia="Google Sans" w:hAnsi="Google Sans"/>
          <w:color w:val="1f1f1f"/>
          <w:rtl w:val="0"/>
        </w:rPr>
        <w:t xml:space="preserve">：在多金鑰（Multi-key）環境或可能發生隨機數重用（Nonce Misuse）的場景下，Ascon 提供了一種使用額外 128 位元金鑰（Nonce-masking key, </w:t>
      </w:r>
      <w:r w:rsidDel="00000000" w:rsidR="00000000" w:rsidRPr="00000000">
        <w:rPr>
          <w:rFonts w:ascii="Google Sans" w:cs="Google Sans" w:eastAsia="Google Sans" w:hAnsi="Google Sans"/>
          <w:color w:val="1f1f1f"/>
        </w:rPr>
        <w:drawing>
          <wp:inline distB="19050" distT="19050" distL="19050" distR="19050">
            <wp:extent cx="244748" cy="244748"/>
            <wp:effectExtent b="0" l="0" r="0" t="0"/>
            <wp:docPr id="11" name="image8.png"/>
            <a:graphic>
              <a:graphicData uri="http://schemas.openxmlformats.org/drawingml/2006/picture">
                <pic:pic>
                  <pic:nvPicPr>
                    <pic:cNvPr id="0" name="image8.png"/>
                    <pic:cNvPicPr preferRelativeResize="0"/>
                  </pic:nvPicPr>
                  <pic:blipFill>
                    <a:blip r:embed="rId31"/>
                    <a:srcRect b="0" l="0" r="0" t="0"/>
                    <a:stretch>
                      <a:fillRect/>
                    </a:stretch>
                  </pic:blipFill>
                  <pic:spPr>
                    <a:xfrm>
                      <a:off x="0" y="0"/>
                      <a:ext cx="244748" cy="244748"/>
                    </a:xfrm>
                    <a:prstGeom prst="rect"/>
                    <a:ln/>
                  </pic:spPr>
                </pic:pic>
              </a:graphicData>
            </a:graphic>
          </wp:inline>
        </w:drawing>
      </w:r>
      <w:r w:rsidDel="00000000" w:rsidR="00000000" w:rsidRPr="00000000">
        <w:rPr>
          <w:rFonts w:ascii="Google Sans" w:cs="Google Sans" w:eastAsia="Google Sans" w:hAnsi="Google Sans"/>
          <w:color w:val="1f1f1f"/>
          <w:rtl w:val="0"/>
        </w:rPr>
        <w:t xml:space="preserve">）來遮蔽輸入隨機數（</w:t>
      </w:r>
      <w:r w:rsidDel="00000000" w:rsidR="00000000" w:rsidRPr="00000000">
        <w:rPr>
          <w:rFonts w:ascii="Google Sans" w:cs="Google Sans" w:eastAsia="Google Sans" w:hAnsi="Google Sans"/>
          <w:color w:val="1f1f1f"/>
        </w:rPr>
        <w:drawing>
          <wp:inline distB="19050" distT="19050" distL="19050" distR="19050">
            <wp:extent cx="662955" cy="246241"/>
            <wp:effectExtent b="0" l="0" r="0" t="0"/>
            <wp:docPr id="12" name="image11.png"/>
            <a:graphic>
              <a:graphicData uri="http://schemas.openxmlformats.org/drawingml/2006/picture">
                <pic:pic>
                  <pic:nvPicPr>
                    <pic:cNvPr id="0" name="image11.png"/>
                    <pic:cNvPicPr preferRelativeResize="0"/>
                  </pic:nvPicPr>
                  <pic:blipFill>
                    <a:blip r:embed="rId32"/>
                    <a:srcRect b="0" l="0" r="0" t="0"/>
                    <a:stretch>
                      <a:fillRect/>
                    </a:stretch>
                  </pic:blipFill>
                  <pic:spPr>
                    <a:xfrm>
                      <a:off x="0" y="0"/>
                      <a:ext cx="662955" cy="246241"/>
                    </a:xfrm>
                    <a:prstGeom prst="rect"/>
                    <a:ln/>
                  </pic:spPr>
                </pic:pic>
              </a:graphicData>
            </a:graphic>
          </wp:inline>
        </w:drawing>
      </w:r>
      <w:r w:rsidDel="00000000" w:rsidR="00000000" w:rsidRPr="00000000">
        <w:rPr>
          <w:rFonts w:ascii="Google Sans" w:cs="Google Sans" w:eastAsia="Google Sans" w:hAnsi="Google Sans"/>
          <w:color w:val="1f1f1f"/>
          <w:rtl w:val="0"/>
        </w:rPr>
        <w:t xml:space="preserve">）的選項。這項機制使 Ascon-AEAD128 在多金鑰設定下，能從原本的 </w:t>
      </w:r>
      <w:r w:rsidDel="00000000" w:rsidR="00000000" w:rsidRPr="00000000">
        <w:rPr>
          <w:rFonts w:ascii="Google Sans" w:cs="Google Sans" w:eastAsia="Google Sans" w:hAnsi="Google Sans"/>
          <w:color w:val="1f1f1f"/>
        </w:rPr>
        <w:drawing>
          <wp:inline distB="19050" distT="19050" distL="19050" distR="19050">
            <wp:extent cx="1162269" cy="247697"/>
            <wp:effectExtent b="0" l="0" r="0" t="0"/>
            <wp:docPr id="13" name="image7.png"/>
            <a:graphic>
              <a:graphicData uri="http://schemas.openxmlformats.org/drawingml/2006/picture">
                <pic:pic>
                  <pic:nvPicPr>
                    <pic:cNvPr id="0" name="image7.png"/>
                    <pic:cNvPicPr preferRelativeResize="0"/>
                  </pic:nvPicPr>
                  <pic:blipFill>
                    <a:blip r:embed="rId33"/>
                    <a:srcRect b="0" l="0" r="0" t="0"/>
                    <a:stretch>
                      <a:fillRect/>
                    </a:stretch>
                  </pic:blipFill>
                  <pic:spPr>
                    <a:xfrm>
                      <a:off x="0" y="0"/>
                      <a:ext cx="1162269" cy="24769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位元安全強度，恢復至完整的 128 位元機密性與完整性保證，同時有效緩解了近年來學界高度關注的上下文承諾（Context-commitment）安全隱患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肆、 記憶體極限的藝術：TinyJAMBU 的 NLFSR 架構與演進</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若說 Ascon 是在效能與安全性之間取得了完美的平衡，那麼 TinyJAMBU 則是為了挑戰密碼學硬體與記憶體的絕對下限而生。作為 NIST LWC 競賽中最受矚目的決選名單之一，TinyJAMBU 的設計初衷是為了服務那些連 Ascon 都可能顯得過於沉重的極端受限環境，例如被動式 RFID 標籤或是依賴能量收集（Energy Harvesting）技術的奈米級微型感測器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一、 核心置換與狀態更新邏輯</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與 Ascon 的 320 位元海綿狀態不同，TinyJAMBU 採用了基於密鑰的置換（Keyed-permutation）架構，其核心是一個容量僅有 128 位元的非線性反饋移位暫存器（Non-Linear Feedback Shift Register, NLFSR）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。這不僅是所有 NIST LWC 候選演算法中內部狀態最小的設計之一，更代表了極致的記憶體足跡壓縮。TinyJAMBU-128 支援 128 位元的金鑰、96 位元的隨機數（Nonce）以及 64 位元的認證標籤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其狀態更新函數（State Update Function）展現了密碼學設計的極簡美學。在每一輪的暫存器推進中，系統僅從 128 位元狀態（</w:t>
      </w:r>
      <w:r w:rsidDel="00000000" w:rsidR="00000000" w:rsidRPr="00000000">
        <w:rPr>
          <w:rFonts w:ascii="Google Sans" w:cs="Google Sans" w:eastAsia="Google Sans" w:hAnsi="Google Sans"/>
          <w:color w:val="1f1f1f"/>
        </w:rPr>
        <w:drawing>
          <wp:inline distB="19050" distT="19050" distL="19050" distR="19050">
            <wp:extent cx="1171280" cy="247588"/>
            <wp:effectExtent b="0" l="0" r="0" t="0"/>
            <wp:docPr id="14" name="image21.png"/>
            <a:graphic>
              <a:graphicData uri="http://schemas.openxmlformats.org/drawingml/2006/picture">
                <pic:pic>
                  <pic:nvPicPr>
                    <pic:cNvPr id="0" name="image21.png"/>
                    <pic:cNvPicPr preferRelativeResize="0"/>
                  </pic:nvPicPr>
                  <pic:blipFill>
                    <a:blip r:embed="rId34"/>
                    <a:srcRect b="0" l="0" r="0" t="0"/>
                    <a:stretch>
                      <a:fillRect/>
                    </a:stretch>
                  </pic:blipFill>
                  <pic:spPr>
                    <a:xfrm>
                      <a:off x="0" y="0"/>
                      <a:ext cx="1171280" cy="247588"/>
                    </a:xfrm>
                    <a:prstGeom prst="rect"/>
                    <a:ln/>
                  </pic:spPr>
                </pic:pic>
              </a:graphicData>
            </a:graphic>
          </wp:inline>
        </w:drawing>
      </w:r>
      <w:r w:rsidDel="00000000" w:rsidR="00000000" w:rsidRPr="00000000">
        <w:rPr>
          <w:rFonts w:ascii="Google Sans" w:cs="Google Sans" w:eastAsia="Google Sans" w:hAnsi="Google Sans"/>
          <w:color w:val="1f1f1f"/>
          <w:rtl w:val="0"/>
        </w:rPr>
        <w:t xml:space="preserve">）中取出四個特定的位元（</w:t>
      </w:r>
      <w:r w:rsidDel="00000000" w:rsidR="00000000" w:rsidRPr="00000000">
        <w:rPr>
          <w:rFonts w:ascii="Google Sans" w:cs="Google Sans" w:eastAsia="Google Sans" w:hAnsi="Google Sans"/>
          <w:color w:val="1f1f1f"/>
        </w:rPr>
        <w:drawing>
          <wp:inline distB="19050" distT="19050" distL="19050" distR="19050">
            <wp:extent cx="1473698" cy="247201"/>
            <wp:effectExtent b="0" l="0" r="0" t="0"/>
            <wp:docPr id="15" name="image13.png"/>
            <a:graphic>
              <a:graphicData uri="http://schemas.openxmlformats.org/drawingml/2006/picture">
                <pic:pic>
                  <pic:nvPicPr>
                    <pic:cNvPr id="0" name="image13.png"/>
                    <pic:cNvPicPr preferRelativeResize="0"/>
                  </pic:nvPicPr>
                  <pic:blipFill>
                    <a:blip r:embed="rId35"/>
                    <a:srcRect b="0" l="0" r="0" t="0"/>
                    <a:stretch>
                      <a:fillRect/>
                    </a:stretch>
                  </pic:blipFill>
                  <pic:spPr>
                    <a:xfrm>
                      <a:off x="0" y="0"/>
                      <a:ext cx="1473698" cy="247201"/>
                    </a:xfrm>
                    <a:prstGeom prst="rect"/>
                    <a:ln/>
                  </pic:spPr>
                </pic:pic>
              </a:graphicData>
            </a:graphic>
          </wp:inline>
        </w:drawing>
      </w:r>
      <w:r w:rsidDel="00000000" w:rsidR="00000000" w:rsidRPr="00000000">
        <w:rPr>
          <w:rFonts w:ascii="Google Sans" w:cs="Google Sans" w:eastAsia="Google Sans" w:hAnsi="Google Sans"/>
          <w:color w:val="1f1f1f"/>
          <w:rtl w:val="0"/>
        </w:rPr>
        <w:t xml:space="preserve">），並結合當前的金鑰位元 </w:t>
      </w:r>
      <w:r w:rsidDel="00000000" w:rsidR="00000000" w:rsidRPr="00000000">
        <w:rPr>
          <w:rFonts w:ascii="Google Sans" w:cs="Google Sans" w:eastAsia="Google Sans" w:hAnsi="Google Sans"/>
          <w:color w:val="1f1f1f"/>
        </w:rPr>
        <w:drawing>
          <wp:inline distB="19050" distT="19050" distL="19050" distR="19050">
            <wp:extent cx="159171" cy="243438"/>
            <wp:effectExtent b="0" l="0" r="0" t="0"/>
            <wp:docPr id="16" name="image5.png"/>
            <a:graphic>
              <a:graphicData uri="http://schemas.openxmlformats.org/drawingml/2006/picture">
                <pic:pic>
                  <pic:nvPicPr>
                    <pic:cNvPr id="0" name="image5.png"/>
                    <pic:cNvPicPr preferRelativeResize="0"/>
                  </pic:nvPicPr>
                  <pic:blipFill>
                    <a:blip r:embed="rId36"/>
                    <a:srcRect b="0" l="0" r="0" t="0"/>
                    <a:stretch>
                      <a:fillRect/>
                    </a:stretch>
                  </pic:blipFill>
                  <pic:spPr>
                    <a:xfrm>
                      <a:off x="0" y="0"/>
                      <a:ext cx="159171" cy="243438"/>
                    </a:xfrm>
                    <a:prstGeom prst="rect"/>
                    <a:ln/>
                  </pic:spPr>
                </pic:pic>
              </a:graphicData>
            </a:graphic>
          </wp:inline>
        </w:drawing>
      </w:r>
      <w:r w:rsidDel="00000000" w:rsidR="00000000" w:rsidRPr="00000000">
        <w:rPr>
          <w:rFonts w:ascii="Google Sans" w:cs="Google Sans" w:eastAsia="Google Sans" w:hAnsi="Google Sans"/>
          <w:color w:val="1f1f1f"/>
          <w:rtl w:val="0"/>
        </w:rPr>
        <w:t xml:space="preserve">，透過一個極度簡單的非線性 NAND 邏輯閘進行運算。其反饋位元（Feedback Bit）的代數計算公式如下：</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26706"/>
            <wp:effectExtent b="0" l="0" r="0" t="0"/>
            <wp:docPr id="17" name="image4.png"/>
            <a:graphic>
              <a:graphicData uri="http://schemas.openxmlformats.org/drawingml/2006/picture">
                <pic:pic>
                  <pic:nvPicPr>
                    <pic:cNvPr id="0" name="image4.png"/>
                    <pic:cNvPicPr preferRelativeResize="0"/>
                  </pic:nvPicPr>
                  <pic:blipFill>
                    <a:blip r:embed="rId37"/>
                    <a:srcRect b="0" l="0" r="0" t="0"/>
                    <a:stretch>
                      <a:fillRect/>
                    </a:stretch>
                  </pic:blipFill>
                  <pic:spPr>
                    <a:xfrm>
                      <a:off x="0" y="0"/>
                      <a:ext cx="5905500" cy="626706"/>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計算出反饋位元後，狀態暫存器整體向右位移一個位元，並將此反饋位元寫入最高位元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為了彌補單一 NAND 邏輯閘每輪更新非線性度極弱的問題，TinyJAMBU 必須透過執行大量的輪數來建立足夠的安全邊界。透過引入 3 位元的訊框位元（FrameBits），TinyJAMBU 能夠精準地區分當前系統是處於 Nonce 吸收（FrameBits=1）、關聯數據 AD 處理（FrameBits=3）、明文加解密（FrameBits=5）或標籤生成（FrameBits=7）階段。這種巧妙的設計使其在共用同一套微小 NLFSR 核心的同時，確保了模式層面的領域隔離（Domain Separation）與密碼學安全性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二、 基於 NIST IR 8454 決選報告之安全強化迭代</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 NIST 輕量級密碼學的第三輪（決選輪）評估期間，全球密碼學者對 TinyJAMBU 進行了深度的密碼分析。根據 NIST IR 8454 決選報告的揭露，研究人員 Saha 等人發現了一條機率為 </w:t>
      </w:r>
      <w:r w:rsidDel="00000000" w:rsidR="00000000" w:rsidRPr="00000000">
        <w:rPr>
          <w:rFonts w:ascii="Google Sans" w:cs="Google Sans" w:eastAsia="Google Sans" w:hAnsi="Google Sans"/>
          <w:color w:val="1f1f1f"/>
        </w:rPr>
        <w:drawing>
          <wp:inline distB="19050" distT="19050" distL="19050" distR="19050">
            <wp:extent cx="526852" cy="239478"/>
            <wp:effectExtent b="0" l="0" r="0" t="0"/>
            <wp:docPr id="18" name="image17.png"/>
            <a:graphic>
              <a:graphicData uri="http://schemas.openxmlformats.org/drawingml/2006/picture">
                <pic:pic>
                  <pic:nvPicPr>
                    <pic:cNvPr id="0" name="image17.png"/>
                    <pic:cNvPicPr preferRelativeResize="0"/>
                  </pic:nvPicPr>
                  <pic:blipFill>
                    <a:blip r:embed="rId38"/>
                    <a:srcRect b="0" l="0" r="0" t="0"/>
                    <a:stretch>
                      <a:fillRect/>
                    </a:stretch>
                  </pic:blipFill>
                  <pic:spPr>
                    <a:xfrm>
                      <a:off x="0" y="0"/>
                      <a:ext cx="526852" cy="23947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的 384 輪差分路徑（Differential Trail），這使得原版 TinyJAMBU-128 暴露在特定的差分偽造攻擊（Differential Forgery Attacks）風險之下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。此外，Dunkelman 等人更針對 TinyJAMBU-192 與 TinyJAMBU-256 提出了相關金鑰偽造攻擊（Related-Key Forgery Attacks），且 Dutta 等人亦構造出高達 476 輪的弱金鑰區分器（Weak-Key Distinguisher）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為了徹底修補這些由線性層過度簡化所導致的安全隱患，TinyJAMBU 開發團隊在最終決選階段進行了關鍵的參數升級（進化為 TinyJAMBU v2）。在新的規範中，處理金鑰設定與初始化階段的置換維持 1024 輪不變；然而，在處理隨機數（Nonce）、關聯數據（AD）吸收以及生成最終 32 位元標籤時的置換輪數，</w:t>
      </w:r>
      <w:r w:rsidDel="00000000" w:rsidR="00000000" w:rsidRPr="00000000">
        <w:rPr>
          <w:rFonts w:ascii="Google Sans" w:cs="Google Sans" w:eastAsia="Google Sans" w:hAnsi="Google Sans"/>
          <w:b w:val="1"/>
          <w:bCs w:val="1"/>
          <w:color w:val="1f1f1f"/>
          <w:rtl w:val="0"/>
        </w:rPr>
        <w:t xml:space="preserve">被強制由原先的 384 輪大幅提升至 640 輪</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。這項調整在犧牲極微小系統吞吐量的前提下，換取了難以被輕易貫穿的安全寬裕度，使得 TinyJAMBU 能夠在單一金鑰（Single-key）模型下達成堅不可摧的 112 位元機密性與 64 位元鑑別性保證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比較屬性</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AES-128-GCM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Ascon-AEAD128 (NIST SP 800-232)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TinyJAMBU-128 (v2)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密碼學核心架構</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區塊加密 (Block Cipher) 與通用雜湊</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海綿結構 (Sponge) 與雙工模式</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密鑰置換 (Keyed-permutation) 與 NLFSR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內部狀態大小</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134541" cy="211421"/>
                  <wp:effectExtent b="0" l="0" r="0" t="0"/>
                  <wp:docPr id="19" name="image36.png"/>
                  <a:graphic>
                    <a:graphicData uri="http://schemas.openxmlformats.org/drawingml/2006/picture">
                      <pic:pic>
                        <pic:nvPicPr>
                          <pic:cNvPr id="0" name="image36.png"/>
                          <pic:cNvPicPr preferRelativeResize="0"/>
                        </pic:nvPicPr>
                        <pic:blipFill>
                          <a:blip r:embed="rId39"/>
                          <a:srcRect b="0" l="0" r="0" t="0"/>
                          <a:stretch>
                            <a:fillRect/>
                          </a:stretch>
                        </pic:blipFill>
                        <pic:spPr>
                          <a:xfrm>
                            <a:off x="0" y="0"/>
                            <a:ext cx="134541" cy="211421"/>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384 bits (含密鑰排程與 GHASH 狀態)</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320 bits (Rate: 128, Capacity: 192)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128 bits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軟體非線性運算實作</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8-bit S-box 查表與 </w:t>
            </w:r>
            <w:r w:rsidDel="00000000" w:rsidR="00000000" w:rsidRPr="00000000">
              <w:rPr>
                <w:rFonts w:ascii="Google Sans" w:cs="Google Sans" w:eastAsia="Google Sans" w:hAnsi="Google Sans"/>
                <w:color w:val="1f1f1f"/>
                <w:shd w:fill="auto" w:val="clear"/>
              </w:rPr>
              <w:drawing>
                <wp:inline distB="19050" distT="19050" distL="19050" distR="19050">
                  <wp:extent cx="682228" cy="217934"/>
                  <wp:effectExtent b="0" l="0" r="0" t="0"/>
                  <wp:docPr id="20" name="image15.png"/>
                  <a:graphic>
                    <a:graphicData uri="http://schemas.openxmlformats.org/drawingml/2006/picture">
                      <pic:pic>
                        <pic:nvPicPr>
                          <pic:cNvPr id="0" name="image15.png"/>
                          <pic:cNvPicPr preferRelativeResize="0"/>
                        </pic:nvPicPr>
                        <pic:blipFill>
                          <a:blip r:embed="rId7"/>
                          <a:srcRect b="0" l="0" r="0" t="0"/>
                          <a:stretch>
                            <a:fillRect/>
                          </a:stretch>
                        </pic:blipFill>
                        <pic:spPr>
                          <a:xfrm>
                            <a:off x="0" y="0"/>
                            <a:ext cx="682228" cy="217934"/>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有限體乘法</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5-bit 位元切片 S-box (無查表，代數次數 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單一 NAND 邏輯閘與 XOR 網路</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主要處理階段輪數</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固定 10 輪 (AES-128 核心)</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98599" cy="256357"/>
                  <wp:effectExtent b="0" l="0" r="0" t="0"/>
                  <wp:docPr id="1"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98599" cy="256357"/>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(初始化/最終化), </w:t>
            </w:r>
            <w:r w:rsidDel="00000000" w:rsidR="00000000" w:rsidRPr="00000000">
              <w:rPr>
                <w:rFonts w:ascii="Google Sans" w:cs="Google Sans" w:eastAsia="Google Sans" w:hAnsi="Google Sans"/>
                <w:color w:val="1f1f1f"/>
                <w:shd w:fill="auto" w:val="clear"/>
              </w:rPr>
              <w:drawing>
                <wp:inline distB="19050" distT="19050" distL="19050" distR="19050">
                  <wp:extent cx="98599" cy="256357"/>
                  <wp:effectExtent b="0" l="0" r="0" t="0"/>
                  <wp:docPr id="2"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98599" cy="256357"/>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(資料吸收)</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1024 輪 (初始化/金鑰), 640 輪 (資料處理) </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字節序 (Endianness)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Big-endian 導向</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Little-endian</w:t>
            </w:r>
            <w:r w:rsidDel="00000000" w:rsidR="00000000" w:rsidRPr="00000000">
              <w:rPr>
                <w:rFonts w:ascii="Google Sans" w:cs="Google Sans" w:eastAsia="Google Sans" w:hAnsi="Google Sans"/>
                <w:color w:val="1f1f1f"/>
                <w:shd w:fill="auto" w:val="clear"/>
                <w:rtl w:val="0"/>
              </w:rPr>
              <w:t xml:space="preserve"> (適配 ARM/AVR 原生架構) </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串列位元流 (Bit-oriented) 處理</w:t>
            </w:r>
          </w:p>
        </w:tc>
      </w:tr>
    </w:tbl>
    <w:p w:rsidR="00000000" w:rsidDel="00000000" w:rsidP="00000000" w:rsidRDefault="00000000" w:rsidRPr="00000000" w14:paraId="0000003E">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伍、 跨平台軟體實測與短封包效能剖析</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為了客觀量化不同密碼學流派在受限環境下的表現，NIST 在第三輪評估中廣泛收集了多個獨立實驗室的軟體基準測試數據，包含 NIST 內部實驗室、Renner et al.、Weatherley，以及 ECRYPT 的 eBACS 平台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。本報告將火力集中於物聯網感測器最常見的「短封包」（Short Packets）傳輸特徵。在智慧工廠的感測節點中，每次喚醒傳輸的有效載荷（Payload Size）多數介於 16 Bytes 至 128 Bytes 之間。</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一、 記憶體足跡極限對決 (ROM &amp; RAM Footprint)</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物聯網微控制器的唯讀記憶體（Flash）與動態記憶體（SRAM）是決定演算法能否順利寫入硬體並正常運作的生死線。</w:t>
      </w:r>
    </w:p>
    <w:p w:rsidR="00000000" w:rsidDel="00000000" w:rsidP="00000000" w:rsidRDefault="00000000" w:rsidRPr="00000000" w14:paraId="00000042">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AES-128-GCM 的重擔</w:t>
      </w:r>
      <w:r w:rsidDel="00000000" w:rsidR="00000000" w:rsidRPr="00000000">
        <w:rPr>
          <w:rFonts w:ascii="Google Sans" w:cs="Google Sans" w:eastAsia="Google Sans" w:hAnsi="Google Sans"/>
          <w:color w:val="1f1f1f"/>
          <w:rtl w:val="0"/>
        </w:rPr>
        <w:t xml:space="preserve">：為了在純軟體中提升效能而預先展開查表結構（如 S-box 與 GHASH T-tables），AES 的 Flash 佔用量動輒突破 4KB 至 8KB。同時，運行時所需的上下文切換與龐大的內部狀態變數，極易在 SRAM 容量僅有 2KB（如 ATmega328P）的極端微控制器上引發記憶體溢位（Stack Overflow）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3">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Ascon-AEAD128 的均衡表現</w:t>
      </w:r>
      <w:r w:rsidDel="00000000" w:rsidR="00000000" w:rsidRPr="00000000">
        <w:rPr>
          <w:rFonts w:ascii="Google Sans" w:cs="Google Sans" w:eastAsia="Google Sans" w:hAnsi="Google Sans"/>
          <w:color w:val="1f1f1f"/>
          <w:rtl w:val="0"/>
        </w:rPr>
        <w:t xml:space="preserve">：Renner et al. 的量測指出，Ascon 在 8-bit 的 Arduino Uno (ATmega328P) 與 32-bit 的 ESP32 平台上，其編譯後的二進位程式碼體積（Code Size）均名列前茅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。這歸功於 Ascon 無需儲存常數查表，且其核心 </w:t>
      </w:r>
      <w:r w:rsidDel="00000000" w:rsidR="00000000" w:rsidRPr="00000000">
        <w:rPr>
          <w:rFonts w:ascii="Google Sans" w:cs="Google Sans" w:eastAsia="Google Sans" w:hAnsi="Google Sans"/>
          <w:color w:val="1f1f1f"/>
        </w:rPr>
        <w:drawing>
          <wp:inline distB="19050" distT="19050" distL="19050" distR="19050">
            <wp:extent cx="98599" cy="256357"/>
            <wp:effectExtent b="0" l="0" r="0" t="0"/>
            <wp:docPr id="3"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98599" cy="25635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置換的邏輯迴圈可被編譯器高度重用。NIST 的內部基準測試亦證實，Ascon 結合加解密功能的最小實作（Minimum Flash Size）在 PIC32、ARM Cortex-M4 等多數平台上皆遠小於 AES-GCM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4">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TinyJAMBU-128 的物理極限壓榨</w:t>
      </w:r>
      <w:r w:rsidDel="00000000" w:rsidR="00000000" w:rsidRPr="00000000">
        <w:rPr>
          <w:rFonts w:ascii="Google Sans" w:cs="Google Sans" w:eastAsia="Google Sans" w:hAnsi="Google Sans"/>
          <w:color w:val="1f1f1f"/>
          <w:rtl w:val="0"/>
        </w:rPr>
        <w:t xml:space="preserve">：在 RAM 的佔用上，TinyJAMBU 展現了無人能及的統治力。根據 Watanabe et al. 針對微控制器記憶體最佳化的專項研究，</w:t>
      </w:r>
      <w:r w:rsidDel="00000000" w:rsidR="00000000" w:rsidRPr="00000000">
        <w:rPr>
          <w:rFonts w:ascii="Google Sans" w:cs="Google Sans" w:eastAsia="Google Sans" w:hAnsi="Google Sans"/>
          <w:b w:val="1"/>
          <w:bCs w:val="1"/>
          <w:color w:val="1f1f1f"/>
          <w:rtl w:val="0"/>
        </w:rPr>
        <w:t xml:space="preserve">TinyJAMBU 在 8-bit 的 AVR ATmega128 上僅消耗 117 Bytes 的 RAM，而在 32-bit 的 ARM Cortex-M3 上也僅需消耗 140 Bytes 的 RAM</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。這使得 TinyJAMBU 能夠輕鬆潛入那些連最基本的即時作業系統（RTOS）都難以裝載的極端低階晶片中。</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二、 運算吞吐量與處理延遲 (Throughput: Cycles/Byte)</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吞吐量指標精確量測了中央處理器完成加解密任務所需消耗的平均時脈週期數（Cycles per Byte, cpb）。低 cpb 代表設備能更快結束高耗電的活動模式（Active Mode）。</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根據 eBACS 平台與 Weatherley 的實測數據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：在具備 AES-NI 專屬硬體加速指令集的 64-bit 伺服器處理器上，AES-GCM 確實展現了無可匹敵的極限吞吐量。然而，一旦場景轉移至缺乏硬體加速的純軟體微控制器（如 ARM Cortex-M3 或 ESP32），局勢便發生了戲劇性的翻轉。</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Weatherley 針對 16 Bytes 與 128 Bytes 短封包的測試顯示，在 ARM Cortex-M3 平台上，Ascon 的加解密速度全面超越了以軟體效率著稱的 ChaCha20-Poly1305，更以倍數級別的優勢擊敗了無硬體加速的 AES-GCM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。此外，Ascon 受惠於 NIST SP 800-232 導入的 Little-endian 設計，在處理 64-bit 字組時完全免除了位元組反轉的開銷，使其在 32-bit Cortex-M 平台上的 cpb 數值能夠穩定收斂。而 TinyJAMBU 儘管輪數高達 640 輪，但因為每輪僅涉及少數位元的 NAND 運算，在 32-bit 暫存器的位元遮罩（Bit-masking）優化下，其吞吐量同樣能穩定超越傳統的 AES-GCM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三、 短封包的致命傷：初始化成本攤提 (Initialization Cost Penalty)</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當傳輸的明文僅有 16 Bytes 時，演算法的初始化階段（金鑰擴展、Nonce 吸收）將成為拖垮整體效能的致命傷。</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AES-GCM 需要執行複雜的 AES 金鑰排程陣列生成，並預計算耗時的 GHASH 子金鑰 </w:t>
      </w:r>
      <w:r w:rsidDel="00000000" w:rsidR="00000000" w:rsidRPr="00000000">
        <w:rPr>
          <w:rFonts w:ascii="Google Sans" w:cs="Google Sans" w:eastAsia="Google Sans" w:hAnsi="Google Sans"/>
          <w:color w:val="1f1f1f"/>
        </w:rPr>
        <w:drawing>
          <wp:inline distB="19050" distT="19050" distL="19050" distR="19050">
            <wp:extent cx="178742" cy="244595"/>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78742" cy="2445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。在 16 Bytes 的短封包下，這些固定成本無法被大量數據攤提，導致其效能衰退曲線極其陡峭。相較之下，Ascon 僅需執行 12 輪的強置換 </w:t>
      </w:r>
      <w:r w:rsidDel="00000000" w:rsidR="00000000" w:rsidRPr="00000000">
        <w:rPr>
          <w:rFonts w:ascii="Google Sans" w:cs="Google Sans" w:eastAsia="Google Sans" w:hAnsi="Google Sans"/>
          <w:color w:val="1f1f1f"/>
        </w:rPr>
        <w:drawing>
          <wp:inline distB="19050" distT="19050" distL="19050" distR="19050">
            <wp:extent cx="874440" cy="247124"/>
            <wp:effectExtent b="0" l="0" r="0" t="0"/>
            <wp:docPr id="5"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874440" cy="24712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即可完成初始化，得益於非線性層的高度並行性，其啟動時間極短。NIST IR 8454 報告的「Time vs. Size Explorations」熱力圖（Heatmaps）明確指出，針對 16-byte AD 與 16-byte Message 的極短封包，Ascon 與 TinyJAMBU 的加密消耗時間（Execution Time Ratio）皆顯著低於同等體積的 AES-GCM 實作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陸、 硬體合成、實體安全防護與側信道攻擊容忍度</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物聯網設備經常曝露於缺乏實體防護的開放環境中，攻擊者極易透過測量設備運算時的功耗波動或電磁輻射，進行差分功耗分析（Differential Power Analysis, DPA）等側信道攻擊（Side-Channel Attacks, SCA），或是透過注入電壓毛刺干擾運算，進行故障攻擊（Fault Injection Attacks）。因此，演算法在導入遮蔽防護（Masking）等反制措施後的硬體開銷與效能折損，成為 NIST 決選的關鍵指標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一、 側信道遮蔽的非線性代價</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遮蔽技術的核心思想是將敏感的中間變數拆分為多個隨機份額（Shares），使攻擊者必須同時觀測多個份額才能還原資訊。然而，非線性運算（如 S-box）在處理這些被拆分的份額時，會引發交叉相乘項，導致硬體邏輯閘與隨機位元消耗呈指數級增長。</w:t>
      </w:r>
    </w:p>
    <w:p w:rsidR="00000000" w:rsidDel="00000000" w:rsidP="00000000" w:rsidRDefault="00000000" w:rsidRPr="00000000" w14:paraId="00000050">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AES-GCM 的困境</w:t>
      </w:r>
      <w:r w:rsidDel="00000000" w:rsidR="00000000" w:rsidRPr="00000000">
        <w:rPr>
          <w:rFonts w:ascii="Google Sans" w:cs="Google Sans" w:eastAsia="Google Sans" w:hAnsi="Google Sans"/>
          <w:color w:val="1f1f1f"/>
          <w:rtl w:val="0"/>
        </w:rPr>
        <w:t xml:space="preserve">：AES 的 8-bit S-box 是基於有限體 </w:t>
      </w:r>
      <w:r w:rsidDel="00000000" w:rsidR="00000000" w:rsidRPr="00000000">
        <w:rPr>
          <w:rFonts w:ascii="Google Sans" w:cs="Google Sans" w:eastAsia="Google Sans" w:hAnsi="Google Sans"/>
          <w:color w:val="1f1f1f"/>
        </w:rPr>
        <w:drawing>
          <wp:inline distB="19050" distT="19050" distL="19050" distR="19050">
            <wp:extent cx="636091" cy="246841"/>
            <wp:effectExtent b="0" l="0" r="0" t="0"/>
            <wp:docPr id="6" name="image24.png"/>
            <a:graphic>
              <a:graphicData uri="http://schemas.openxmlformats.org/drawingml/2006/picture">
                <pic:pic>
                  <pic:nvPicPr>
                    <pic:cNvPr id="0" name="image24.png"/>
                    <pic:cNvPicPr preferRelativeResize="0"/>
                  </pic:nvPicPr>
                  <pic:blipFill>
                    <a:blip r:embed="rId40"/>
                    <a:srcRect b="0" l="0" r="0" t="0"/>
                    <a:stretch>
                      <a:fillRect/>
                    </a:stretch>
                  </pic:blipFill>
                  <pic:spPr>
                    <a:xfrm>
                      <a:off x="0" y="0"/>
                      <a:ext cx="636091" cy="24684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上的乘法反元素構建，其代數次數（Algebraic Degree）極高。在實作一階（First-order）或更高階的布林遮蔽（Boolean Masking）或閾值實作（Threshold Implementation, TI）時，AES 需要消耗極為龐大的隨機位元生成器（RNG）資源與硬體面積，這在低成本的 FPGA 或 ASIC 上幾乎不具備經濟可行性。</w:t>
      </w:r>
    </w:p>
    <w:p w:rsidR="00000000" w:rsidDel="00000000" w:rsidP="00000000" w:rsidRDefault="00000000" w:rsidRPr="00000000" w14:paraId="00000051">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Ascon 的代數幾何優勢</w:t>
      </w:r>
      <w:r w:rsidDel="00000000" w:rsidR="00000000" w:rsidRPr="00000000">
        <w:rPr>
          <w:rFonts w:ascii="Google Sans" w:cs="Google Sans" w:eastAsia="Google Sans" w:hAnsi="Google Sans"/>
          <w:color w:val="1f1f1f"/>
          <w:rtl w:val="0"/>
        </w:rPr>
        <w:t xml:space="preserve">：Ascon 設計團隊極具前瞻性地採用了代數次數僅為 2 的 5-bit S-box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。在執行硬體遮蔽時，這種低次數的非線性轉換僅需執行少量的份額交叉乘法。根據 George Mason University (GMU) 的 CERG 實驗室在 Xilinx Artix-7 FPGA 上的硬體基準測試，實作一階防護的 Ascon 晶片面積增加率（Overhead）極小，且其吞吐量（Throughput）與面積效率（Throughput over Area）在所有決選名單中位居絕對領先地位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2">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TinyJAMBU 的領域導向遮蔽極限</w:t>
      </w:r>
      <w:r w:rsidDel="00000000" w:rsidR="00000000" w:rsidRPr="00000000">
        <w:rPr>
          <w:rFonts w:ascii="Google Sans" w:cs="Google Sans" w:eastAsia="Google Sans" w:hAnsi="Google Sans"/>
          <w:color w:val="1f1f1f"/>
          <w:rtl w:val="0"/>
        </w:rPr>
        <w:t xml:space="preserve">：TinyJAMBU 的非線性層僅仰賴一個簡單的 NAND 邏輯閘。在硬體層級導入領域導向遮蔽（Domain-Oriented Masking, DOM）的成本逼近物理下限。GMU 測試數據顯示，受到一階防護的 TinyJAMBU 設計在 Artix-7 FPGA 上僅佔用 1267 個查找表（LUTs），並依然能飆出 120 Mbps 的高吞吐量，展現出極端受限環境下防禦物理攻擊的最佳性價比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二、 故障攻擊的脆弱性與容忍度</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在異常操作下（例如人為降低電壓誘發運算錯誤），攻擊者可透過故障分析（Fault Analysis）獲取密鑰資訊。</w:t>
      </w:r>
    </w:p>
    <w:p w:rsidR="00000000" w:rsidDel="00000000" w:rsidP="00000000" w:rsidRDefault="00000000" w:rsidRPr="00000000" w14:paraId="00000055">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針對 TinyJAMBU，文獻指出透過精準注入故障，可擾亂其 NLFSR 的移位狀態。然而，研究人員 Ambili 等人已證實可透過整合細胞自動機（Cellular Automata）機制，以極低的額外成本強化 TinyJAMBU 抵禦差分故障攻擊（DFA）的能力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6">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針對 Ascon，儘管存在針對輪數縮減版本的特定故障注入模型（如 Ramezanpour 提出的統計故障分析 SFA），但 Ascon 在正規 12 輪強置換設定下，由於其線性擴散層 </w:t>
      </w:r>
      <w:r w:rsidDel="00000000" w:rsidR="00000000" w:rsidRPr="00000000">
        <w:rPr>
          <w:rFonts w:ascii="Google Sans" w:cs="Google Sans" w:eastAsia="Google Sans" w:hAnsi="Google Sans"/>
          <w:color w:val="1f1f1f"/>
        </w:rPr>
        <w:drawing>
          <wp:inline distB="19050" distT="19050" distL="19050" distR="19050">
            <wp:extent cx="201737" cy="249769"/>
            <wp:effectExtent b="0" l="0" r="0" t="0"/>
            <wp:docPr id="7" name="image22.png"/>
            <a:graphic>
              <a:graphicData uri="http://schemas.openxmlformats.org/drawingml/2006/picture">
                <pic:pic>
                  <pic:nvPicPr>
                    <pic:cNvPr id="0" name="image22.png"/>
                    <pic:cNvPicPr preferRelativeResize="0"/>
                  </pic:nvPicPr>
                  <pic:blipFill>
                    <a:blip r:embed="rId23"/>
                    <a:srcRect b="0" l="0" r="0" t="0"/>
                    <a:stretch>
                      <a:fillRect/>
                    </a:stretch>
                  </pic:blipFill>
                  <pic:spPr>
                    <a:xfrm>
                      <a:off x="0" y="0"/>
                      <a:ext cx="201737" cy="24976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強大的雪崩效應，能在極短輪數內將局部故障擴散至全域，大幅增加了攻擊者捕捉有效差異特徵的難度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防禦指標與開銷</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AES-128-GCM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Ascon-AEAD128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TinyJAMBU-128 (v2)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非線性層代數次數</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 (高次數)</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 (極低次數) </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 (單一 NAND 閘) </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一階遮蔽硬體開銷</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極高 (隨機位元消耗龐大)</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極低 (具備原生優勢) </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最低 (僅 1267 LUTs 面積) </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所需保護之狀態大小</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128 bits + Key Schedule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320 bits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128 bits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抗物理攻擊綜合評價</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不適用於受限端點</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頂尖梯隊 (高吞吐/面積比) </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極端環境最佳性價比 </w:t>
            </w:r>
            <w:r w:rsidDel="00000000" w:rsidR="00000000" w:rsidRPr="00000000">
              <w:rPr>
                <w:rFonts w:ascii="Google Sans" w:cs="Google Sans" w:eastAsia="Google Sans" w:hAnsi="Google Sans"/>
                <w:color w:val="444746"/>
                <w:sz w:val="24"/>
                <w:szCs w:val="24"/>
                <w:vertAlign w:val="superscript"/>
                <w:rtl w:val="0"/>
              </w:rPr>
              <w:t xml:space="preserve">3</w:t>
            </w:r>
          </w:p>
        </w:tc>
      </w:tr>
    </w:tbl>
    <w:p w:rsidR="00000000" w:rsidDel="00000000" w:rsidP="00000000" w:rsidRDefault="00000000" w:rsidRPr="00000000" w14:paraId="0000006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柒、 密碼分析、安全寬裕度與容錯假設</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除了純粹的效能壓榨，演算法在面對極端運作條件（如隨機數重用）時的安全韌性，是評估是否能長期部署於物聯網場域的核心準則。NIST IR 8454 匯集了全球密碼學界針對各決選名單最嚴苛的第三方密碼分析（Third-party Cryptanalysis）結果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一、 Ascon 的安全寬裕度與 Nonce 誤用韌性</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Ascon 自 2014 年投入 CAESAR 競賽以來，經歷了長達近十年的全球密碼學界無情檢驗，是目前安全成熟度最高的輕量級標準之一。</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根據 NIST IR 8454 的統整，在嚴格遵守隨機數不重複（Nonce-respecting）的單一金鑰設定下，目前對 Ascon 已知最佳的金鑰還原攻擊（Key-recovery Attack），是由 Rohit 與 Sarkar 提出的立方體攻擊變體（Cube-like Attack），該攻擊針對 Ascon 初始化階段，最多只能突破 7 輪（滿輪為 12 輪），時間複雜度高達 </w:t>
      </w:r>
      <w:r w:rsidDel="00000000" w:rsidR="00000000" w:rsidRPr="00000000">
        <w:rPr>
          <w:rFonts w:ascii="Google Sans" w:cs="Google Sans" w:eastAsia="Google Sans" w:hAnsi="Google Sans"/>
          <w:color w:val="1f1f1f"/>
        </w:rPr>
        <w:drawing>
          <wp:inline distB="19050" distT="19050" distL="19050" distR="19050">
            <wp:extent cx="313432" cy="237448"/>
            <wp:effectExtent b="0" l="0" r="0" t="0"/>
            <wp:docPr id="8" name="image14.png"/>
            <a:graphic>
              <a:graphicData uri="http://schemas.openxmlformats.org/drawingml/2006/picture">
                <pic:pic>
                  <pic:nvPicPr>
                    <pic:cNvPr id="0" name="image14.png"/>
                    <pic:cNvPicPr preferRelativeResize="0"/>
                  </pic:nvPicPr>
                  <pic:blipFill>
                    <a:blip r:embed="rId41"/>
                    <a:srcRect b="0" l="0" r="0" t="0"/>
                    <a:stretch>
                      <a:fillRect/>
                    </a:stretch>
                  </pic:blipFill>
                  <pic:spPr>
                    <a:xfrm>
                      <a:off x="0" y="0"/>
                      <a:ext cx="313432" cy="237448"/>
                    </a:xfrm>
                    <a:prstGeom prst="rect"/>
                    <a:ln/>
                  </pic:spPr>
                </pic:pic>
              </a:graphicData>
            </a:graphic>
          </wp:inline>
        </w:drawing>
      </w:r>
      <w:r w:rsidDel="00000000" w:rsidR="00000000" w:rsidRPr="00000000">
        <w:rPr>
          <w:rFonts w:ascii="Google Sans" w:cs="Google Sans" w:eastAsia="Google Sans" w:hAnsi="Google Sans"/>
          <w:color w:val="1f1f1f"/>
          <w:rtl w:val="0"/>
        </w:rPr>
        <w:t xml:space="preserve">，且資料複雜度達 </w:t>
      </w:r>
      <w:r w:rsidDel="00000000" w:rsidR="00000000" w:rsidRPr="00000000">
        <w:rPr>
          <w:rFonts w:ascii="Google Sans" w:cs="Google Sans" w:eastAsia="Google Sans" w:hAnsi="Google Sans"/>
          <w:color w:val="1f1f1f"/>
        </w:rPr>
        <w:drawing>
          <wp:inline distB="19050" distT="19050" distL="19050" distR="19050">
            <wp:extent cx="244896" cy="235477"/>
            <wp:effectExtent b="0" l="0" r="0" t="0"/>
            <wp:docPr id="9" name="image12.png"/>
            <a:graphic>
              <a:graphicData uri="http://schemas.openxmlformats.org/drawingml/2006/picture">
                <pic:pic>
                  <pic:nvPicPr>
                    <pic:cNvPr id="0" name="image12.png"/>
                    <pic:cNvPicPr preferRelativeResize="0"/>
                  </pic:nvPicPr>
                  <pic:blipFill>
                    <a:blip r:embed="rId42"/>
                    <a:srcRect b="0" l="0" r="0" t="0"/>
                    <a:stretch>
                      <a:fillRect/>
                    </a:stretch>
                  </pic:blipFill>
                  <pic:spPr>
                    <a:xfrm>
                      <a:off x="0" y="0"/>
                      <a:ext cx="244896" cy="2354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。而最佳的偽造攻擊（Forgery Attack）則僅能覆蓋最終化階段的 4 輪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。這意味著正規實作的 Ascon-AEAD128 保有極端充裕的安全餘裕（Security Margin）。</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更重要的是，在物聯網環境中，低劣的硬體隨機數產生器（TRNG）經常導致隨機數重用（Nonce Misuse）災難。AES-GCM 的 GHASH 在面臨 Nonce 重用時，多項式方程會被輕易解開，導致通訊的機密性與鑑別性雙雙崩潰。相較之下，Ascon 在面臨 Nonce 誤用時，雖然無法維持理想的機密性（等同於密文回饋模式），但根據研究（如 Chang et al. 的條件立方體攻擊分析），Ascon 依然能提供極高強度的鑑別性防護（Integrity Assurances under Nonce-misuse），成功阻擋了攻擊者進一步竄改資料或還原長期主金鑰的企圖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二、 TinyJAMBU 的極端設計與相關金鑰弱點</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為了將內部狀態極限壓縮至 128 位元，TinyJAMBU 捨棄了複雜的金鑰排程，並採用單一 NAND 閘驅動 NLFSR 更新。這種極端作法必然會引發特有的密碼分析學挑戰。</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NIST IR 8454 報告指出，Dutta 等人成功構造出針對 TinyJAMBU 置換核心長達 476 輪的弱金鑰區分器（Weak-Key Distinguisher）；Dunkelman 等人更提出了針對 TinyJAMBU-192 與 TinyJAMBU-256 的相關金鑰偽造攻擊（Related-Key Forgery Attacks），其時間複雜度分別僅需 </w:t>
      </w:r>
      <w:r w:rsidDel="00000000" w:rsidR="00000000" w:rsidRPr="00000000">
        <w:rPr>
          <w:rFonts w:ascii="Google Sans" w:cs="Google Sans" w:eastAsia="Google Sans" w:hAnsi="Google Sans"/>
          <w:color w:val="1f1f1f"/>
        </w:rPr>
        <w:drawing>
          <wp:inline distB="19050" distT="19050" distL="19050" distR="19050">
            <wp:extent cx="244896" cy="235477"/>
            <wp:effectExtent b="0" l="0" r="0" t="0"/>
            <wp:docPr id="10" name="image18.png"/>
            <a:graphic>
              <a:graphicData uri="http://schemas.openxmlformats.org/drawingml/2006/picture">
                <pic:pic>
                  <pic:nvPicPr>
                    <pic:cNvPr id="0" name="image18.png"/>
                    <pic:cNvPicPr preferRelativeResize="0"/>
                  </pic:nvPicPr>
                  <pic:blipFill>
                    <a:blip r:embed="rId43"/>
                    <a:srcRect b="0" l="0" r="0" t="0"/>
                    <a:stretch>
                      <a:fillRect/>
                    </a:stretch>
                  </pic:blipFill>
                  <pic:spPr>
                    <a:xfrm>
                      <a:off x="0" y="0"/>
                      <a:ext cx="244896" cy="2354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與 </w:t>
      </w:r>
      <w:r w:rsidDel="00000000" w:rsidR="00000000" w:rsidRPr="00000000">
        <w:rPr>
          <w:rFonts w:ascii="Google Sans" w:cs="Google Sans" w:eastAsia="Google Sans" w:hAnsi="Google Sans"/>
          <w:color w:val="1f1f1f"/>
        </w:rPr>
        <w:drawing>
          <wp:inline distB="19050" distT="19050" distL="19050" distR="19050">
            <wp:extent cx="244896" cy="235477"/>
            <wp:effectExtent b="0" l="0" r="0" t="0"/>
            <wp:docPr id="36" name="image26.png"/>
            <a:graphic>
              <a:graphicData uri="http://schemas.openxmlformats.org/drawingml/2006/picture">
                <pic:pic>
                  <pic:nvPicPr>
                    <pic:cNvPr id="0" name="image26.png"/>
                    <pic:cNvPicPr preferRelativeResize="0"/>
                  </pic:nvPicPr>
                  <pic:blipFill>
                    <a:blip r:embed="rId44"/>
                    <a:srcRect b="0" l="0" r="0" t="0"/>
                    <a:stretch>
                      <a:fillRect/>
                    </a:stretch>
                  </pic:blipFill>
                  <pic:spPr>
                    <a:xfrm>
                      <a:off x="0" y="0"/>
                      <a:ext cx="244896" cy="2354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。儘管在正規的單一金鑰設定（Single-Key Setting）下，這些弱點並不足以威脅整體 AEAD 模式的安全性，但也清楚表明了 TinyJAMBU 在多金鑰或相關金鑰攻擊模型下缺乏足夠的安全容錯能力。</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正是因為這些深刻的密碼分析結果，開發團隊在 TinyJAMBU v2 中果斷將 AD 與明文處理階段的置換輪數由 384 輪強制提升至 640 輪，以封堵差分路徑的擴散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。這反映了密碼學工程中一項鐵律：越是極限壓縮硬體資源的設計，就越需要依賴龐大的輪數與嚴格的單一金鑰假設來支撐其理論安全性。</w:t>
      </w:r>
    </w:p>
    <w:p w:rsidR="00000000" w:rsidDel="00000000" w:rsidP="00000000" w:rsidRDefault="00000000" w:rsidRPr="00000000" w14:paraId="0000007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捌、 綜合決策矩陣與未來部署指引</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綜合 NIST SP 800-232 標準規範的設計哲學與 NIST IR 8454 廣泛的全球軟硬體基準測試，本報告為物聯網資安架構設計師提供了以下基於實證數據的「LWC 部署決策矩陣」，清晰界定傳統標準與新世代標準在邊緣運算光譜上的最適定位：</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邊緣硬體特徵與實體應用場景</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推薦部署之 AEAD 演算法</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決策依據與底層工程邏輯</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高端邊緣閘道器 / 雲端匯聚伺服器</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配備多核心超純量處理器 (如 Cortex-A 系列、Intel/AMD x86)、支援 AES-NI / PCLMULQDQ / ARM CE 硬體加速指令集，且無嚴格功耗限制。</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維持 AES-128-GCM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當硬體底層直接提供無進位乘法與 AES 狀態轉換的專屬微指令時，AES-GCM 的並行架構得以徹底釋放。狀態矩陣運算可於少數時脈週期內完成，展現破千 MB/s 的極限吞吐量。在此環境下無須耗費資源遷移標準，並可確保與全球主流 TLS 1.3 基礎設施的絕對相容性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主流物聯網微控制器 (IoT MCU)</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純軟體執行環境 (如 Cortex-M0/M3/M4 系列、RISC-V 核心)、具備數十 KB SRAM 與中等 Flash 容量，需處理一般感測數據、要求低傳輸延遲與電池節能。</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全面遷移至 Ascon-AEAD128</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(遵循 SP 800-232 規範)</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作為 NIST LWC 官方唯一指定標準，Ascon 的海綿結構與無查表的位元切片 S-box 在 32-bit 環境下達成了速度與記憶體的完美平衡。</w:t>
            </w:r>
            <w:r w:rsidDel="00000000" w:rsidR="00000000" w:rsidRPr="00000000">
              <w:rPr>
                <w:rFonts w:ascii="Google Sans" w:cs="Google Sans" w:eastAsia="Google Sans" w:hAnsi="Google Sans"/>
                <w:b w:val="1"/>
                <w:bCs w:val="1"/>
                <w:color w:val="1f1f1f"/>
                <w:shd w:fill="auto" w:val="clear"/>
                <w:rtl w:val="0"/>
              </w:rPr>
              <w:t xml:space="preserve">SP 800-232 導入的 Little-endian 原生支援徹底根除了位元組反轉的冗餘開銷</w:t>
            </w:r>
            <w:r w:rsidDel="00000000" w:rsidR="00000000" w:rsidRPr="00000000">
              <w:rPr>
                <w:rFonts w:ascii="Google Sans" w:cs="Google Sans" w:eastAsia="Google Sans" w:hAnsi="Google Sans"/>
                <w:color w:val="1f1f1f"/>
                <w:shd w:fill="auto" w:val="clear"/>
                <w:rtl w:val="0"/>
              </w:rPr>
              <w:t xml:space="preserve">。在處理常見的短封包與頻繁的休眠喚醒週期中，其極低的初始化成本能顯著降低感測器的總體能耗，且具備優異的側信道遮蔽成本效益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極度受限的被動式 / 奈米級節點</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如 8-bit AVR 架構、RFID 標籤、依賴能量收集技術的醫療植入物，SRAM 容量低於 4KB，ROM 極度稀缺且需抵抗物理攻擊。</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採用 TinyJAMBU-128</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(升級至 v2 的 640 輪規範)</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當硬體資源枯竭至連輕量級的 Ascon 狀態（320-bit）都成為負擔時，TinyJAMBU 僅 128 位元的狀態空間與單一 NAND 閘推進機制，保證了其能寫入最低階的晶片中。</w:t>
            </w:r>
            <w:r w:rsidDel="00000000" w:rsidR="00000000" w:rsidRPr="00000000">
              <w:rPr>
                <w:rFonts w:ascii="Google Sans" w:cs="Google Sans" w:eastAsia="Google Sans" w:hAnsi="Google Sans"/>
                <w:b w:val="1"/>
                <w:bCs w:val="1"/>
                <w:color w:val="1f1f1f"/>
                <w:shd w:fill="auto" w:val="clear"/>
                <w:rtl w:val="0"/>
              </w:rPr>
              <w:t xml:space="preserve">其動態 RAM 消耗低至驚人的 117 Bytes</w:t>
            </w:r>
            <w:r w:rsidDel="00000000" w:rsidR="00000000" w:rsidRPr="00000000">
              <w:rPr>
                <w:rFonts w:ascii="Google Sans" w:cs="Google Sans" w:eastAsia="Google Sans" w:hAnsi="Google Sans"/>
                <w:color w:val="1f1f1f"/>
                <w:shd w:fill="auto" w:val="clear"/>
                <w:rtl w:val="0"/>
              </w:rPr>
              <w:t xml:space="preserve">。在面臨實體破壞威脅時，其領域導向遮蔽（DOM）的硬體面積代價極低，是物理極度受限邊緣節點的最後安全底線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shd w:fill="auto" w:val="clear"/>
                <w:rtl w:val="0"/>
              </w:rPr>
              <w:t xml:space="preserve">。</w:t>
            </w:r>
          </w:p>
        </w:tc>
      </w:tr>
    </w:tbl>
    <w:p w:rsidR="00000000" w:rsidDel="00000000" w:rsidP="00000000" w:rsidRDefault="00000000" w:rsidRPr="00000000" w14:paraId="0000008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玖、 專題提案調整總結與學術理據說明</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依據本專題的初始規劃方向，並深度融合使用者所提供之 NIST 最新官方公告文件（包含 </w:t>
      </w:r>
      <w:r w:rsidDel="00000000" w:rsidR="00000000" w:rsidRPr="00000000">
        <w:rPr>
          <w:rFonts w:ascii="Google Sans" w:cs="Google Sans" w:eastAsia="Google Sans" w:hAnsi="Google Sans"/>
          <w:b w:val="1"/>
          <w:bCs w:val="1"/>
          <w:color w:val="1f1f1f"/>
          <w:rtl w:val="0"/>
        </w:rPr>
        <w:t xml:space="preserve">NIST SP 800-232 草案標準</w:t>
      </w:r>
      <w:r w:rsidDel="00000000" w:rsidR="00000000" w:rsidRPr="00000000">
        <w:rPr>
          <w:rFonts w:ascii="Google Sans" w:cs="Google Sans" w:eastAsia="Google Sans" w:hAnsi="Google Sans"/>
          <w:color w:val="1f1f1f"/>
          <w:rtl w:val="0"/>
        </w:rPr>
        <w:t xml:space="preserve">與 </w:t>
      </w:r>
      <w:r w:rsidDel="00000000" w:rsidR="00000000" w:rsidRPr="00000000">
        <w:rPr>
          <w:rFonts w:ascii="Google Sans" w:cs="Google Sans" w:eastAsia="Google Sans" w:hAnsi="Google Sans"/>
          <w:b w:val="1"/>
          <w:bCs w:val="1"/>
          <w:color w:val="1f1f1f"/>
          <w:rtl w:val="0"/>
        </w:rPr>
        <w:t xml:space="preserve">NIST IR 8454 最終決選評估報告</w:t>
      </w:r>
      <w:r w:rsidDel="00000000" w:rsidR="00000000" w:rsidRPr="00000000">
        <w:rPr>
          <w:rFonts w:ascii="Google Sans" w:cs="Google Sans" w:eastAsia="Google Sans" w:hAnsi="Google Sans"/>
          <w:color w:val="1f1f1f"/>
          <w:rtl w:val="0"/>
        </w:rPr>
        <w:t xml:space="preserve">），本深度研究報告針對原提案的論述縱深、數據精確性與工程合理性進行了全面性的學術升級。主要調整的範疇及原因說明臚列如下：</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一、 演算法標準命名與關鍵硬體特性的校準 (基於 NIST SP 800-232)</w:t>
      </w:r>
    </w:p>
    <w:p w:rsidR="00000000" w:rsidDel="00000000" w:rsidP="00000000" w:rsidRDefault="00000000" w:rsidRPr="00000000" w14:paraId="00000092">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調整與擴充內容</w:t>
      </w:r>
      <w:r w:rsidDel="00000000" w:rsidR="00000000" w:rsidRPr="00000000">
        <w:rPr>
          <w:rFonts w:ascii="Google Sans" w:cs="Google Sans" w:eastAsia="Google Sans" w:hAnsi="Google Sans"/>
          <w:color w:val="1f1f1f"/>
          <w:rtl w:val="0"/>
        </w:rPr>
        <w:t xml:space="preserve">：將原提案中泛稱的「ASCON-128」正名為標準化後的官方定名 Ascon-AEAD128。同時，大幅擴充了 Ascon 針對物聯網硬體所作出的關鍵架構妥協：亦即 NIST 官方在 SP 800-232 中，強制將演算法的字節序（Endianness）由提案時的 Big-endian 全面轉換為 </w:t>
      </w:r>
      <w:r w:rsidDel="00000000" w:rsidR="00000000" w:rsidRPr="00000000">
        <w:rPr>
          <w:rFonts w:ascii="Google Sans" w:cs="Google Sans" w:eastAsia="Google Sans" w:hAnsi="Google Sans"/>
          <w:b w:val="1"/>
          <w:bCs w:val="1"/>
          <w:color w:val="1f1f1f"/>
          <w:rtl w:val="0"/>
        </w:rPr>
        <w:t xml:space="preserve">Little-endian</w:t>
      </w:r>
      <w:r w:rsidDel="00000000" w:rsidR="00000000" w:rsidRPr="00000000">
        <w:rPr>
          <w:rFonts w:ascii="Google Sans" w:cs="Google Sans" w:eastAsia="Google Sans" w:hAnsi="Google Sans"/>
          <w:color w:val="1f1f1f"/>
          <w:rtl w:val="0"/>
        </w:rPr>
        <w:t xml:space="preserve">，並導入了「標籤截斷（Truncation）」與「隨機數遮蔽（Nonce Masking）」等適配選項。</w:t>
      </w:r>
    </w:p>
    <w:p w:rsidR="00000000" w:rsidDel="00000000" w:rsidP="00000000" w:rsidRDefault="00000000" w:rsidRPr="00000000" w14:paraId="00000093">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原因說明</w:t>
      </w:r>
      <w:r w:rsidDel="00000000" w:rsidR="00000000" w:rsidRPr="00000000">
        <w:rPr>
          <w:rFonts w:ascii="Google Sans" w:cs="Google Sans" w:eastAsia="Google Sans" w:hAnsi="Google Sans"/>
          <w:color w:val="1f1f1f"/>
          <w:rtl w:val="0"/>
        </w:rPr>
        <w:t xml:space="preserve">：NIST SP 800-232 確立了 Ascon 作為全球標準的最終規格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。字節序（Endianness）的轉換是決定微控制器（如市場主流 Cortex-M 與 AVR 均為 Little-endian 架構）底層軟體執行效能的關鍵分水嶺。這項調整徹底解開了原提案中未能解釋為何 Ascon 在 32-bit MCU 上能具備異常高吞吐量的工程謎團（因為它徹底免除了呼叫 REV 指令或移位反轉的時間開銷）。而 Nonce Masking 的加入則補足了原提案在探討多金鑰環境與「Nonce 誤用」時的安全論述深度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二、 TinyJAMBU 安全參數的迭代更新與漏洞修補 (基於 NIST IR 8454)</w:t>
      </w:r>
    </w:p>
    <w:p w:rsidR="00000000" w:rsidDel="00000000" w:rsidP="00000000" w:rsidRDefault="00000000" w:rsidRPr="00000000" w14:paraId="00000095">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調整與擴充內容</w:t>
      </w:r>
      <w:r w:rsidDel="00000000" w:rsidR="00000000" w:rsidRPr="00000000">
        <w:rPr>
          <w:rFonts w:ascii="Google Sans" w:cs="Google Sans" w:eastAsia="Google Sans" w:hAnsi="Google Sans"/>
          <w:color w:val="1f1f1f"/>
          <w:rtl w:val="0"/>
        </w:rPr>
        <w:t xml:space="preserve">：更新了 TinyJAMBU 在處理關聯數據（AD）與明文/標籤生成時的置換輪數，將原提案中提及的 384 輪，修正為基於 TinyJAMBU v2 規格的 </w:t>
      </w:r>
      <w:r w:rsidDel="00000000" w:rsidR="00000000" w:rsidRPr="00000000">
        <w:rPr>
          <w:rFonts w:ascii="Google Sans" w:cs="Google Sans" w:eastAsia="Google Sans" w:hAnsi="Google Sans"/>
          <w:b w:val="1"/>
          <w:bCs w:val="1"/>
          <w:color w:val="1f1f1f"/>
          <w:rtl w:val="0"/>
        </w:rPr>
        <w:t xml:space="preserve">640 輪</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6">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原因說明</w:t>
      </w:r>
      <w:r w:rsidDel="00000000" w:rsidR="00000000" w:rsidRPr="00000000">
        <w:rPr>
          <w:rFonts w:ascii="Google Sans" w:cs="Google Sans" w:eastAsia="Google Sans" w:hAnsi="Google Sans"/>
          <w:color w:val="1f1f1f"/>
          <w:rtl w:val="0"/>
        </w:rPr>
        <w:t xml:space="preserve">：根據 NIST IR 8454 第三輪的密碼學分析報告，學界針對舊版提出了 384 輪差分路徑導致的潛在差分偽造攻擊（Differential Forgery Attacks）風險，以及在 192/256 位元變體中的相關金鑰弱點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。開發團隊為此做出了將輪數增加至 640 輪的決定。將此資訊納入報告，使關於「安全假設與容錯寬裕度」的論述具備了最新的學術正確性與防禦邏輯。</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三、 以全球實驗室實證量測數據取代純理論推演 (基於 NIST IR 8454 基準測試)</w:t>
      </w:r>
    </w:p>
    <w:p w:rsidR="00000000" w:rsidDel="00000000" w:rsidP="00000000" w:rsidRDefault="00000000" w:rsidRPr="00000000" w14:paraId="00000098">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調整與擴充內容</w:t>
      </w:r>
      <w:r w:rsidDel="00000000" w:rsidR="00000000" w:rsidRPr="00000000">
        <w:rPr>
          <w:rFonts w:ascii="Google Sans" w:cs="Google Sans" w:eastAsia="Google Sans" w:hAnsi="Google Sans"/>
          <w:color w:val="1f1f1f"/>
          <w:rtl w:val="0"/>
        </w:rPr>
        <w:t xml:space="preserve">：將原提案中對於「記憶體足跡（ROM/RAM）」與「吞吐量」的預測性質描述，全面升級為客觀的跨平台實測數據。具體而言，精確引用了 NIST IR 8454 報告中彙整自 Renner et al.、Weatherley 等機構的數據，例如：明確點出 </w:t>
      </w:r>
      <w:r w:rsidDel="00000000" w:rsidR="00000000" w:rsidRPr="00000000">
        <w:rPr>
          <w:rFonts w:ascii="Google Sans" w:cs="Google Sans" w:eastAsia="Google Sans" w:hAnsi="Google Sans"/>
          <w:b w:val="1"/>
          <w:bCs w:val="1"/>
          <w:color w:val="1f1f1f"/>
          <w:rtl w:val="0"/>
        </w:rPr>
        <w:t xml:space="preserve">TinyJAMBU 在 AVR 平台上僅需 117 Bytes RAM、在 Cortex-M3 上僅消耗 140 Bytes RAM</w:t>
      </w:r>
      <w:r w:rsidDel="00000000" w:rsidR="00000000" w:rsidRPr="00000000">
        <w:rPr>
          <w:rFonts w:ascii="Google Sans" w:cs="Google Sans" w:eastAsia="Google Sans" w:hAnsi="Google Sans"/>
          <w:color w:val="1f1f1f"/>
          <w:rtl w:val="0"/>
        </w:rPr>
        <w:t xml:space="preserve"> 的極限數據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，以及 Ascon 在短封包測試中展現出高達 ChaChaPoly 數倍的加速度。</w:t>
      </w:r>
    </w:p>
    <w:p w:rsidR="00000000" w:rsidDel="00000000" w:rsidP="00000000" w:rsidRDefault="00000000" w:rsidRPr="00000000" w14:paraId="00000099">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原因說明</w:t>
      </w:r>
      <w:r w:rsidDel="00000000" w:rsidR="00000000" w:rsidRPr="00000000">
        <w:rPr>
          <w:rFonts w:ascii="Google Sans" w:cs="Google Sans" w:eastAsia="Google Sans" w:hAnsi="Google Sans"/>
          <w:color w:val="1f1f1f"/>
          <w:rtl w:val="0"/>
        </w:rPr>
        <w:t xml:space="preserve">：NIST IR 8454 提供了海量且具公信力的全球實驗室聯合評估數據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。引入這些具體的數據指標與實驗室來源，消除了原提案中流於表面假設的缺陷，賦予了「部署決策矩陣」堅不可摧的量化數據支撐，使整份報告具備頂尖學術論文的說服力。</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四、 擴充實體硬體安全與側信道攻擊 (Side-Channel Attacks) 的防護評估</w:t>
      </w:r>
    </w:p>
    <w:p w:rsidR="00000000" w:rsidDel="00000000" w:rsidP="00000000" w:rsidRDefault="00000000" w:rsidRPr="00000000" w14:paraId="0000009B">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調整與擴充內容</w:t>
      </w:r>
      <w:r w:rsidDel="00000000" w:rsidR="00000000" w:rsidRPr="00000000">
        <w:rPr>
          <w:rFonts w:ascii="Google Sans" w:cs="Google Sans" w:eastAsia="Google Sans" w:hAnsi="Google Sans"/>
          <w:color w:val="1f1f1f"/>
          <w:rtl w:val="0"/>
        </w:rPr>
        <w:t xml:space="preserve">：在評估指標中大幅新增了關於「硬體遮蔽（Masking）」防護成本的探討。結合 GMU（George Mason University）的 FPGA 測試數據，明確指出 Ascon 代數次數僅為 2 的 5-bit S-box，以及 TinyJAMBU 的單一 NAND 閘架構，在實作一階（First-order）或二階側信道防護時，其隨機位元消耗、邏輯閘面積（LUTs）與效能折損遠低於 AES-GCM 高代數次數的 S-box。</w:t>
      </w:r>
    </w:p>
    <w:p w:rsidR="00000000" w:rsidDel="00000000" w:rsidP="00000000" w:rsidRDefault="00000000" w:rsidRPr="00000000" w14:paraId="0000009C">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原因說明</w:t>
      </w:r>
      <w:r w:rsidDel="00000000" w:rsidR="00000000" w:rsidRPr="00000000">
        <w:rPr>
          <w:rFonts w:ascii="Google Sans" w:cs="Google Sans" w:eastAsia="Google Sans" w:hAnsi="Google Sans"/>
          <w:color w:val="1f1f1f"/>
          <w:rtl w:val="0"/>
        </w:rPr>
        <w:t xml:space="preserve">：物聯網安全工程的焦點不僅在於演算法的純數學強度，更在於設備曝露於實體環境時，抵抗功耗與電磁洩漏分析的能力。NIST IR 8454 特別將防護實作（Protected Implementations）與容錯性列為決選的關鍵指標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。補足此維度的分析，使本提案的論述視野從純粹的微控制器軟體效能，成功躍升至全方位的系統級資安晶片（SoC）工程評估，完美呼應了物聯網「極限壓榨」的主題。</w:t>
      </w:r>
    </w:p>
    <w:p w:rsidR="00000000" w:rsidDel="00000000" w:rsidP="00000000" w:rsidRDefault="00000000" w:rsidRPr="00000000" w14:paraId="0000009D">
      <w:pPr>
        <w:pStyle w:val="Heading4"/>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引用的著作</w:t>
      </w:r>
    </w:p>
    <w:p w:rsidR="00000000" w:rsidDel="00000000" w:rsidP="00000000" w:rsidRDefault="00000000" w:rsidRPr="00000000" w14:paraId="0000009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IoT 密碼學效能比較提案</w:t>
      </w:r>
    </w:p>
    <w:p w:rsidR="00000000" w:rsidDel="00000000" w:rsidP="00000000" w:rsidRDefault="00000000" w:rsidRPr="00000000" w14:paraId="0000009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Status Report on the Second Round of the NIST Lightweight Cryptography Standardization Process - CSRC, 檢索日期：5月 31, 2026， </w:t>
      </w:r>
      <w:hyperlink r:id="rId45">
        <w:r w:rsidDel="00000000" w:rsidR="00000000" w:rsidRPr="00000000">
          <w:rPr>
            <w:rFonts w:ascii="Google Sans" w:cs="Google Sans" w:eastAsia="Google Sans" w:hAnsi="Google Sans"/>
            <w:color w:val="0000ee"/>
            <w:sz w:val="24"/>
            <w:szCs w:val="24"/>
            <w:u w:val="single"/>
            <w:rtl w:val="0"/>
          </w:rPr>
          <w:t xml:space="preserve">https://csrc.nist.rip/external/nvlpubs.nist.gov/nistpubs/ir/2021/NIST.IR.8369.pdf</w:t>
        </w:r>
      </w:hyperlink>
      <w:r w:rsidDel="00000000" w:rsidR="00000000" w:rsidRPr="00000000">
        <w:rPr>
          <w:rtl w:val="0"/>
        </w:rPr>
      </w:r>
    </w:p>
    <w:p w:rsidR="00000000" w:rsidDel="00000000" w:rsidP="00000000" w:rsidRDefault="00000000" w:rsidRPr="00000000" w14:paraId="000000A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NIST.IR.8454.pdf</w:t>
      </w:r>
    </w:p>
    <w:p w:rsidR="00000000" w:rsidDel="00000000" w:rsidP="00000000" w:rsidRDefault="00000000" w:rsidRPr="00000000" w14:paraId="000000A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Evaluation of the Finalists and the Selection of Ascon - NIST Computer Security Resource Center, 檢索日期：5月 31, 2026， </w:t>
      </w:r>
      <w:hyperlink r:id="rId46">
        <w:r w:rsidDel="00000000" w:rsidR="00000000" w:rsidRPr="00000000">
          <w:rPr>
            <w:rFonts w:ascii="Google Sans" w:cs="Google Sans" w:eastAsia="Google Sans" w:hAnsi="Google Sans"/>
            <w:color w:val="0000ee"/>
            <w:sz w:val="24"/>
            <w:szCs w:val="24"/>
            <w:u w:val="single"/>
            <w:rtl w:val="0"/>
          </w:rPr>
          <w:t xml:space="preserve">https://csrc.nist.gov/csrc/media/Presentations/2023/evaluation-of-the-finalists-and-the-selection/images-media/june-21-turan-evaluation-finalists-selection-ascon.pdf</w:t>
        </w:r>
      </w:hyperlink>
      <w:r w:rsidDel="00000000" w:rsidR="00000000" w:rsidRPr="00000000">
        <w:rPr>
          <w:rtl w:val="0"/>
        </w:rPr>
      </w:r>
    </w:p>
    <w:p w:rsidR="00000000" w:rsidDel="00000000" w:rsidP="00000000" w:rsidRDefault="00000000" w:rsidRPr="00000000" w14:paraId="000000A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Ascon-Based Lightweight Cryptography Standards for Constrained Devices: Authenticated Encryption, Hash, and Extendable Output Fu - NIST Technical Series Publications, 檢索日期：5月 31, 2026， </w:t>
      </w:r>
      <w:hyperlink r:id="rId47">
        <w:r w:rsidDel="00000000" w:rsidR="00000000" w:rsidRPr="00000000">
          <w:rPr>
            <w:rFonts w:ascii="Google Sans" w:cs="Google Sans" w:eastAsia="Google Sans" w:hAnsi="Google Sans"/>
            <w:color w:val="0000ee"/>
            <w:sz w:val="24"/>
            <w:szCs w:val="24"/>
            <w:u w:val="single"/>
            <w:rtl w:val="0"/>
          </w:rPr>
          <w:t xml:space="preserve">https://nvlpubs.nist.gov/nistpubs/SpecialPublications/NIST.SP.800-232.pdf</w:t>
        </w:r>
      </w:hyperlink>
      <w:r w:rsidDel="00000000" w:rsidR="00000000" w:rsidRPr="00000000">
        <w:rPr>
          <w:rtl w:val="0"/>
        </w:rPr>
      </w:r>
    </w:p>
    <w:p w:rsidR="00000000" w:rsidDel="00000000" w:rsidP="00000000" w:rsidRDefault="00000000" w:rsidRPr="00000000" w14:paraId="000000A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Status Report on the Final Round of the NIST Lightweight Cryptography Standardization Process, 檢索日期：5月 31, 2026， </w:t>
      </w:r>
      <w:hyperlink r:id="rId48">
        <w:r w:rsidDel="00000000" w:rsidR="00000000" w:rsidRPr="00000000">
          <w:rPr>
            <w:rFonts w:ascii="Google Sans" w:cs="Google Sans" w:eastAsia="Google Sans" w:hAnsi="Google Sans"/>
            <w:color w:val="0000ee"/>
            <w:sz w:val="24"/>
            <w:szCs w:val="24"/>
            <w:u w:val="single"/>
            <w:rtl w:val="0"/>
          </w:rPr>
          <w:t xml:space="preserve">https://nvlpubs.nist.gov/nistpubs/ir/2023/NIST.IR.8454.pdf</w:t>
        </w:r>
      </w:hyperlink>
      <w:r w:rsidDel="00000000" w:rsidR="00000000" w:rsidRPr="00000000">
        <w:rPr>
          <w:rtl w:val="0"/>
        </w:rPr>
      </w:r>
    </w:p>
    <w:p w:rsidR="00000000" w:rsidDel="00000000" w:rsidP="00000000" w:rsidRDefault="00000000" w:rsidRPr="00000000" w14:paraId="000000A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NIST SP 800-232 initial public draft, Ascon-Based Lightweight Cryptography Standards for Constrained Devices, 檢索日期：5月 31, 2026， </w:t>
      </w:r>
      <w:hyperlink r:id="rId49">
        <w:r w:rsidDel="00000000" w:rsidR="00000000" w:rsidRPr="00000000">
          <w:rPr>
            <w:rFonts w:ascii="Google Sans" w:cs="Google Sans" w:eastAsia="Google Sans" w:hAnsi="Google Sans"/>
            <w:color w:val="0000ee"/>
            <w:sz w:val="24"/>
            <w:szCs w:val="24"/>
            <w:u w:val="single"/>
            <w:rtl w:val="0"/>
          </w:rPr>
          <w:t xml:space="preserve">https://nvlpubs.nist.gov/nistpubs/SpecialPublications/NIST.SP.800-232.ipd.pdf</w:t>
        </w:r>
      </w:hyperlink>
      <w:r w:rsidDel="00000000" w:rsidR="00000000" w:rsidRPr="00000000">
        <w:rPr>
          <w:rtl w:val="0"/>
        </w:rPr>
      </w:r>
    </w:p>
    <w:p w:rsidR="00000000" w:rsidDel="00000000" w:rsidP="00000000" w:rsidRDefault="00000000" w:rsidRPr="00000000" w14:paraId="000000A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Draft SP 800-232: Ascon-Based Lightweight Cryptography Standards for Constrained Devices - Google Groups, 檢索日期：5月 31, 2026， </w:t>
      </w:r>
      <w:hyperlink r:id="rId50">
        <w:r w:rsidDel="00000000" w:rsidR="00000000" w:rsidRPr="00000000">
          <w:rPr>
            <w:rFonts w:ascii="Google Sans" w:cs="Google Sans" w:eastAsia="Google Sans" w:hAnsi="Google Sans"/>
            <w:color w:val="0000ee"/>
            <w:sz w:val="24"/>
            <w:szCs w:val="24"/>
            <w:u w:val="single"/>
            <w:rtl w:val="0"/>
          </w:rPr>
          <w:t xml:space="preserve">https://groups.google.com/a/list.nist.gov/g/lwc-forum/c/_3bTiKENuaA</w:t>
        </w:r>
      </w:hyperlink>
      <w:r w:rsidDel="00000000" w:rsidR="00000000" w:rsidRPr="00000000">
        <w:rPr>
          <w:rtl w:val="0"/>
        </w:rPr>
      </w:r>
    </w:p>
    <w:p w:rsidR="00000000" w:rsidDel="00000000" w:rsidP="00000000" w:rsidRDefault="00000000" w:rsidRPr="00000000" w14:paraId="000000A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Specification - Ascon, 檢索日期：5月 31, 2026， </w:t>
      </w:r>
      <w:hyperlink r:id="rId51">
        <w:r w:rsidDel="00000000" w:rsidR="00000000" w:rsidRPr="00000000">
          <w:rPr>
            <w:rFonts w:ascii="Google Sans" w:cs="Google Sans" w:eastAsia="Google Sans" w:hAnsi="Google Sans"/>
            <w:color w:val="0000ee"/>
            <w:sz w:val="24"/>
            <w:szCs w:val="24"/>
            <w:u w:val="single"/>
            <w:rtl w:val="0"/>
          </w:rPr>
          <w:t xml:space="preserve">https://ascon.isec.tugraz.at/specification.html</w:t>
        </w:r>
      </w:hyperlink>
      <w:r w:rsidDel="00000000" w:rsidR="00000000" w:rsidRPr="00000000">
        <w:rPr>
          <w:rtl w:val="0"/>
        </w:rPr>
      </w:r>
    </w:p>
    <w:p w:rsidR="00000000" w:rsidDel="00000000" w:rsidP="00000000" w:rsidRDefault="00000000" w:rsidRPr="00000000" w14:paraId="000000A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Ascon - Lightweight Authenticated Encryption &amp; Hashing - GitHub, 檢索日期：5月 31, 2026， </w:t>
      </w:r>
      <w:hyperlink r:id="rId52">
        <w:r w:rsidDel="00000000" w:rsidR="00000000" w:rsidRPr="00000000">
          <w:rPr>
            <w:rFonts w:ascii="Google Sans" w:cs="Google Sans" w:eastAsia="Google Sans" w:hAnsi="Google Sans"/>
            <w:color w:val="0000ee"/>
            <w:sz w:val="24"/>
            <w:szCs w:val="24"/>
            <w:u w:val="single"/>
            <w:rtl w:val="0"/>
          </w:rPr>
          <w:t xml:space="preserve">https://github.com/ascon/ascon-c</w:t>
        </w:r>
      </w:hyperlink>
      <w:r w:rsidDel="00000000" w:rsidR="00000000" w:rsidRPr="00000000">
        <w:rPr>
          <w:rtl w:val="0"/>
        </w:rPr>
      </w:r>
    </w:p>
    <w:p w:rsidR="00000000" w:rsidDel="00000000" w:rsidP="00000000" w:rsidRDefault="00000000" w:rsidRPr="00000000" w14:paraId="000000A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NIST SP 800-232: Ascon Cryptography Standards | PDF - Scribd, 檢索日期：5月 31, 2026， </w:t>
      </w:r>
      <w:hyperlink r:id="rId53">
        <w:r w:rsidDel="00000000" w:rsidR="00000000" w:rsidRPr="00000000">
          <w:rPr>
            <w:rFonts w:ascii="Google Sans" w:cs="Google Sans" w:eastAsia="Google Sans" w:hAnsi="Google Sans"/>
            <w:color w:val="0000ee"/>
            <w:sz w:val="24"/>
            <w:szCs w:val="24"/>
            <w:u w:val="single"/>
            <w:rtl w:val="0"/>
          </w:rPr>
          <w:t xml:space="preserve">https://www.scribd.com/document/890332764/ASCON-NIST-SP-800-232-ipd</w:t>
        </w:r>
      </w:hyperlink>
      <w:r w:rsidDel="00000000" w:rsidR="00000000" w:rsidRPr="00000000">
        <w:rPr>
          <w:rtl w:val="0"/>
        </w:rPr>
      </w:r>
    </w:p>
    <w:p w:rsidR="00000000" w:rsidDel="00000000" w:rsidP="00000000" w:rsidRDefault="00000000" w:rsidRPr="00000000" w14:paraId="000000A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Side-Channel Resistant Implementations of Three Finalists of the NIST Lightweight Cryptography Standardization Process: Elephant, TinyJAMBU, and Xoodyak, 檢索日期：5月 31, 2026， </w:t>
      </w:r>
      <w:hyperlink r:id="rId54">
        <w:r w:rsidDel="00000000" w:rsidR="00000000" w:rsidRPr="00000000">
          <w:rPr>
            <w:rFonts w:ascii="Google Sans" w:cs="Google Sans" w:eastAsia="Google Sans" w:hAnsi="Google Sans"/>
            <w:color w:val="0000ee"/>
            <w:sz w:val="24"/>
            <w:szCs w:val="24"/>
            <w:u w:val="single"/>
            <w:rtl w:val="0"/>
          </w:rPr>
          <w:t xml:space="preserve">https://csrc.nist.gov/csrc/media/Events/2022/lightweight-cryptography-workshop-2022/documents/papers/side-channel-resistant-implementations-of-three-finalists-of-the-nist-lwc-standardization-process.pdf</w:t>
        </w:r>
      </w:hyperlink>
      <w:r w:rsidDel="00000000" w:rsidR="00000000" w:rsidRPr="00000000">
        <w:rPr>
          <w:rtl w:val="0"/>
        </w:rPr>
      </w:r>
    </w:p>
    <w:p w:rsidR="00000000" w:rsidDel="00000000" w:rsidP="00000000" w:rsidRDefault="00000000" w:rsidRPr="00000000" w14:paraId="000000A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Birthday-Bound Slide Attacks on TinyJAMBU's Keyed-Permutations for All Key Sizes - NIST Computer Security Resource Center, 檢索日期：5月 31, 2026， </w:t>
      </w:r>
      <w:hyperlink r:id="rId55">
        <w:r w:rsidDel="00000000" w:rsidR="00000000" w:rsidRPr="00000000">
          <w:rPr>
            <w:rFonts w:ascii="Google Sans" w:cs="Google Sans" w:eastAsia="Google Sans" w:hAnsi="Google Sans"/>
            <w:color w:val="0000ee"/>
            <w:sz w:val="24"/>
            <w:szCs w:val="24"/>
            <w:u w:val="single"/>
            <w:rtl w:val="0"/>
          </w:rPr>
          <w:t xml:space="preserve">https://csrc.nist.gov/csrc/media/Events/2022/lightweight-cryptography-workshop-2022/documents/papers/birthday-bound-slide-attacks-on-tinyjambus-keyed-permutations-for-all-key-sizes.pdf</w:t>
        </w:r>
      </w:hyperlink>
      <w:r w:rsidDel="00000000" w:rsidR="00000000" w:rsidRPr="00000000">
        <w:rPr>
          <w:rtl w:val="0"/>
        </w:rPr>
      </w:r>
    </w:p>
    <w:p w:rsidR="00000000" w:rsidDel="00000000" w:rsidP="00000000" w:rsidRDefault="00000000" w:rsidRPr="00000000" w14:paraId="000000A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TinyTwinGuard: a lightweight authentication scheme for digital twin edge networks using TinyJAMBU - Frontiers, 檢索日期：5月 31, 2026， </w:t>
      </w:r>
      <w:hyperlink r:id="rId56">
        <w:r w:rsidDel="00000000" w:rsidR="00000000" w:rsidRPr="00000000">
          <w:rPr>
            <w:rFonts w:ascii="Google Sans" w:cs="Google Sans" w:eastAsia="Google Sans" w:hAnsi="Google Sans"/>
            <w:color w:val="0000ee"/>
            <w:sz w:val="24"/>
            <w:szCs w:val="24"/>
            <w:u w:val="single"/>
            <w:rtl w:val="0"/>
          </w:rPr>
          <w:t xml:space="preserve">https://www.frontiersin.org/journals/communications-and-networks/articles/10.3389/frcmn.2025.1719501/full</w:t>
        </w:r>
      </w:hyperlink>
      <w:r w:rsidDel="00000000" w:rsidR="00000000" w:rsidRPr="00000000">
        <w:rPr>
          <w:rtl w:val="0"/>
        </w:rPr>
      </w:r>
    </w:p>
    <w:p w:rsidR="00000000" w:rsidDel="00000000" w:rsidP="00000000" w:rsidRDefault="00000000" w:rsidRPr="00000000" w14:paraId="000000A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lightweight cryptosystem TinyJambu: security and applications in IoT environments - Digital CSIC, 檢索日期：5月 31, 2026， </w:t>
      </w:r>
      <w:hyperlink r:id="rId57">
        <w:r w:rsidDel="00000000" w:rsidR="00000000" w:rsidRPr="00000000">
          <w:rPr>
            <w:rFonts w:ascii="Google Sans" w:cs="Google Sans" w:eastAsia="Google Sans" w:hAnsi="Google Sans"/>
            <w:color w:val="0000ee"/>
            <w:sz w:val="24"/>
            <w:szCs w:val="24"/>
            <w:u w:val="single"/>
            <w:rtl w:val="0"/>
          </w:rPr>
          <w:t xml:space="preserve">https://digital.csic.es/bitstream/10261/421477/1/Lightweigh_cryptosystem-TinyJambu.pdf</w:t>
        </w:r>
      </w:hyperlink>
      <w:r w:rsidDel="00000000" w:rsidR="00000000" w:rsidRPr="00000000">
        <w:rPr>
          <w:rtl w:val="0"/>
        </w:rPr>
      </w:r>
    </w:p>
    <w:p w:rsidR="00000000" w:rsidDel="00000000" w:rsidP="00000000" w:rsidRDefault="00000000" w:rsidRPr="00000000" w14:paraId="000000A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Review of the NIST Lightweight Cryptography Finalists and Their Fault Analyses, 檢索日期：5月 31, 2026， </w:t>
      </w:r>
      <w:hyperlink r:id="rId58">
        <w:r w:rsidDel="00000000" w:rsidR="00000000" w:rsidRPr="00000000">
          <w:rPr>
            <w:rFonts w:ascii="Google Sans" w:cs="Google Sans" w:eastAsia="Google Sans" w:hAnsi="Google Sans"/>
            <w:color w:val="0000ee"/>
            <w:sz w:val="24"/>
            <w:szCs w:val="24"/>
            <w:u w:val="single"/>
            <w:rtl w:val="0"/>
          </w:rPr>
          <w:t xml:space="preserve">https://www.researchgate.net/publication/366326981_A_Review_of_the_NIST_Lightweight_Cryptography_Finalists_and_Their_Fault_Analyses</w:t>
        </w:r>
      </w:hyperlink>
      <w:r w:rsidDel="00000000" w:rsidR="00000000" w:rsidRPr="00000000">
        <w:rPr>
          <w:rtl w:val="0"/>
        </w:rPr>
      </w:r>
    </w:p>
    <w:p w:rsidR="00000000" w:rsidDel="00000000" w:rsidP="00000000" w:rsidRDefault="00000000" w:rsidRPr="00000000" w14:paraId="000000A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Quest for Efficient ASCON Implementations: A Comprehensive Review of Implementation Strategies and Challenges - PoliTO, 檢索日期：5月 31, 2026， </w:t>
      </w:r>
      <w:hyperlink r:id="rId59">
        <w:r w:rsidDel="00000000" w:rsidR="00000000" w:rsidRPr="00000000">
          <w:rPr>
            <w:rFonts w:ascii="Google Sans" w:cs="Google Sans" w:eastAsia="Google Sans" w:hAnsi="Google Sans"/>
            <w:color w:val="0000ee"/>
            <w:sz w:val="24"/>
            <w:szCs w:val="24"/>
            <w:u w:val="single"/>
            <w:rtl w:val="0"/>
          </w:rPr>
          <w:t xml:space="preserve">https://iris.polito.it/retrieve/8066240e-42d6-4c56-a5ad-cc58af68638f/CHIPS___Ascon_survey.pdf</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4.png"/><Relationship Id="rId42" Type="http://schemas.openxmlformats.org/officeDocument/2006/relationships/image" Target="media/image12.png"/><Relationship Id="rId41" Type="http://schemas.openxmlformats.org/officeDocument/2006/relationships/image" Target="media/image14.png"/><Relationship Id="rId44" Type="http://schemas.openxmlformats.org/officeDocument/2006/relationships/image" Target="media/image26.png"/><Relationship Id="rId43" Type="http://schemas.openxmlformats.org/officeDocument/2006/relationships/image" Target="media/image18.png"/><Relationship Id="rId46" Type="http://schemas.openxmlformats.org/officeDocument/2006/relationships/hyperlink" Target="https://csrc.nist.gov/csrc/media/Presentations/2023/evaluation-of-the-finalists-and-the-selection/images-media/june-21-turan-evaluation-finalists-selection-ascon.pdf" TargetMode="External"/><Relationship Id="rId45" Type="http://schemas.openxmlformats.org/officeDocument/2006/relationships/hyperlink" Target="https://csrc.nist.rip/external/nvlpubs.nist.gov/nistpubs/ir/2021/NIST.IR.8369.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7.png"/><Relationship Id="rId48" Type="http://schemas.openxmlformats.org/officeDocument/2006/relationships/hyperlink" Target="https://nvlpubs.nist.gov/nistpubs/ir/2023/NIST.IR.8454.pdf" TargetMode="External"/><Relationship Id="rId47" Type="http://schemas.openxmlformats.org/officeDocument/2006/relationships/hyperlink" Target="https://nvlpubs.nist.gov/nistpubs/SpecialPublications/NIST.SP.800-232.pdf" TargetMode="External"/><Relationship Id="rId49" Type="http://schemas.openxmlformats.org/officeDocument/2006/relationships/hyperlink" Target="https://nvlpubs.nist.gov/nistpubs/SpecialPublications/NIST.SP.800-232.ipd.pdf" TargetMode="External"/><Relationship Id="rId5" Type="http://schemas.openxmlformats.org/officeDocument/2006/relationships/styles" Target="styles.xml"/><Relationship Id="rId6" Type="http://schemas.openxmlformats.org/officeDocument/2006/relationships/image" Target="media/image30.png"/><Relationship Id="rId7" Type="http://schemas.openxmlformats.org/officeDocument/2006/relationships/image" Target="media/image15.png"/><Relationship Id="rId8" Type="http://schemas.openxmlformats.org/officeDocument/2006/relationships/image" Target="media/image1.png"/><Relationship Id="rId31" Type="http://schemas.openxmlformats.org/officeDocument/2006/relationships/image" Target="media/image8.png"/><Relationship Id="rId30" Type="http://schemas.openxmlformats.org/officeDocument/2006/relationships/image" Target="media/image34.png"/><Relationship Id="rId33" Type="http://schemas.openxmlformats.org/officeDocument/2006/relationships/image" Target="media/image7.png"/><Relationship Id="rId32" Type="http://schemas.openxmlformats.org/officeDocument/2006/relationships/image" Target="media/image11.png"/><Relationship Id="rId35" Type="http://schemas.openxmlformats.org/officeDocument/2006/relationships/image" Target="media/image13.png"/><Relationship Id="rId34" Type="http://schemas.openxmlformats.org/officeDocument/2006/relationships/image" Target="media/image21.png"/><Relationship Id="rId37" Type="http://schemas.openxmlformats.org/officeDocument/2006/relationships/image" Target="media/image4.png"/><Relationship Id="rId36" Type="http://schemas.openxmlformats.org/officeDocument/2006/relationships/image" Target="media/image5.png"/><Relationship Id="rId39" Type="http://schemas.openxmlformats.org/officeDocument/2006/relationships/image" Target="media/image36.png"/><Relationship Id="rId38" Type="http://schemas.openxmlformats.org/officeDocument/2006/relationships/image" Target="media/image17.png"/><Relationship Id="rId20" Type="http://schemas.openxmlformats.org/officeDocument/2006/relationships/image" Target="media/image33.png"/><Relationship Id="rId22" Type="http://schemas.openxmlformats.org/officeDocument/2006/relationships/image" Target="media/image38.png"/><Relationship Id="rId21" Type="http://schemas.openxmlformats.org/officeDocument/2006/relationships/image" Target="media/image35.png"/><Relationship Id="rId24" Type="http://schemas.openxmlformats.org/officeDocument/2006/relationships/image" Target="media/image19.png"/><Relationship Id="rId23" Type="http://schemas.openxmlformats.org/officeDocument/2006/relationships/image" Target="media/image22.png"/><Relationship Id="rId26" Type="http://schemas.openxmlformats.org/officeDocument/2006/relationships/image" Target="media/image6.png"/><Relationship Id="rId25" Type="http://schemas.openxmlformats.org/officeDocument/2006/relationships/image" Target="media/image16.png"/><Relationship Id="rId28" Type="http://schemas.openxmlformats.org/officeDocument/2006/relationships/image" Target="media/image32.png"/><Relationship Id="rId27" Type="http://schemas.openxmlformats.org/officeDocument/2006/relationships/image" Target="media/image10.png"/><Relationship Id="rId29" Type="http://schemas.openxmlformats.org/officeDocument/2006/relationships/image" Target="media/image29.png"/><Relationship Id="rId51" Type="http://schemas.openxmlformats.org/officeDocument/2006/relationships/hyperlink" Target="https://ascon.isec.tugraz.at/specification.html" TargetMode="External"/><Relationship Id="rId50" Type="http://schemas.openxmlformats.org/officeDocument/2006/relationships/hyperlink" Target="https://groups.google.com/a/list.nist.gov/g/lwc-forum/c/_3bTiKENuaA" TargetMode="External"/><Relationship Id="rId53" Type="http://schemas.openxmlformats.org/officeDocument/2006/relationships/hyperlink" Target="https://www.scribd.com/document/890332764/ASCON-NIST-SP-800-232-ipd" TargetMode="External"/><Relationship Id="rId52" Type="http://schemas.openxmlformats.org/officeDocument/2006/relationships/hyperlink" Target="https://github.com/ascon/ascon-c" TargetMode="External"/><Relationship Id="rId11" Type="http://schemas.openxmlformats.org/officeDocument/2006/relationships/image" Target="media/image20.png"/><Relationship Id="rId55" Type="http://schemas.openxmlformats.org/officeDocument/2006/relationships/hyperlink" Target="https://csrc.nist.gov/csrc/media/Events/2022/lightweight-cryptography-workshop-2022/documents/papers/birthday-bound-slide-attacks-on-tinyjambus-keyed-permutations-for-all-key-sizes.pdf" TargetMode="External"/><Relationship Id="rId10" Type="http://schemas.openxmlformats.org/officeDocument/2006/relationships/image" Target="media/image25.png"/><Relationship Id="rId54" Type="http://schemas.openxmlformats.org/officeDocument/2006/relationships/hyperlink" Target="https://csrc.nist.gov/csrc/media/Events/2022/lightweight-cryptography-workshop-2022/documents/papers/side-channel-resistant-implementations-of-three-finalists-of-the-nist-lwc-standardization-process.pdf" TargetMode="External"/><Relationship Id="rId13" Type="http://schemas.openxmlformats.org/officeDocument/2006/relationships/image" Target="media/image3.png"/><Relationship Id="rId57" Type="http://schemas.openxmlformats.org/officeDocument/2006/relationships/hyperlink" Target="https://digital.csic.es/bitstream/10261/421477/1/Lightweigh_cryptosystem-TinyJambu.pdf" TargetMode="External"/><Relationship Id="rId12" Type="http://schemas.openxmlformats.org/officeDocument/2006/relationships/image" Target="media/image31.png"/><Relationship Id="rId56" Type="http://schemas.openxmlformats.org/officeDocument/2006/relationships/hyperlink" Target="https://www.frontiersin.org/journals/communications-and-networks/articles/10.3389/frcmn.2025.1719501/full" TargetMode="External"/><Relationship Id="rId15" Type="http://schemas.openxmlformats.org/officeDocument/2006/relationships/image" Target="media/image39.png"/><Relationship Id="rId59" Type="http://schemas.openxmlformats.org/officeDocument/2006/relationships/hyperlink" Target="https://iris.polito.it/retrieve/8066240e-42d6-4c56-a5ad-cc58af68638f/CHIPS___Ascon_survey.pdf" TargetMode="External"/><Relationship Id="rId14" Type="http://schemas.openxmlformats.org/officeDocument/2006/relationships/image" Target="media/image23.png"/><Relationship Id="rId58" Type="http://schemas.openxmlformats.org/officeDocument/2006/relationships/hyperlink" Target="https://www.researchgate.net/publication/366326981_A_Review_of_the_NIST_Lightweight_Cryptography_Finalists_and_Their_Fault_Analyses" TargetMode="External"/><Relationship Id="rId17" Type="http://schemas.openxmlformats.org/officeDocument/2006/relationships/image" Target="media/image2.png"/><Relationship Id="rId16" Type="http://schemas.openxmlformats.org/officeDocument/2006/relationships/image" Target="media/image28.png"/><Relationship Id="rId19" Type="http://schemas.openxmlformats.org/officeDocument/2006/relationships/image" Target="media/image37.png"/><Relationship Id="rId1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