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Service Agreement</w:t>
      </w:r>
    </w:p>
    <w:p>
      <w:r>
        <w:t>1. Governing Law. This Agreement shall be governed by the laws of the State of New York.</w:t>
      </w:r>
    </w:p>
    <w:p>
      <w:r>
        <w:t>2. Liability. Vendor's liability shall not be subject to any limit or cap.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