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AI Customer Support Ticket Triage</w:t>
      </w:r>
    </w:p>
    <w:p>
      <w:pPr>
        <w:spacing w:after="40"/>
      </w:pPr>
      <w:r>
        <w:rPr>
          <w:color w:val="555555"/>
          <w:sz w:val="24"/>
          <w:szCs w:val="24"/>
        </w:rPr>
        <w:t xml:space="preserve">Capstone Project Report — Artificial Intelligence Internship</w:t>
      </w:r>
    </w:p>
    <w:p>
      <w:pPr>
        <w:spacing w:after="300"/>
      </w:pPr>
      <w:r>
        <w:rPr>
          <w:color w:val="777777"/>
          <w:sz w:val="22"/>
          <w:szCs w:val="22"/>
        </w:rPr>
        <w:t xml:space="preserve">Rasika R  |  BCA, Sastra Deemed University, Kumbakonam</w:t>
      </w:r>
    </w:p>
    <w:p>
      <w:pPr>
        <w:pStyle w:val="Heading1"/>
        <w:spacing w:after="140" w:before="280"/>
      </w:pPr>
      <w:r>
        <w:t xml:space="preserve">1. Problem Statement</w:t>
      </w:r>
    </w:p>
    <w:p>
      <w:pPr>
        <w:spacing w:after="160"/>
      </w:pPr>
      <w:r>
        <w:t xml:space="preserve">Support teams receive a continuous stream of customer tickets that must be read, categorized, and prioritized before they can be routed to the right queue. Doing this manually does not scale and introduces delay. This project builds a system that reads a ticket's text and automatically predicts two things: its category (which team should handle it) and its urgency (how quickly it needs attention), while flagging uncertain predictions for a human to review rather than guessing blindly.</w:t>
      </w:r>
    </w:p>
    <w:p>
      <w:pPr>
        <w:pStyle w:val="Heading1"/>
        <w:spacing w:after="140" w:before="280"/>
      </w:pPr>
      <w:r>
        <w:t xml:space="preserve">2. Approach</w:t>
      </w:r>
    </w:p>
    <w:p>
      <w:pPr>
        <w:spacing w:after="160"/>
      </w:pPr>
      <w:r>
        <w:t xml:space="preserve">The system follows a standard supervised-learning pipeline, executed as two independent classification tasks sharing the same input text: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600"/>
      </w:tblGrid>
      <w:tr>
        <w:tc>
          <w:tcPr>
            <w:tcW w:type="dxa" w:w="1200"/>
            <w:shd w:fill="2F5496" w:val="clear"/>
          </w:tcPr>
          <w:p>
            <w:r>
              <w:rPr>
                <w:b/>
                <w:bCs/>
                <w:color w:val="FFFFFF"/>
              </w:rPr>
              <w:t xml:space="preserve">Stage</w:t>
            </w:r>
          </w:p>
        </w:tc>
        <w:tc>
          <w:tcPr>
            <w:tcW w:type="dxa" w:w="4200"/>
            <w:shd w:fill="2F5496" w:val="clear"/>
          </w:tcPr>
          <w:p>
            <w:r>
              <w:rPr>
                <w:b/>
                <w:bCs/>
                <w:color w:val="FFFFFF"/>
              </w:rPr>
              <w:t xml:space="preserve">What it does</w:t>
            </w:r>
          </w:p>
        </w:tc>
        <w:tc>
          <w:tcPr>
            <w:tcW w:type="dxa" w:w="3600"/>
            <w:shd w:fill="2F5496" w:val="clear"/>
          </w:tcPr>
          <w:p>
            <w:r>
              <w:rPr>
                <w:b/>
                <w:bCs/>
                <w:color w:val="FFFFFF"/>
              </w:rPr>
              <w:t xml:space="preserve">Implementation</w:t>
            </w:r>
          </w:p>
        </w:tc>
      </w:tr>
      <w:tr>
        <w:tc>
          <w:tcPr>
            <w:tcW w:type="dxa" w:w="1200"/>
          </w:tcPr>
          <w:p>
            <w:r>
              <w:rPr>
                <w:b w:val="false"/>
                <w:bCs w:val="false"/>
              </w:rPr>
              <w:t xml:space="preserve">1</w:t>
            </w:r>
          </w:p>
        </w:tc>
        <w:tc>
          <w:tcPr>
            <w:tcW w:type="dxa" w:w="4200"/>
          </w:tcPr>
          <w:p>
            <w:r>
              <w:rPr>
                <w:b w:val="false"/>
                <w:bCs w:val="false"/>
              </w:rPr>
              <w:t xml:space="preserve">Collect labelled ticket data</w:t>
            </w:r>
          </w:p>
        </w:tc>
        <w:tc>
          <w:tcPr>
            <w:tcW w:type="dxa" w:w="3600"/>
          </w:tcPr>
          <w:p>
            <w:r>
              <w:rPr>
                <w:b w:val="false"/>
                <w:bCs w:val="false"/>
              </w:rPr>
              <w:t xml:space="preserve">Synthetic dataset generator (1,650 tickets)</w:t>
            </w:r>
          </w:p>
        </w:tc>
      </w:tr>
      <w:tr>
        <w:tc>
          <w:tcPr>
            <w:tcW w:type="dxa" w:w="1200"/>
          </w:tcPr>
          <w:p>
            <w:r>
              <w:rPr>
                <w:b w:val="false"/>
                <w:bCs w:val="false"/>
              </w:rPr>
              <w:t xml:space="preserve">2</w:t>
            </w:r>
          </w:p>
        </w:tc>
        <w:tc>
          <w:tcPr>
            <w:tcW w:type="dxa" w:w="4200"/>
          </w:tcPr>
          <w:p>
            <w:r>
              <w:rPr>
                <w:b w:val="false"/>
                <w:bCs w:val="false"/>
              </w:rPr>
              <w:t xml:space="preserve">Clean text and define labels</w:t>
            </w:r>
          </w:p>
        </w:tc>
        <w:tc>
          <w:tcPr>
            <w:tcW w:type="dxa" w:w="3600"/>
          </w:tcPr>
          <w:p>
            <w:r>
              <w:rPr>
                <w:b w:val="false"/>
                <w:bCs w:val="false"/>
              </w:rPr>
              <w:t xml:space="preserve">Category: billing, technical, account, product. Urgency: high, medium, low</w:t>
            </w:r>
          </w:p>
        </w:tc>
      </w:tr>
      <w:tr>
        <w:tc>
          <w:tcPr>
            <w:tcW w:type="dxa" w:w="1200"/>
          </w:tcPr>
          <w:p>
            <w:r>
              <w:rPr>
                <w:b w:val="false"/>
                <w:bCs w:val="false"/>
              </w:rPr>
              <w:t xml:space="preserve">3</w:t>
            </w:r>
          </w:p>
        </w:tc>
        <w:tc>
          <w:tcPr>
            <w:tcW w:type="dxa" w:w="4200"/>
          </w:tcPr>
          <w:p>
            <w:r>
              <w:rPr>
                <w:b w:val="false"/>
                <w:bCs w:val="false"/>
              </w:rPr>
              <w:t xml:space="preserve">Convert text to features</w:t>
            </w:r>
          </w:p>
        </w:tc>
        <w:tc>
          <w:tcPr>
            <w:tcW w:type="dxa" w:w="3600"/>
          </w:tcPr>
          <w:p>
            <w:r>
              <w:rPr>
                <w:b w:val="false"/>
                <w:bCs w:val="false"/>
              </w:rPr>
              <w:t xml:space="preserve">TF-IDF vectorization (separate vectorizer per target)</w:t>
            </w:r>
          </w:p>
        </w:tc>
      </w:tr>
      <w:tr>
        <w:tc>
          <w:tcPr>
            <w:tcW w:type="dxa" w:w="1200"/>
          </w:tcPr>
          <w:p>
            <w:r>
              <w:rPr>
                <w:b w:val="false"/>
                <w:bCs w:val="false"/>
              </w:rPr>
              <w:t xml:space="preserve">4</w:t>
            </w:r>
          </w:p>
        </w:tc>
        <w:tc>
          <w:tcPr>
            <w:tcW w:type="dxa" w:w="4200"/>
          </w:tcPr>
          <w:p>
            <w:r>
              <w:rPr>
                <w:b w:val="false"/>
                <w:bCs w:val="false"/>
              </w:rPr>
              <w:t xml:space="preserve">Train classifiers</w:t>
            </w:r>
          </w:p>
        </w:tc>
        <w:tc>
          <w:tcPr>
            <w:tcW w:type="dxa" w:w="3600"/>
          </w:tcPr>
          <w:p>
            <w:r>
              <w:rPr>
                <w:b w:val="false"/>
                <w:bCs w:val="false"/>
              </w:rPr>
              <w:t xml:space="preserve">Two independent Logistic Regression models</w:t>
            </w:r>
          </w:p>
        </w:tc>
      </w:tr>
      <w:tr>
        <w:tc>
          <w:tcPr>
            <w:tcW w:type="dxa" w:w="1200"/>
          </w:tcPr>
          <w:p>
            <w:r>
              <w:rPr>
                <w:b w:val="false"/>
                <w:bCs w:val="false"/>
              </w:rPr>
              <w:t xml:space="preserve">5</w:t>
            </w:r>
          </w:p>
        </w:tc>
        <w:tc>
          <w:tcPr>
            <w:tcW w:type="dxa" w:w="4200"/>
          </w:tcPr>
          <w:p>
            <w:r>
              <w:rPr>
                <w:b w:val="false"/>
                <w:bCs w:val="false"/>
              </w:rPr>
              <w:t xml:space="preserve">Evaluate</w:t>
            </w:r>
          </w:p>
        </w:tc>
        <w:tc>
          <w:tcPr>
            <w:tcW w:type="dxa" w:w="3600"/>
          </w:tcPr>
          <w:p>
            <w:r>
              <w:rPr>
                <w:b w:val="false"/>
                <w:bCs w:val="false"/>
              </w:rPr>
              <w:t xml:space="preserve">Accuracy, precision/recall/F1 per class, confusion matrix</w:t>
            </w:r>
          </w:p>
        </w:tc>
      </w:tr>
      <w:tr>
        <w:tc>
          <w:tcPr>
            <w:tcW w:type="dxa" w:w="1200"/>
          </w:tcPr>
          <w:p>
            <w:r>
              <w:rPr>
                <w:b w:val="false"/>
                <w:bCs w:val="false"/>
              </w:rPr>
              <w:t xml:space="preserve">6</w:t>
            </w:r>
          </w:p>
        </w:tc>
        <w:tc>
          <w:tcPr>
            <w:tcW w:type="dxa" w:w="4200"/>
          </w:tcPr>
          <w:p>
            <w:r>
              <w:rPr>
                <w:b w:val="false"/>
                <w:bCs w:val="false"/>
              </w:rPr>
              <w:t xml:space="preserve">Deploy with review logic</w:t>
            </w:r>
          </w:p>
        </w:tc>
        <w:tc>
          <w:tcPr>
            <w:tcW w:type="dxa" w:w="3600"/>
          </w:tcPr>
          <w:p>
            <w:r>
              <w:rPr>
                <w:b w:val="false"/>
                <w:bCs w:val="false"/>
              </w:rPr>
              <w:t xml:space="preserve">Command-line tool + confidence-based human review queue</w:t>
            </w:r>
          </w:p>
        </w:tc>
      </w:tr>
    </w:tbl>
    <w:p>
      <w:pPr>
        <w:spacing w:after="200"/>
      </w:pPr>
    </w:p>
    <w:p>
      <w:pPr>
        <w:spacing w:after="160"/>
      </w:pPr>
      <w:r>
        <w:t xml:space="preserve">Category and urgency were modelled separately rather than as one combined model, since they are driven by different signals in the text: category depends on topic vocabulary ("refund", "crash", "login"), while urgency depends on tone ("URGENT", "no rush", "immediately") largely independent of topic. Keeping them as separate models also means either one can be retrained or improved without touching the other.</w:t>
      </w:r>
    </w:p>
    <w:p>
      <w:pPr>
        <w:pStyle w:val="Heading1"/>
        <w:spacing w:after="140" w:before="280"/>
      </w:pPr>
      <w:r>
        <w:t xml:space="preserve">3. Dataset</w:t>
      </w:r>
    </w:p>
    <w:p>
      <w:pPr>
        <w:spacing w:after="160"/>
      </w:pPr>
      <w:r>
        <w:t xml:space="preserve">No historical support-ticket data was available for this project, so a synthetic dataset of 1,650 tickets was generated programmatically, covering four categories (billing, technical, account, product) and three urgency levels (high, medium, low).</w:t>
      </w:r>
    </w:p>
    <w:p>
      <w:pPr>
        <w:spacing w:after="160"/>
      </w:pPr>
      <w:r>
        <w:t xml:space="preserve">An initial version of the generator produced a dataset that both models classified with 100% accuracy. This was treated as a red flag rather than a result — a perfect score almost always signals an unrealistically easy dataset rather than a genuinely capable model. Investigation traced the cause to a bug: a batch of tickets intended to be ambiguous had their labels fixed once at generation time instead of assigned per occurrence, so they were not actually ambiguous to the model. After correcting this so ambiguous tickets receive a genuinely random label each time they appear, accuracy dropped to a more defensible 93–95% range, which is reported below.</w:t>
      </w:r>
    </w:p>
    <w:p>
      <w:pPr>
        <w:pStyle w:val="Heading1"/>
        <w:spacing w:after="140" w:before="280"/>
      </w:pPr>
      <w:r>
        <w:t xml:space="preserve">4. Results</w:t>
      </w:r>
    </w:p>
    <w:p>
      <w:pPr>
        <w:spacing w:after="160"/>
      </w:pPr>
      <w:r>
        <w:t xml:space="preserve">Both models were evaluated on a held-out test set (20% of the data, 330 tickets) that was not used for training: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2F5496" w:val="clear"/>
          </w:tcPr>
          <w:p>
            <w:r>
              <w:rPr>
                <w:b/>
                <w:bCs/>
                <w:color w:val="FFFFFF"/>
              </w:rPr>
              <w:t xml:space="preserve">Model</w:t>
            </w:r>
          </w:p>
        </w:tc>
        <w:tc>
          <w:tcPr>
            <w:tcW w:type="dxa" w:w="2250"/>
            <w:shd w:fill="2F5496" w:val="clear"/>
          </w:tcPr>
          <w:p>
            <w:r>
              <w:rPr>
                <w:b/>
                <w:bCs/>
                <w:color w:val="FFFFFF"/>
              </w:rPr>
              <w:t xml:space="preserve">Accuracy</w:t>
            </w:r>
          </w:p>
        </w:tc>
        <w:tc>
          <w:tcPr>
            <w:tcW w:type="dxa" w:w="2250"/>
            <w:shd w:fill="2F5496" w:val="clear"/>
          </w:tcPr>
          <w:p>
            <w:r>
              <w:rPr>
                <w:b/>
                <w:bCs/>
                <w:color w:val="FFFFFF"/>
              </w:rPr>
              <w:t xml:space="preserve">Macro F1</w:t>
            </w:r>
          </w:p>
        </w:tc>
        <w:tc>
          <w:tcPr>
            <w:tcW w:type="dxa" w:w="2250"/>
            <w:shd w:fill="2F5496" w:val="clear"/>
          </w:tcPr>
          <w:p>
            <w:r>
              <w:rPr>
                <w:b/>
                <w:bCs/>
                <w:color w:val="FFFFFF"/>
              </w:rPr>
              <w:t xml:space="preserve">Test set size</w:t>
            </w:r>
          </w:p>
        </w:tc>
      </w:tr>
      <w:tr>
        <w:tc>
          <w:tcPr>
            <w:tcW w:type="dxa" w:w="2250"/>
          </w:tcPr>
          <w:p>
            <w:r>
              <w:rPr>
                <w:b w:val="false"/>
                <w:bCs w:val="false"/>
              </w:rPr>
              <w:t xml:space="preserve">Category classifier</w:t>
            </w:r>
          </w:p>
        </w:tc>
        <w:tc>
          <w:tcPr>
            <w:tcW w:type="dxa" w:w="2250"/>
          </w:tcPr>
          <w:p>
            <w:r>
              <w:rPr>
                <w:b w:val="false"/>
                <w:bCs w:val="false"/>
              </w:rPr>
              <w:t xml:space="preserve">95.2%</w:t>
            </w:r>
          </w:p>
        </w:tc>
        <w:tc>
          <w:tcPr>
            <w:tcW w:type="dxa" w:w="2250"/>
          </w:tcPr>
          <w:p>
            <w:r>
              <w:rPr>
                <w:b w:val="false"/>
                <w:bCs w:val="false"/>
              </w:rPr>
              <w:t xml:space="preserve">0.953</w:t>
            </w:r>
          </w:p>
        </w:tc>
        <w:tc>
          <w:tcPr>
            <w:tcW w:type="dxa" w:w="2250"/>
          </w:tcPr>
          <w:p>
            <w:r>
              <w:rPr>
                <w:b w:val="false"/>
                <w:bCs w:val="false"/>
              </w:rPr>
              <w:t xml:space="preserve">330</w:t>
            </w:r>
          </w:p>
        </w:tc>
      </w:tr>
      <w:tr>
        <w:tc>
          <w:tcPr>
            <w:tcW w:type="dxa" w:w="2250"/>
          </w:tcPr>
          <w:p>
            <w:r>
              <w:rPr>
                <w:b w:val="false"/>
                <w:bCs w:val="false"/>
              </w:rPr>
              <w:t xml:space="preserve">Urgency classifier</w:t>
            </w:r>
          </w:p>
        </w:tc>
        <w:tc>
          <w:tcPr>
            <w:tcW w:type="dxa" w:w="2250"/>
          </w:tcPr>
          <w:p>
            <w:r>
              <w:rPr>
                <w:b w:val="false"/>
                <w:bCs w:val="false"/>
              </w:rPr>
              <w:t xml:space="preserve">93.9%</w:t>
            </w:r>
          </w:p>
        </w:tc>
        <w:tc>
          <w:tcPr>
            <w:tcW w:type="dxa" w:w="2250"/>
          </w:tcPr>
          <w:p>
            <w:r>
              <w:rPr>
                <w:b w:val="false"/>
                <w:bCs w:val="false"/>
              </w:rPr>
              <w:t xml:space="preserve">0.939</w:t>
            </w:r>
          </w:p>
        </w:tc>
        <w:tc>
          <w:tcPr>
            <w:tcW w:type="dxa" w:w="2250"/>
          </w:tcPr>
          <w:p>
            <w:r>
              <w:rPr>
                <w:b w:val="false"/>
                <w:bCs w:val="false"/>
              </w:rPr>
              <w:t xml:space="preserve">330</w:t>
            </w:r>
          </w:p>
        </w:tc>
      </w:tr>
    </w:tbl>
    <w:p>
      <w:pPr>
        <w:spacing w:after="200"/>
      </w:pPr>
    </w:p>
    <w:p>
      <w:pPr>
        <w:spacing w:after="160"/>
      </w:pPr>
      <w:r>
        <w:t xml:space="preserve">The category model performs strongly across all four classes, with most confusion occurring between the technical and product categories, which share some vocabulary (e.g. references to "reports" or "dashboard" features). The urgency model performs slightly lower, which is expected: urgency is a subtler signal carried by tone rather than distinct vocabulary, and the dataset's ambiguous tickets intentionally stress-test this.</w:t>
      </w:r>
    </w:p>
    <w:p>
      <w:pPr>
        <w:pStyle w:val="Heading1"/>
        <w:spacing w:after="140" w:before="280"/>
      </w:pPr>
      <w:r>
        <w:t xml:space="preserve">5. Handling Low-Confidence Predictions</w:t>
      </w:r>
    </w:p>
    <w:p>
      <w:pPr>
        <w:spacing w:after="160"/>
      </w:pPr>
      <w:r>
        <w:t xml:space="preserve">Rather than auto-routing every prediction, the system checks the model's confidence score for each ticket. Predictions below a 60% confidence threshold are routed to a manual review queue instead of a support team. On the test set, 23 of 330 tickets (7%) fell below this threshold — predominantly the deliberately ambiguous tickets, confirming the system correctly identifies which predictions it should not be trusted to make alone.</w:t>
      </w:r>
    </w:p>
    <w:p>
      <w:pPr>
        <w:pStyle w:val="Heading1"/>
        <w:spacing w:after="140" w:before="280"/>
      </w:pPr>
      <w:r>
        <w:t xml:space="preserve">6. A Known Limitation</w:t>
      </w:r>
    </w:p>
    <w:p>
      <w:pPr>
        <w:spacing w:after="160"/>
      </w:pPr>
      <w:r>
        <w:t xml:space="preserve">Manual testing surfaced a specific, reproducible gap: the ticket "my account got hacked I think, please help asap" was classified with only medium urgency, despite "asap" clearly signalling urgency to a human reader. The training data's high-urgency examples used phrases like "URGENT" and "immediately" but never "asap", so the model had no basis to associate it with urgency. This illustrates a general limitation of keyword-driven text classifiers: they are only as good as the vocabulary present in their training examples, and will silently under-perform on phrasing they have not seen. A production system would need either a larger, more linguistically diverse training set or a switch to sentence embeddings, which capture meaning rather than exact wording.</w:t>
      </w:r>
    </w:p>
    <w:p>
      <w:pPr>
        <w:pStyle w:val="Heading1"/>
        <w:spacing w:after="140" w:before="280"/>
      </w:pPr>
      <w:r>
        <w:t xml:space="preserve">7. Conclusion and Next Steps</w:t>
      </w:r>
    </w:p>
    <w:p>
      <w:pPr>
        <w:spacing w:after="160"/>
      </w:pPr>
      <w:r>
        <w:t xml:space="preserve">The system successfully automates category and urgency prediction for support tickets, with honest, held-out evaluation scores in the low-to-mid 90s, and includes a confidence-based safety net that defers uncertain cases to a human. The most valuable outcome of this project was not the accuracy figures themselves, but the process of catching and correcting an unrealistic 100% result, which reflects a evaluation discipline applicable to any machine-learning system.</w:t>
      </w:r>
    </w:p>
    <w:p>
      <w:pPr>
        <w:spacing w:after="160"/>
      </w:pPr>
      <w:r>
        <w:t xml:space="preserve">Given more time, the next steps would be to:</w:t>
      </w:r>
    </w:p>
    <w:p>
      <w:pPr>
        <w:pStyle w:val="ListParagraph"/>
        <w:numPr>
          <w:ilvl w:val="0"/>
          <w:numId w:val="1"/>
        </w:numPr>
        <w:spacing w:after="80"/>
      </w:pPr>
      <w:r>
        <w:t xml:space="preserve">Replace the synthetic dataset with real, anonymized support tickets</w:t>
      </w:r>
    </w:p>
    <w:p>
      <w:pPr>
        <w:pStyle w:val="ListParagraph"/>
        <w:numPr>
          <w:ilvl w:val="0"/>
          <w:numId w:val="1"/>
        </w:numPr>
        <w:spacing w:after="80"/>
      </w:pPr>
      <w:r>
        <w:t xml:space="preserve">Compare TF-IDF features against sentence embeddings for both models</w:t>
      </w:r>
    </w:p>
    <w:p>
      <w:pPr>
        <w:pStyle w:val="ListParagraph"/>
        <w:numPr>
          <w:ilvl w:val="0"/>
          <w:numId w:val="1"/>
        </w:numPr>
        <w:spacing w:after="80"/>
      </w:pPr>
      <w:r>
        <w:t xml:space="preserve">Wrap the CLI tool in a simple web interface (Streamlit) for non-technical users</w:t>
      </w:r>
    </w:p>
    <w:p>
      <w:pPr>
        <w:pStyle w:val="ListParagraph"/>
        <w:numPr>
          <w:ilvl w:val="0"/>
          <w:numId w:val="1"/>
        </w:numPr>
        <w:spacing w:after="80"/>
      </w:pPr>
      <w:r>
        <w:t xml:space="preserve">Track model performance over time as new ticket types appear</w:t>
      </w:r>
    </w:p>
    <w:p>
      <w:pPr>
        <w:pStyle w:val="Heading1"/>
        <w:spacing w:after="140" w:before="280"/>
      </w:pPr>
      <w:r>
        <w:t xml:space="preserve">Appendix: Tech Stack</w:t>
      </w:r>
    </w:p>
    <w:p>
      <w:pPr>
        <w:spacing w:after="160"/>
      </w:pPr>
      <w:r>
        <w:t xml:space="preserve">Python, pandas, scikit-learn (TF-IDF, Logistic Regression), joblib for model persistence. Suggested next-stage stack: Streamlit for a UI layer, Git/GitHub for version control.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2026-09-23T13:32:40.750Z</dcterms:created>
  <dcterms:modified xsi:type="dcterms:W3CDTF">2026-09-23T13:32:40.769Z</dcterms:modified>
</cp:coreProperties>
</file>

<file path=docProps/custom.xml><?xml version="1.0" encoding="utf-8"?>
<Properties xmlns="http://schemas.openxmlformats.org/officeDocument/2006/custom-properties" xmlns:vt="http://schemas.openxmlformats.org/officeDocument/2006/docPropsVTypes"/>
</file>