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r>
              <w:t>22 July 2026</w:t>
            </w:r>
          </w:p>
        </w:tc>
      </w:tr>
      <w:tr w:rsidR="004360B1" w14:paraId="7890E6B7" w14:textId="77777777">
        <w:tc>
          <w:tcPr>
            <w:tcW w:w="4508" w:type="dxa"/>
          </w:tcPr>
          <w:p w14:paraId="0C019381" w14:textId="77777777" w:rsidR="004360B1" w:rsidRDefault="00000000">
            <w:r>
              <w:t>Team ID</w:t>
            </w:r>
          </w:p>
        </w:tc>
        <w:tc>
          <w:tcPr>
            <w:tcW w:w="4508" w:type="dxa"/>
          </w:tcPr>
          <w:p>
            <w:r>
              <w:t>TEAM-HT-2026</w:t>
            </w:r>
          </w:p>
        </w:tc>
      </w:tr>
      <w:tr w:rsidR="004360B1" w14:paraId="51E034FC" w14:textId="77777777">
        <w:tc>
          <w:tcPr>
            <w:tcW w:w="4508" w:type="dxa"/>
          </w:tcPr>
          <w:p w14:paraId="69F005D8" w14:textId="77777777" w:rsidR="004360B1" w:rsidRDefault="00000000">
            <w:r>
              <w:t>Project Name</w:t>
            </w:r>
          </w:p>
        </w:tc>
        <w:tc>
          <w:tcPr>
            <w:tcW w:w="4508" w:type="dxa"/>
          </w:tcPr>
          <w:p>
            <w:r>
              <w:t>Heritage Treasures: An In-Depth Analysis of UNESCO World Heritage Sites in Tableau</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p>
      <w:r>
        <w:rPr>
          <w:b/>
          <w:sz w:val="28"/>
        </w:rPr>
        <w:t>Our Problem – Solution Fit – Heritage Treasures Project</w:t>
      </w:r>
    </w:p>
    <w:tbl>
      <w:tblPr>
        <w:tblStyle w:val="TableGrid"/>
        <w:tblW w:type="auto" w:w="0"/>
        <w:jc w:val="center"/>
        <w:tblLook w:firstColumn="1" w:firstRow="1" w:lastColumn="0" w:lastRow="0" w:noHBand="0" w:noVBand="1" w:val="04A0"/>
      </w:tblPr>
      <w:tblGrid>
        <w:gridCol w:w="4513"/>
        <w:gridCol w:w="4513"/>
      </w:tblGrid>
      <w:tr>
        <w:tc>
          <w:tcPr>
            <w:tcW w:type="dxa" w:w="4513"/>
            <w:shd w:val="clear" w:color="auto" w:fill="DCE6F1"/>
          </w:tcPr>
          <w:p>
            <w:r>
              <w:rPr>
                <w:b/>
              </w:rPr>
              <w:t>Customer Segment(s)</w:t>
            </w:r>
          </w:p>
        </w:tc>
        <w:tc>
          <w:tcPr>
            <w:tcW w:type="dxa" w:w="4513"/>
          </w:tcPr>
          <w:p>
            <w:r>
              <w:t>Heritage conservation analysts, government policy makers, tourism boards, and cultural researchers.</w:t>
            </w:r>
          </w:p>
        </w:tc>
      </w:tr>
      <w:tr>
        <w:tc>
          <w:tcPr>
            <w:tcW w:type="dxa" w:w="4513"/>
            <w:shd w:val="clear" w:color="auto" w:fill="DCE6F1"/>
          </w:tcPr>
          <w:p>
            <w:r>
              <w:rPr>
                <w:b/>
              </w:rPr>
              <w:t>Problem</w:t>
            </w:r>
          </w:p>
        </w:tc>
        <w:tc>
          <w:tcPr>
            <w:tcW w:type="dxa" w:w="4513"/>
          </w:tcPr>
          <w:p>
            <w:r>
              <w:t>They cannot quickly see which countries/regions hold the most heritage sites, which sites are at risk, or how inscriptions are trending over time.</w:t>
            </w:r>
          </w:p>
        </w:tc>
      </w:tr>
      <w:tr>
        <w:tc>
          <w:tcPr>
            <w:tcW w:type="dxa" w:w="4513"/>
            <w:shd w:val="clear" w:color="auto" w:fill="DCE6F1"/>
          </w:tcPr>
          <w:p>
            <w:r>
              <w:rPr>
                <w:b/>
              </w:rPr>
              <w:t>Existing Alternatives</w:t>
            </w:r>
          </w:p>
        </w:tc>
        <w:tc>
          <w:tcPr>
            <w:tcW w:type="dxa" w:w="4513"/>
          </w:tcPr>
          <w:p>
            <w:r>
              <w:t>Manually filtering the raw UNESCO CSV in Excel, or reading separate static reports on at-risk sites.</w:t>
            </w:r>
          </w:p>
        </w:tc>
      </w:tr>
      <w:tr>
        <w:tc>
          <w:tcPr>
            <w:tcW w:type="dxa" w:w="4513"/>
            <w:shd w:val="clear" w:color="auto" w:fill="DCE6F1"/>
          </w:tcPr>
          <w:p>
            <w:r>
              <w:rPr>
                <w:b/>
              </w:rPr>
              <w:t>Behaviour</w:t>
            </w:r>
          </w:p>
        </w:tc>
        <w:tc>
          <w:tcPr>
            <w:tcW w:type="dxa" w:w="4513"/>
          </w:tcPr>
          <w:p>
            <w:r>
              <w:t>Downloading the dataset, scrolling/sorting rows, and cross-referencing multiple sources to build a mental picture.</w:t>
            </w:r>
          </w:p>
        </w:tc>
      </w:tr>
      <w:tr>
        <w:tc>
          <w:tcPr>
            <w:tcW w:type="dxa" w:w="4513"/>
            <w:shd w:val="clear" w:color="auto" w:fill="DCE6F1"/>
          </w:tcPr>
          <w:p>
            <w:r>
              <w:rPr>
                <w:b/>
              </w:rPr>
              <w:t>Triggers</w:t>
            </w:r>
          </w:p>
        </w:tc>
        <w:tc>
          <w:tcPr>
            <w:tcW w:type="dxa" w:w="4513"/>
          </w:tcPr>
          <w:p>
            <w:r>
              <w:t>A funding review, conservation planning meeting, or tourism promotion campaign that needs quick, defensible insight.</w:t>
            </w:r>
          </w:p>
        </w:tc>
      </w:tr>
      <w:tr>
        <w:tc>
          <w:tcPr>
            <w:tcW w:type="dxa" w:w="4513"/>
            <w:shd w:val="clear" w:color="auto" w:fill="DCE6F1"/>
          </w:tcPr>
          <w:p>
            <w:r>
              <w:rPr>
                <w:b/>
              </w:rPr>
              <w:t>Emotions</w:t>
            </w:r>
          </w:p>
        </w:tc>
        <w:tc>
          <w:tcPr>
            <w:tcW w:type="dxa" w:w="4513"/>
          </w:tcPr>
          <w:p>
            <w:r>
              <w:t>Frustration and uncertainty from manual, error-prone analysis; relief when a clear visual answers the question.</w:t>
            </w:r>
          </w:p>
        </w:tc>
      </w:tr>
      <w:tr>
        <w:tc>
          <w:tcPr>
            <w:tcW w:type="dxa" w:w="4513"/>
            <w:shd w:val="clear" w:color="auto" w:fill="DCE6F1"/>
          </w:tcPr>
          <w:p>
            <w:r>
              <w:rPr>
                <w:b/>
              </w:rPr>
              <w:t>Root Cause</w:t>
            </w:r>
          </w:p>
        </w:tc>
        <w:tc>
          <w:tcPr>
            <w:tcW w:type="dxa" w:w="4513"/>
          </w:tcPr>
          <w:p>
            <w:r>
              <w:t>The dataset's attributes (Country, Region, Danger, Date_inscribed, Name_en) are not organized for at-a-glance interpretation.</w:t>
            </w:r>
          </w:p>
        </w:tc>
      </w:tr>
      <w:tr>
        <w:tc>
          <w:tcPr>
            <w:tcW w:type="dxa" w:w="4513"/>
            <w:shd w:val="clear" w:color="auto" w:fill="DCE6F1"/>
          </w:tcPr>
          <w:p>
            <w:r>
              <w:rPr>
                <w:b/>
              </w:rPr>
              <w:t>Solution Today</w:t>
            </w:r>
          </w:p>
        </w:tc>
        <w:tc>
          <w:tcPr>
            <w:tcW w:type="dxa" w:w="4513"/>
          </w:tcPr>
          <w:p>
            <w:r>
              <w:t>Static spreadsheets and ad-hoc filtering, with no interactive or visual layer.</w:t>
            </w:r>
          </w:p>
        </w:tc>
      </w:tr>
      <w:tr>
        <w:tc>
          <w:tcPr>
            <w:tcW w:type="dxa" w:w="4513"/>
            <w:shd w:val="clear" w:color="auto" w:fill="DCE6F1"/>
          </w:tcPr>
          <w:p>
            <w:r>
              <w:rPr>
                <w:b/>
              </w:rPr>
              <w:t>Solution</w:t>
            </w:r>
          </w:p>
        </w:tc>
        <w:tc>
          <w:tcPr>
            <w:tcW w:type="dxa" w:w="4513"/>
          </w:tcPr>
          <w:p>
            <w:r>
              <w:t>An interactive Tableau dashboard and story – treemap by country, pie chart of at-risk sites, and a regional inscription trend line – embedded in a Flask web app.</w:t>
            </w:r>
          </w:p>
        </w:tc>
      </w:tr>
      <w:tr>
        <w:tc>
          <w:tcPr>
            <w:tcW w:type="dxa" w:w="4513"/>
            <w:shd w:val="clear" w:color="auto" w:fill="DCE6F1"/>
          </w:tcPr>
          <w:p>
            <w:r>
              <w:rPr>
                <w:b/>
              </w:rPr>
              <w:t>Customer Constraints</w:t>
            </w:r>
          </w:p>
        </w:tc>
        <w:tc>
          <w:tcPr>
            <w:tcW w:type="dxa" w:w="4513"/>
          </w:tcPr>
          <w:p>
            <w:r>
              <w:t>Users may not know Tableau or SQL, so the interface must be self-explanatory with filters and tooltips, not raw data tables.</w:t>
            </w:r>
          </w:p>
        </w:tc>
      </w:tr>
      <w:tr>
        <w:tc>
          <w:tcPr>
            <w:tcW w:type="dxa" w:w="4513"/>
            <w:shd w:val="clear" w:color="auto" w:fill="DCE6F1"/>
          </w:tcPr>
          <w:p>
            <w:r>
              <w:rPr>
                <w:b/>
              </w:rPr>
              <w:t>Channels of Behaviour</w:t>
            </w:r>
          </w:p>
        </w:tc>
        <w:tc>
          <w:tcPr>
            <w:tcW w:type="dxa" w:w="4513"/>
          </w:tcPr>
          <w:p>
            <w:r>
              <w:t>Accessed via a published Tableau Server/Public link embedded on an internal or public-facing web page.</w:t>
            </w:r>
          </w:p>
        </w:tc>
      </w:tr>
    </w:tbl>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